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A25F" w14:textId="2E1B975D" w:rsidR="007623F0" w:rsidRDefault="006C4582" w:rsidP="00435B98">
      <w:pPr>
        <w:tabs>
          <w:tab w:val="left" w:pos="142"/>
        </w:tabs>
        <w:jc w:val="right"/>
        <w:rPr>
          <w:sz w:val="24"/>
        </w:rPr>
      </w:pPr>
      <w:r>
        <w:rPr>
          <w:sz w:val="24"/>
        </w:rPr>
        <w:t xml:space="preserve"> </w:t>
      </w:r>
      <w:r w:rsidR="007623F0">
        <w:rPr>
          <w:sz w:val="24"/>
        </w:rPr>
        <w:tab/>
      </w:r>
      <w:r w:rsidR="007623F0">
        <w:rPr>
          <w:sz w:val="24"/>
        </w:rPr>
        <w:tab/>
      </w:r>
      <w:r w:rsidR="007623F0">
        <w:rPr>
          <w:b/>
          <w:bCs/>
          <w:sz w:val="24"/>
        </w:rPr>
        <w:t xml:space="preserve">Company No. </w:t>
      </w:r>
      <w:r w:rsidR="00203CCD">
        <w:rPr>
          <w:b/>
          <w:bCs/>
          <w:sz w:val="24"/>
        </w:rPr>
        <w:t>05714562</w:t>
      </w:r>
    </w:p>
    <w:p w14:paraId="6B011A29" w14:textId="77777777" w:rsidR="007623F0" w:rsidRDefault="007623F0">
      <w:pPr>
        <w:jc w:val="both"/>
        <w:rPr>
          <w:sz w:val="24"/>
        </w:rPr>
      </w:pPr>
    </w:p>
    <w:p w14:paraId="24557648" w14:textId="77777777" w:rsidR="007623F0" w:rsidRDefault="007623F0">
      <w:pPr>
        <w:jc w:val="both"/>
        <w:rPr>
          <w:sz w:val="24"/>
        </w:rPr>
      </w:pPr>
    </w:p>
    <w:p w14:paraId="7DA76478" w14:textId="77777777" w:rsidR="007623F0" w:rsidRDefault="007623F0">
      <w:pPr>
        <w:jc w:val="both"/>
        <w:rPr>
          <w:sz w:val="24"/>
        </w:rPr>
      </w:pPr>
    </w:p>
    <w:p w14:paraId="19C65844" w14:textId="77777777" w:rsidR="007623F0" w:rsidRDefault="007623F0">
      <w:pPr>
        <w:jc w:val="both"/>
        <w:rPr>
          <w:sz w:val="24"/>
        </w:rPr>
      </w:pPr>
    </w:p>
    <w:p w14:paraId="6934E82A" w14:textId="77777777" w:rsidR="007623F0" w:rsidRDefault="007623F0">
      <w:pPr>
        <w:jc w:val="both"/>
        <w:rPr>
          <w:sz w:val="24"/>
        </w:rPr>
      </w:pPr>
    </w:p>
    <w:p w14:paraId="2DBB8DB1" w14:textId="77777777" w:rsidR="007623F0" w:rsidRDefault="007623F0">
      <w:pPr>
        <w:jc w:val="both"/>
        <w:rPr>
          <w:sz w:val="24"/>
        </w:rPr>
      </w:pPr>
    </w:p>
    <w:p w14:paraId="0F379180" w14:textId="77777777" w:rsidR="007623F0" w:rsidRDefault="007623F0">
      <w:pPr>
        <w:jc w:val="both"/>
        <w:rPr>
          <w:sz w:val="24"/>
        </w:rPr>
      </w:pPr>
    </w:p>
    <w:p w14:paraId="61D598F1" w14:textId="77777777" w:rsidR="007623F0" w:rsidRDefault="007623F0">
      <w:pPr>
        <w:jc w:val="both"/>
        <w:rPr>
          <w:sz w:val="24"/>
        </w:rPr>
      </w:pPr>
    </w:p>
    <w:p w14:paraId="5A592D4A" w14:textId="77777777" w:rsidR="007623F0" w:rsidRDefault="007623F0">
      <w:pPr>
        <w:jc w:val="both"/>
        <w:rPr>
          <w:sz w:val="24"/>
        </w:rPr>
      </w:pPr>
    </w:p>
    <w:p w14:paraId="2A2B649F" w14:textId="32D05A1F" w:rsidR="007623F0" w:rsidRDefault="00203CCD">
      <w:pPr>
        <w:pStyle w:val="Heading3"/>
        <w:ind w:left="567"/>
        <w:rPr>
          <w:sz w:val="32"/>
        </w:rPr>
      </w:pPr>
      <w:r>
        <w:rPr>
          <w:sz w:val="32"/>
        </w:rPr>
        <w:t xml:space="preserve">MetalNRG </w:t>
      </w:r>
      <w:r w:rsidR="007623F0">
        <w:rPr>
          <w:sz w:val="32"/>
        </w:rPr>
        <w:t>plc</w:t>
      </w:r>
    </w:p>
    <w:p w14:paraId="5DC00173" w14:textId="77777777" w:rsidR="007623F0" w:rsidRDefault="007623F0">
      <w:pPr>
        <w:ind w:left="567"/>
        <w:jc w:val="center"/>
        <w:rPr>
          <w:b/>
          <w:sz w:val="24"/>
        </w:rPr>
      </w:pPr>
    </w:p>
    <w:p w14:paraId="2A0482E1" w14:textId="77777777" w:rsidR="007623F0" w:rsidRDefault="007623F0">
      <w:pPr>
        <w:ind w:left="567"/>
        <w:jc w:val="center"/>
        <w:rPr>
          <w:b/>
          <w:sz w:val="24"/>
        </w:rPr>
      </w:pPr>
      <w:r>
        <w:rPr>
          <w:b/>
          <w:sz w:val="24"/>
        </w:rPr>
        <w:t>REPORT AND CONSOLIDATED FINANCIAL STATEMENTS</w:t>
      </w:r>
    </w:p>
    <w:p w14:paraId="0A1DAD03" w14:textId="77777777" w:rsidR="007623F0" w:rsidRDefault="007623F0">
      <w:pPr>
        <w:ind w:left="567"/>
        <w:jc w:val="center"/>
        <w:rPr>
          <w:b/>
          <w:sz w:val="24"/>
        </w:rPr>
      </w:pPr>
    </w:p>
    <w:p w14:paraId="2F82F334" w14:textId="6B6D3812" w:rsidR="007623F0" w:rsidRDefault="007623F0">
      <w:pPr>
        <w:pStyle w:val="Heading2"/>
        <w:ind w:left="567"/>
      </w:pPr>
      <w:r>
        <w:t xml:space="preserve">FOR THE </w:t>
      </w:r>
      <w:r w:rsidR="00796134">
        <w:t xml:space="preserve">YEAR </w:t>
      </w:r>
      <w:r>
        <w:t xml:space="preserve">ENDED </w:t>
      </w:r>
      <w:r w:rsidR="00186740">
        <w:t xml:space="preserve">31 DECEMBER </w:t>
      </w:r>
      <w:r w:rsidR="00203CCD">
        <w:t>20</w:t>
      </w:r>
      <w:r w:rsidR="008173E0">
        <w:t>20</w:t>
      </w:r>
    </w:p>
    <w:p w14:paraId="4DB8E4B0" w14:textId="77777777" w:rsidR="007623F0" w:rsidRDefault="007623F0">
      <w:pPr>
        <w:ind w:left="567"/>
        <w:jc w:val="center"/>
        <w:rPr>
          <w:b/>
          <w:sz w:val="24"/>
        </w:rPr>
      </w:pPr>
    </w:p>
    <w:p w14:paraId="492A02C3" w14:textId="77777777" w:rsidR="007623F0" w:rsidRDefault="007623F0">
      <w:pPr>
        <w:pStyle w:val="BodyTextIndent"/>
      </w:pPr>
    </w:p>
    <w:p w14:paraId="6BB8CFF9" w14:textId="77777777" w:rsidR="007623F0" w:rsidRDefault="007623F0">
      <w:pPr>
        <w:pStyle w:val="BodyTextIndent"/>
      </w:pPr>
    </w:p>
    <w:p w14:paraId="2C0F7B32" w14:textId="77777777" w:rsidR="007623F0" w:rsidRDefault="007623F0">
      <w:pPr>
        <w:pStyle w:val="BodyTextIndent"/>
      </w:pPr>
    </w:p>
    <w:p w14:paraId="68F5EAD4" w14:textId="77777777" w:rsidR="007623F0" w:rsidRDefault="007623F0">
      <w:pPr>
        <w:pStyle w:val="BodyTextIndent"/>
      </w:pPr>
    </w:p>
    <w:p w14:paraId="3D3EB3AA" w14:textId="77777777" w:rsidR="007623F0" w:rsidRDefault="007623F0">
      <w:pPr>
        <w:pStyle w:val="BodyTextIndent"/>
      </w:pPr>
    </w:p>
    <w:p w14:paraId="297F42C5" w14:textId="77777777" w:rsidR="007623F0" w:rsidRDefault="007623F0">
      <w:pPr>
        <w:pStyle w:val="BodyTextIndent"/>
      </w:pPr>
    </w:p>
    <w:p w14:paraId="12315A62" w14:textId="77777777" w:rsidR="007623F0" w:rsidRDefault="007623F0">
      <w:pPr>
        <w:pStyle w:val="BodyTextIndent"/>
      </w:pPr>
    </w:p>
    <w:p w14:paraId="0A651AC7" w14:textId="77777777" w:rsidR="007623F0" w:rsidRDefault="007623F0">
      <w:pPr>
        <w:pStyle w:val="BodyTextIndent"/>
      </w:pPr>
    </w:p>
    <w:p w14:paraId="63C0E81B" w14:textId="77777777" w:rsidR="007623F0" w:rsidRDefault="007623F0">
      <w:pPr>
        <w:pStyle w:val="BodyTextIndent"/>
      </w:pPr>
    </w:p>
    <w:p w14:paraId="7A954D44" w14:textId="77777777" w:rsidR="007623F0" w:rsidRDefault="007623F0">
      <w:pPr>
        <w:pStyle w:val="BodyTextIndent"/>
      </w:pPr>
    </w:p>
    <w:p w14:paraId="4CC21467" w14:textId="77777777" w:rsidR="007623F0" w:rsidRDefault="007623F0">
      <w:pPr>
        <w:pStyle w:val="BodyTextIndent"/>
      </w:pPr>
    </w:p>
    <w:p w14:paraId="4C958012" w14:textId="77777777" w:rsidR="007623F0" w:rsidRDefault="007623F0">
      <w:pPr>
        <w:pStyle w:val="BodyTextIndent"/>
      </w:pPr>
    </w:p>
    <w:p w14:paraId="1E5F056A" w14:textId="77777777" w:rsidR="007623F0" w:rsidRDefault="007623F0">
      <w:pPr>
        <w:pStyle w:val="BodyTextIndent"/>
      </w:pPr>
    </w:p>
    <w:p w14:paraId="3E5F62F0" w14:textId="77777777" w:rsidR="007623F0" w:rsidRDefault="007623F0">
      <w:pPr>
        <w:pStyle w:val="BodyTextIndent"/>
      </w:pPr>
    </w:p>
    <w:p w14:paraId="6C636A33" w14:textId="77777777" w:rsidR="007623F0" w:rsidRDefault="007623F0">
      <w:pPr>
        <w:pStyle w:val="BodyTextIndent"/>
      </w:pPr>
    </w:p>
    <w:p w14:paraId="3CEE1EA3" w14:textId="77777777" w:rsidR="007623F0" w:rsidRDefault="007623F0">
      <w:pPr>
        <w:pStyle w:val="BodyTextIndent"/>
      </w:pPr>
    </w:p>
    <w:p w14:paraId="161A33A7" w14:textId="77777777" w:rsidR="007623F0" w:rsidRDefault="007623F0">
      <w:pPr>
        <w:pStyle w:val="BodyTextIndent"/>
      </w:pPr>
    </w:p>
    <w:p w14:paraId="063C3862" w14:textId="77777777" w:rsidR="007623F0" w:rsidRDefault="007623F0">
      <w:pPr>
        <w:pStyle w:val="BodyTextIndent"/>
      </w:pPr>
    </w:p>
    <w:p w14:paraId="4F4BA93E" w14:textId="77777777" w:rsidR="007623F0" w:rsidRDefault="007623F0">
      <w:pPr>
        <w:pStyle w:val="BodyTextIndent"/>
      </w:pPr>
    </w:p>
    <w:p w14:paraId="24A89EB8" w14:textId="77777777" w:rsidR="007623F0" w:rsidRDefault="007623F0">
      <w:pPr>
        <w:pStyle w:val="BodyTextIndent"/>
      </w:pPr>
    </w:p>
    <w:p w14:paraId="73DDC199" w14:textId="77777777" w:rsidR="007623F0" w:rsidRDefault="007623F0">
      <w:pPr>
        <w:pStyle w:val="BodyTextIndent"/>
      </w:pPr>
    </w:p>
    <w:p w14:paraId="1D58F2BC" w14:textId="77777777" w:rsidR="007623F0" w:rsidRDefault="007623F0">
      <w:pPr>
        <w:pStyle w:val="BodyTextIndent"/>
      </w:pPr>
    </w:p>
    <w:p w14:paraId="7864DC5A" w14:textId="77777777" w:rsidR="007623F0" w:rsidRDefault="007623F0">
      <w:pPr>
        <w:pStyle w:val="BodyTextIndent"/>
      </w:pPr>
    </w:p>
    <w:p w14:paraId="50666287" w14:textId="77777777" w:rsidR="007623F0" w:rsidRDefault="007623F0">
      <w:pPr>
        <w:pStyle w:val="BodyTextIndent"/>
      </w:pPr>
    </w:p>
    <w:p w14:paraId="02DEBC60" w14:textId="77777777" w:rsidR="007623F0" w:rsidRDefault="007623F0">
      <w:pPr>
        <w:pStyle w:val="BodyTextIndent"/>
      </w:pPr>
    </w:p>
    <w:p w14:paraId="35ED4E7F" w14:textId="77777777" w:rsidR="007623F0" w:rsidRDefault="007623F0">
      <w:pPr>
        <w:pStyle w:val="BodyTextIndent"/>
      </w:pPr>
    </w:p>
    <w:p w14:paraId="6BE92AA3" w14:textId="77777777" w:rsidR="007623F0" w:rsidRDefault="007623F0">
      <w:pPr>
        <w:pStyle w:val="BodyTextIndent"/>
      </w:pPr>
    </w:p>
    <w:p w14:paraId="6B15B183" w14:textId="77777777" w:rsidR="007623F0" w:rsidRDefault="007623F0">
      <w:pPr>
        <w:pStyle w:val="BodyTextIndent"/>
      </w:pPr>
    </w:p>
    <w:p w14:paraId="3A47E9FF" w14:textId="77777777" w:rsidR="007623F0" w:rsidRDefault="007623F0">
      <w:pPr>
        <w:pStyle w:val="BodyTextIndent"/>
      </w:pPr>
    </w:p>
    <w:p w14:paraId="73E8BBC4" w14:textId="77777777" w:rsidR="007623F0" w:rsidRDefault="007623F0">
      <w:pPr>
        <w:pStyle w:val="BodyTextIndent"/>
      </w:pPr>
    </w:p>
    <w:p w14:paraId="42785021" w14:textId="77777777" w:rsidR="007623F0" w:rsidRDefault="007623F0">
      <w:pPr>
        <w:pStyle w:val="BodyTextIndent"/>
      </w:pPr>
    </w:p>
    <w:p w14:paraId="1CA6DAA2" w14:textId="77777777" w:rsidR="007623F0" w:rsidRDefault="007623F0">
      <w:pPr>
        <w:pStyle w:val="BodyTextIndent"/>
        <w:ind w:left="2880" w:firstLine="720"/>
        <w:jc w:val="left"/>
        <w:sectPr w:rsidR="007623F0" w:rsidSect="002E4AA5">
          <w:headerReference w:type="default" r:id="rId8"/>
          <w:footerReference w:type="even" r:id="rId9"/>
          <w:footerReference w:type="default" r:id="rId10"/>
          <w:pgSz w:w="11909" w:h="16834" w:code="9"/>
          <w:pgMar w:top="709" w:right="936" w:bottom="720" w:left="936" w:header="706" w:footer="706" w:gutter="0"/>
          <w:pgNumType w:start="1"/>
          <w:cols w:space="720"/>
          <w:titlePg/>
        </w:sectPr>
      </w:pPr>
    </w:p>
    <w:p w14:paraId="01729CE0" w14:textId="77777777" w:rsidR="007623F0" w:rsidRPr="00A12D62" w:rsidRDefault="007623F0">
      <w:pPr>
        <w:pStyle w:val="BodyTextIndent"/>
        <w:ind w:left="8487"/>
        <w:jc w:val="left"/>
        <w:rPr>
          <w:sz w:val="22"/>
          <w:szCs w:val="22"/>
        </w:rPr>
      </w:pPr>
      <w:r w:rsidRPr="00A12D62">
        <w:rPr>
          <w:sz w:val="22"/>
          <w:szCs w:val="22"/>
        </w:rPr>
        <w:lastRenderedPageBreak/>
        <w:t>Page</w:t>
      </w:r>
    </w:p>
    <w:p w14:paraId="24F8F9C5" w14:textId="77777777" w:rsidR="007623F0" w:rsidRPr="006B6A5A" w:rsidRDefault="007623F0">
      <w:pPr>
        <w:spacing w:before="360"/>
        <w:ind w:firstLine="720"/>
        <w:rPr>
          <w:sz w:val="22"/>
          <w:szCs w:val="22"/>
        </w:rPr>
      </w:pPr>
      <w:r w:rsidRPr="009A77CC">
        <w:rPr>
          <w:sz w:val="22"/>
          <w:szCs w:val="22"/>
        </w:rPr>
        <w:t>Officers and professional advisers</w:t>
      </w:r>
      <w:r w:rsidRPr="009A77CC">
        <w:rPr>
          <w:sz w:val="22"/>
          <w:szCs w:val="22"/>
        </w:rPr>
        <w:tab/>
      </w:r>
      <w:r w:rsidRPr="009A77CC">
        <w:rPr>
          <w:sz w:val="22"/>
          <w:szCs w:val="22"/>
        </w:rPr>
        <w:tab/>
      </w:r>
      <w:r w:rsidRPr="009A77CC">
        <w:rPr>
          <w:sz w:val="22"/>
          <w:szCs w:val="22"/>
        </w:rPr>
        <w:tab/>
      </w:r>
      <w:r w:rsidRPr="009A77CC">
        <w:rPr>
          <w:sz w:val="22"/>
          <w:szCs w:val="22"/>
        </w:rPr>
        <w:tab/>
      </w:r>
      <w:r w:rsidRPr="009A77CC">
        <w:rPr>
          <w:sz w:val="22"/>
          <w:szCs w:val="22"/>
        </w:rPr>
        <w:tab/>
      </w:r>
      <w:r w:rsidRPr="009A77CC">
        <w:rPr>
          <w:sz w:val="22"/>
          <w:szCs w:val="22"/>
        </w:rPr>
        <w:tab/>
      </w:r>
      <w:r w:rsidRPr="009A77CC">
        <w:rPr>
          <w:sz w:val="22"/>
          <w:szCs w:val="22"/>
        </w:rPr>
        <w:tab/>
      </w:r>
      <w:r w:rsidRPr="006B6A5A">
        <w:rPr>
          <w:sz w:val="22"/>
          <w:szCs w:val="22"/>
        </w:rPr>
        <w:t>1</w:t>
      </w:r>
    </w:p>
    <w:p w14:paraId="17500994" w14:textId="2F8B4A77" w:rsidR="00D0709B" w:rsidRPr="006B6A5A" w:rsidRDefault="00D0709B" w:rsidP="00D0709B">
      <w:pPr>
        <w:spacing w:before="360"/>
        <w:ind w:firstLine="720"/>
        <w:rPr>
          <w:sz w:val="22"/>
          <w:szCs w:val="22"/>
        </w:rPr>
      </w:pPr>
      <w:r w:rsidRPr="006B6A5A">
        <w:rPr>
          <w:sz w:val="22"/>
          <w:szCs w:val="22"/>
        </w:rPr>
        <w:t>Board of directors</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t>2</w:t>
      </w:r>
    </w:p>
    <w:p w14:paraId="5E7BDE87" w14:textId="5FCCF823" w:rsidR="007623F0" w:rsidRPr="006B6A5A" w:rsidRDefault="007623F0">
      <w:pPr>
        <w:spacing w:before="360"/>
        <w:ind w:firstLine="720"/>
        <w:rPr>
          <w:sz w:val="22"/>
          <w:szCs w:val="22"/>
        </w:rPr>
      </w:pPr>
      <w:r w:rsidRPr="006B6A5A">
        <w:rPr>
          <w:sz w:val="22"/>
          <w:szCs w:val="22"/>
        </w:rPr>
        <w:t>Strategic report</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753313" w:rsidRPr="006B6A5A">
        <w:rPr>
          <w:sz w:val="22"/>
          <w:szCs w:val="22"/>
        </w:rPr>
        <w:tab/>
      </w:r>
      <w:r w:rsidR="00D0709B" w:rsidRPr="006B6A5A">
        <w:rPr>
          <w:sz w:val="22"/>
          <w:szCs w:val="22"/>
        </w:rPr>
        <w:t>4</w:t>
      </w:r>
    </w:p>
    <w:p w14:paraId="5114C42C" w14:textId="011D7968" w:rsidR="007623F0" w:rsidRPr="006B6A5A" w:rsidRDefault="007623F0">
      <w:pPr>
        <w:spacing w:before="360"/>
        <w:ind w:firstLine="720"/>
        <w:rPr>
          <w:sz w:val="22"/>
          <w:szCs w:val="22"/>
        </w:rPr>
      </w:pPr>
      <w:r w:rsidRPr="006B6A5A">
        <w:rPr>
          <w:sz w:val="22"/>
          <w:szCs w:val="22"/>
        </w:rPr>
        <w:t>Directors’ report</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A24082">
        <w:rPr>
          <w:sz w:val="22"/>
          <w:szCs w:val="22"/>
        </w:rPr>
        <w:t>8</w:t>
      </w:r>
    </w:p>
    <w:p w14:paraId="0FCD6CC4" w14:textId="1B809E4E" w:rsidR="007623F0" w:rsidRPr="006B6A5A" w:rsidRDefault="007623F0">
      <w:pPr>
        <w:spacing w:before="360"/>
        <w:ind w:firstLine="720"/>
        <w:rPr>
          <w:sz w:val="22"/>
          <w:szCs w:val="22"/>
        </w:rPr>
      </w:pPr>
      <w:r w:rsidRPr="006B6A5A">
        <w:rPr>
          <w:sz w:val="22"/>
          <w:szCs w:val="22"/>
        </w:rPr>
        <w:t>Directors’ re</w:t>
      </w:r>
      <w:r w:rsidR="009A77CC" w:rsidRPr="006B6A5A">
        <w:rPr>
          <w:sz w:val="22"/>
          <w:szCs w:val="22"/>
        </w:rPr>
        <w:t>sponsibilities statement</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4D3CAB">
        <w:rPr>
          <w:sz w:val="22"/>
          <w:szCs w:val="22"/>
        </w:rPr>
        <w:t>1</w:t>
      </w:r>
      <w:r w:rsidR="007B6CF3">
        <w:rPr>
          <w:sz w:val="22"/>
          <w:szCs w:val="22"/>
        </w:rPr>
        <w:t>3</w:t>
      </w:r>
    </w:p>
    <w:p w14:paraId="75EC151C" w14:textId="3045C8EA" w:rsidR="00782734" w:rsidRDefault="00782734">
      <w:pPr>
        <w:spacing w:before="360"/>
        <w:ind w:firstLine="720"/>
        <w:rPr>
          <w:sz w:val="22"/>
          <w:szCs w:val="22"/>
        </w:rPr>
      </w:pPr>
      <w:r w:rsidRPr="006B6A5A">
        <w:rPr>
          <w:sz w:val="22"/>
          <w:szCs w:val="22"/>
        </w:rPr>
        <w:t>Corporate governance statement</w:t>
      </w:r>
      <w:r w:rsidR="00AE1078" w:rsidRPr="006B6A5A">
        <w:rPr>
          <w:sz w:val="22"/>
          <w:szCs w:val="22"/>
        </w:rPr>
        <w:tab/>
      </w:r>
      <w:r w:rsidR="00AE1078" w:rsidRPr="006B6A5A">
        <w:rPr>
          <w:sz w:val="22"/>
          <w:szCs w:val="22"/>
        </w:rPr>
        <w:tab/>
      </w:r>
      <w:r w:rsidR="00AE1078" w:rsidRPr="006B6A5A">
        <w:rPr>
          <w:sz w:val="22"/>
          <w:szCs w:val="22"/>
        </w:rPr>
        <w:tab/>
      </w:r>
      <w:r w:rsidR="00AE1078" w:rsidRPr="006B6A5A">
        <w:rPr>
          <w:sz w:val="22"/>
          <w:szCs w:val="22"/>
        </w:rPr>
        <w:tab/>
      </w:r>
      <w:r w:rsidR="00AE1078" w:rsidRPr="006B6A5A">
        <w:rPr>
          <w:sz w:val="22"/>
          <w:szCs w:val="22"/>
        </w:rPr>
        <w:tab/>
      </w:r>
      <w:r w:rsidR="00AE1078" w:rsidRPr="006B6A5A">
        <w:rPr>
          <w:sz w:val="22"/>
          <w:szCs w:val="22"/>
        </w:rPr>
        <w:tab/>
      </w:r>
      <w:r w:rsidR="00AE1078" w:rsidRPr="006B6A5A">
        <w:rPr>
          <w:sz w:val="22"/>
          <w:szCs w:val="22"/>
        </w:rPr>
        <w:tab/>
      </w:r>
      <w:r w:rsidR="00AE1078" w:rsidRPr="006B6A5A">
        <w:rPr>
          <w:sz w:val="22"/>
          <w:szCs w:val="22"/>
        </w:rPr>
        <w:tab/>
      </w:r>
      <w:r w:rsidR="004D3CAB" w:rsidRPr="006B6A5A">
        <w:rPr>
          <w:sz w:val="22"/>
          <w:szCs w:val="22"/>
        </w:rPr>
        <w:t>1</w:t>
      </w:r>
      <w:r w:rsidR="007B6CF3">
        <w:rPr>
          <w:sz w:val="22"/>
          <w:szCs w:val="22"/>
        </w:rPr>
        <w:t>5</w:t>
      </w:r>
    </w:p>
    <w:p w14:paraId="5642BDE7" w14:textId="003983CA" w:rsidR="00BF56B7" w:rsidRPr="006B6A5A" w:rsidRDefault="00BF56B7">
      <w:pPr>
        <w:spacing w:before="360"/>
        <w:ind w:firstLine="720"/>
        <w:rPr>
          <w:sz w:val="22"/>
          <w:szCs w:val="22"/>
        </w:rPr>
      </w:pPr>
      <w:r>
        <w:rPr>
          <w:sz w:val="22"/>
          <w:szCs w:val="22"/>
        </w:rPr>
        <w:t xml:space="preserve">Directors’ </w:t>
      </w:r>
      <w:r w:rsidR="00A5767A">
        <w:rPr>
          <w:sz w:val="22"/>
          <w:szCs w:val="22"/>
        </w:rPr>
        <w:t>r</w:t>
      </w:r>
      <w:r>
        <w:rPr>
          <w:sz w:val="22"/>
          <w:szCs w:val="22"/>
        </w:rPr>
        <w:t xml:space="preserve">emuneration report </w:t>
      </w:r>
      <w:r w:rsidR="00FC67BC">
        <w:rPr>
          <w:sz w:val="22"/>
          <w:szCs w:val="22"/>
        </w:rPr>
        <w:tab/>
      </w:r>
      <w:r w:rsidR="00FC67BC">
        <w:rPr>
          <w:sz w:val="22"/>
          <w:szCs w:val="22"/>
        </w:rPr>
        <w:tab/>
      </w:r>
      <w:r w:rsidR="00FC67BC">
        <w:rPr>
          <w:sz w:val="22"/>
          <w:szCs w:val="22"/>
        </w:rPr>
        <w:tab/>
      </w:r>
      <w:r w:rsidR="00FC67BC">
        <w:rPr>
          <w:sz w:val="22"/>
          <w:szCs w:val="22"/>
        </w:rPr>
        <w:tab/>
      </w:r>
      <w:r w:rsidR="00FC67BC">
        <w:rPr>
          <w:sz w:val="22"/>
          <w:szCs w:val="22"/>
        </w:rPr>
        <w:tab/>
      </w:r>
      <w:r w:rsidR="00FC67BC">
        <w:rPr>
          <w:sz w:val="22"/>
          <w:szCs w:val="22"/>
        </w:rPr>
        <w:tab/>
      </w:r>
      <w:r w:rsidR="00FC67BC">
        <w:rPr>
          <w:sz w:val="22"/>
          <w:szCs w:val="22"/>
        </w:rPr>
        <w:tab/>
      </w:r>
      <w:r w:rsidR="00FC67BC">
        <w:rPr>
          <w:sz w:val="22"/>
          <w:szCs w:val="22"/>
        </w:rPr>
        <w:tab/>
      </w:r>
      <w:r w:rsidR="007B6CF3">
        <w:rPr>
          <w:sz w:val="22"/>
          <w:szCs w:val="22"/>
        </w:rPr>
        <w:t>20</w:t>
      </w:r>
    </w:p>
    <w:p w14:paraId="56D24B28" w14:textId="39819A80" w:rsidR="007623F0" w:rsidRPr="006B6A5A" w:rsidRDefault="007623F0">
      <w:pPr>
        <w:spacing w:before="360"/>
        <w:ind w:firstLine="720"/>
        <w:rPr>
          <w:sz w:val="22"/>
          <w:szCs w:val="22"/>
        </w:rPr>
      </w:pPr>
      <w:r w:rsidRPr="006B6A5A">
        <w:rPr>
          <w:sz w:val="22"/>
          <w:szCs w:val="22"/>
        </w:rPr>
        <w:t>Indepe</w:t>
      </w:r>
      <w:r w:rsidR="009A77CC" w:rsidRPr="006B6A5A">
        <w:rPr>
          <w:sz w:val="22"/>
          <w:szCs w:val="22"/>
        </w:rPr>
        <w:t>ndent auditor’s report</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16FF9">
        <w:rPr>
          <w:sz w:val="22"/>
          <w:szCs w:val="22"/>
        </w:rPr>
        <w:t>2</w:t>
      </w:r>
      <w:r w:rsidR="007B6CF3">
        <w:rPr>
          <w:sz w:val="22"/>
          <w:szCs w:val="22"/>
        </w:rPr>
        <w:t>4</w:t>
      </w:r>
    </w:p>
    <w:p w14:paraId="5C9A20F6" w14:textId="3C10EA3B" w:rsidR="007623F0" w:rsidRPr="006B6A5A" w:rsidRDefault="007623F0">
      <w:pPr>
        <w:spacing w:before="360"/>
        <w:ind w:firstLine="720"/>
        <w:rPr>
          <w:sz w:val="22"/>
          <w:szCs w:val="22"/>
        </w:rPr>
      </w:pPr>
      <w:r w:rsidRPr="006B6A5A">
        <w:rPr>
          <w:sz w:val="22"/>
          <w:szCs w:val="22"/>
        </w:rPr>
        <w:t>Consolidated income statement</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753313" w:rsidRPr="006B6A5A">
        <w:rPr>
          <w:sz w:val="22"/>
          <w:szCs w:val="22"/>
        </w:rPr>
        <w:tab/>
      </w:r>
      <w:r w:rsidR="00916FF9">
        <w:rPr>
          <w:sz w:val="22"/>
          <w:szCs w:val="22"/>
        </w:rPr>
        <w:t>2</w:t>
      </w:r>
      <w:r w:rsidR="007B6CF3">
        <w:rPr>
          <w:sz w:val="22"/>
          <w:szCs w:val="22"/>
        </w:rPr>
        <w:t>9</w:t>
      </w:r>
    </w:p>
    <w:p w14:paraId="1FEF58A2" w14:textId="6FF6B777" w:rsidR="007623F0" w:rsidRPr="006B6A5A" w:rsidRDefault="007623F0">
      <w:pPr>
        <w:spacing w:before="360"/>
        <w:ind w:firstLine="720"/>
        <w:rPr>
          <w:sz w:val="22"/>
          <w:szCs w:val="22"/>
        </w:rPr>
      </w:pPr>
      <w:r w:rsidRPr="006B6A5A">
        <w:rPr>
          <w:sz w:val="22"/>
          <w:szCs w:val="22"/>
        </w:rPr>
        <w:t>Consolidated statemen</w:t>
      </w:r>
      <w:r w:rsidR="009A77CC" w:rsidRPr="006B6A5A">
        <w:rPr>
          <w:sz w:val="22"/>
          <w:szCs w:val="22"/>
        </w:rPr>
        <w:t>t of comprehensive income</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7B6CF3">
        <w:rPr>
          <w:sz w:val="22"/>
          <w:szCs w:val="22"/>
        </w:rPr>
        <w:t>30</w:t>
      </w:r>
    </w:p>
    <w:p w14:paraId="3C27FB78" w14:textId="66E94EDB" w:rsidR="007623F0" w:rsidRPr="006B6A5A" w:rsidRDefault="007623F0">
      <w:pPr>
        <w:spacing w:before="360"/>
        <w:ind w:firstLine="720"/>
        <w:rPr>
          <w:sz w:val="22"/>
          <w:szCs w:val="22"/>
        </w:rPr>
      </w:pPr>
      <w:r w:rsidRPr="006B6A5A">
        <w:rPr>
          <w:sz w:val="22"/>
          <w:szCs w:val="22"/>
        </w:rPr>
        <w:t>Consolidated stateme</w:t>
      </w:r>
      <w:r w:rsidR="009A77CC" w:rsidRPr="006B6A5A">
        <w:rPr>
          <w:sz w:val="22"/>
          <w:szCs w:val="22"/>
        </w:rPr>
        <w:t>nt of financial position</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16FF9">
        <w:rPr>
          <w:sz w:val="22"/>
          <w:szCs w:val="22"/>
        </w:rPr>
        <w:t>3</w:t>
      </w:r>
      <w:r w:rsidR="007B6CF3">
        <w:rPr>
          <w:sz w:val="22"/>
          <w:szCs w:val="22"/>
        </w:rPr>
        <w:t>1</w:t>
      </w:r>
    </w:p>
    <w:p w14:paraId="64E70268" w14:textId="1F8326DD" w:rsidR="00A12B6A" w:rsidRPr="006B6A5A" w:rsidRDefault="00A12B6A">
      <w:pPr>
        <w:spacing w:before="360"/>
        <w:ind w:firstLine="720"/>
        <w:rPr>
          <w:sz w:val="22"/>
          <w:szCs w:val="22"/>
        </w:rPr>
      </w:pPr>
      <w:r w:rsidRPr="006B6A5A">
        <w:rPr>
          <w:sz w:val="22"/>
          <w:szCs w:val="22"/>
        </w:rPr>
        <w:t>Company statement of financial position</w:t>
      </w:r>
      <w:r w:rsidRPr="006B6A5A">
        <w:rPr>
          <w:sz w:val="22"/>
          <w:szCs w:val="22"/>
        </w:rPr>
        <w:tab/>
      </w:r>
      <w:r w:rsidRPr="006B6A5A">
        <w:rPr>
          <w:sz w:val="22"/>
          <w:szCs w:val="22"/>
        </w:rPr>
        <w:tab/>
      </w:r>
      <w:r w:rsidRPr="006B6A5A">
        <w:rPr>
          <w:sz w:val="22"/>
          <w:szCs w:val="22"/>
        </w:rPr>
        <w:tab/>
      </w:r>
      <w:r w:rsidR="006A06BB" w:rsidRPr="006B6A5A">
        <w:rPr>
          <w:sz w:val="22"/>
          <w:szCs w:val="22"/>
        </w:rPr>
        <w:tab/>
      </w:r>
      <w:r w:rsidRPr="006B6A5A">
        <w:rPr>
          <w:sz w:val="22"/>
          <w:szCs w:val="22"/>
        </w:rPr>
        <w:tab/>
      </w:r>
      <w:r w:rsidRPr="006B6A5A">
        <w:rPr>
          <w:sz w:val="22"/>
          <w:szCs w:val="22"/>
        </w:rPr>
        <w:tab/>
      </w:r>
      <w:r w:rsidRPr="006B6A5A">
        <w:rPr>
          <w:sz w:val="22"/>
          <w:szCs w:val="22"/>
        </w:rPr>
        <w:tab/>
      </w:r>
      <w:r w:rsidR="00916FF9">
        <w:rPr>
          <w:sz w:val="22"/>
          <w:szCs w:val="22"/>
        </w:rPr>
        <w:t>3</w:t>
      </w:r>
      <w:r w:rsidR="007B6CF3">
        <w:rPr>
          <w:sz w:val="22"/>
          <w:szCs w:val="22"/>
        </w:rPr>
        <w:t>2</w:t>
      </w:r>
    </w:p>
    <w:p w14:paraId="0D544B7E" w14:textId="0576B711" w:rsidR="0016014D" w:rsidRPr="006B6A5A" w:rsidRDefault="007623F0">
      <w:pPr>
        <w:spacing w:before="360"/>
        <w:ind w:firstLine="720"/>
        <w:rPr>
          <w:sz w:val="22"/>
          <w:szCs w:val="22"/>
        </w:rPr>
      </w:pPr>
      <w:r w:rsidRPr="006B6A5A">
        <w:rPr>
          <w:sz w:val="22"/>
          <w:szCs w:val="22"/>
        </w:rPr>
        <w:t>Consolidated statem</w:t>
      </w:r>
      <w:r w:rsidR="009A77CC" w:rsidRPr="006B6A5A">
        <w:rPr>
          <w:sz w:val="22"/>
          <w:szCs w:val="22"/>
        </w:rPr>
        <w:t>ent of changes in equity</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16FF9">
        <w:rPr>
          <w:sz w:val="22"/>
          <w:szCs w:val="22"/>
        </w:rPr>
        <w:t>3</w:t>
      </w:r>
      <w:r w:rsidR="007B6CF3">
        <w:rPr>
          <w:sz w:val="22"/>
          <w:szCs w:val="22"/>
        </w:rPr>
        <w:t>3</w:t>
      </w:r>
    </w:p>
    <w:p w14:paraId="75E0CFFA" w14:textId="3659C54B" w:rsidR="007623F0" w:rsidRPr="006B6A5A" w:rsidRDefault="0016014D">
      <w:pPr>
        <w:spacing w:before="360"/>
        <w:ind w:firstLine="720"/>
        <w:rPr>
          <w:sz w:val="22"/>
          <w:szCs w:val="22"/>
        </w:rPr>
      </w:pPr>
      <w:r w:rsidRPr="006B6A5A">
        <w:rPr>
          <w:sz w:val="22"/>
          <w:szCs w:val="22"/>
        </w:rPr>
        <w:t>Company statement of changes in equity</w:t>
      </w:r>
      <w:r w:rsidRPr="006B6A5A">
        <w:rPr>
          <w:sz w:val="22"/>
          <w:szCs w:val="22"/>
        </w:rPr>
        <w:tab/>
        <w:t xml:space="preserve"> </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916FF9">
        <w:rPr>
          <w:sz w:val="22"/>
          <w:szCs w:val="22"/>
        </w:rPr>
        <w:t>3</w:t>
      </w:r>
      <w:r w:rsidR="007B6CF3">
        <w:rPr>
          <w:sz w:val="22"/>
          <w:szCs w:val="22"/>
        </w:rPr>
        <w:t>4</w:t>
      </w:r>
    </w:p>
    <w:p w14:paraId="4C97944B" w14:textId="2CF297FA" w:rsidR="0016014D" w:rsidRPr="006B6A5A" w:rsidRDefault="009A77CC">
      <w:pPr>
        <w:spacing w:before="360"/>
        <w:ind w:firstLine="720"/>
        <w:rPr>
          <w:sz w:val="22"/>
          <w:szCs w:val="22"/>
        </w:rPr>
      </w:pPr>
      <w:r w:rsidRPr="006B6A5A">
        <w:rPr>
          <w:sz w:val="22"/>
          <w:szCs w:val="22"/>
        </w:rPr>
        <w:t>Consolidated cash flow statement</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916FF9">
        <w:rPr>
          <w:sz w:val="22"/>
          <w:szCs w:val="22"/>
        </w:rPr>
        <w:t>3</w:t>
      </w:r>
      <w:r w:rsidR="007B6CF3">
        <w:rPr>
          <w:sz w:val="22"/>
          <w:szCs w:val="22"/>
        </w:rPr>
        <w:t>5</w:t>
      </w:r>
    </w:p>
    <w:p w14:paraId="6E20DF6E" w14:textId="71BD2177" w:rsidR="009A77CC" w:rsidRPr="006B6A5A" w:rsidRDefault="0016014D">
      <w:pPr>
        <w:spacing w:before="360"/>
        <w:ind w:firstLine="720"/>
        <w:rPr>
          <w:sz w:val="22"/>
          <w:szCs w:val="22"/>
        </w:rPr>
      </w:pPr>
      <w:r w:rsidRPr="006B6A5A">
        <w:rPr>
          <w:sz w:val="22"/>
          <w:szCs w:val="22"/>
        </w:rPr>
        <w:t>Company cash flow statement</w:t>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Pr="006B6A5A">
        <w:rPr>
          <w:sz w:val="22"/>
          <w:szCs w:val="22"/>
        </w:rPr>
        <w:tab/>
      </w:r>
      <w:r w:rsidR="00916FF9">
        <w:rPr>
          <w:sz w:val="22"/>
          <w:szCs w:val="22"/>
        </w:rPr>
        <w:t>3</w:t>
      </w:r>
      <w:r w:rsidR="007B6CF3">
        <w:rPr>
          <w:sz w:val="22"/>
          <w:szCs w:val="22"/>
        </w:rPr>
        <w:t>6</w:t>
      </w:r>
    </w:p>
    <w:p w14:paraId="7E286529" w14:textId="7FB9D5A7" w:rsidR="007623F0" w:rsidRPr="000230EA" w:rsidRDefault="007623F0">
      <w:pPr>
        <w:spacing w:before="360"/>
        <w:rPr>
          <w:sz w:val="22"/>
          <w:szCs w:val="22"/>
        </w:rPr>
      </w:pPr>
      <w:r w:rsidRPr="006B6A5A">
        <w:rPr>
          <w:sz w:val="22"/>
          <w:szCs w:val="22"/>
        </w:rPr>
        <w:tab/>
        <w:t>Notes to t</w:t>
      </w:r>
      <w:r w:rsidR="009A77CC" w:rsidRPr="006B6A5A">
        <w:rPr>
          <w:sz w:val="22"/>
          <w:szCs w:val="22"/>
        </w:rPr>
        <w:t>he financial statements</w:t>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9A77CC" w:rsidRPr="006B6A5A">
        <w:rPr>
          <w:sz w:val="22"/>
          <w:szCs w:val="22"/>
        </w:rPr>
        <w:tab/>
      </w:r>
      <w:r w:rsidR="006A06BB" w:rsidRPr="006B6A5A">
        <w:rPr>
          <w:sz w:val="22"/>
          <w:szCs w:val="22"/>
        </w:rPr>
        <w:tab/>
      </w:r>
      <w:r w:rsidR="009A77CC" w:rsidRPr="006B6A5A">
        <w:rPr>
          <w:sz w:val="22"/>
          <w:szCs w:val="22"/>
        </w:rPr>
        <w:tab/>
      </w:r>
      <w:r w:rsidR="009A77CC" w:rsidRPr="006B6A5A">
        <w:rPr>
          <w:sz w:val="22"/>
          <w:szCs w:val="22"/>
        </w:rPr>
        <w:tab/>
      </w:r>
      <w:r w:rsidR="00916FF9">
        <w:rPr>
          <w:sz w:val="22"/>
          <w:szCs w:val="22"/>
        </w:rPr>
        <w:t>3</w:t>
      </w:r>
      <w:r w:rsidR="007B6CF3">
        <w:rPr>
          <w:sz w:val="22"/>
          <w:szCs w:val="22"/>
        </w:rPr>
        <w:t>7</w:t>
      </w:r>
    </w:p>
    <w:p w14:paraId="6EBDCCCE" w14:textId="77777777" w:rsidR="007623F0" w:rsidRPr="000230EA" w:rsidRDefault="007623F0">
      <w:pPr>
        <w:rPr>
          <w:sz w:val="22"/>
          <w:szCs w:val="22"/>
        </w:rPr>
      </w:pPr>
    </w:p>
    <w:p w14:paraId="0266DEDF" w14:textId="77777777" w:rsidR="007623F0" w:rsidRPr="000230EA" w:rsidRDefault="007623F0">
      <w:pPr>
        <w:pStyle w:val="BodyTextIndent"/>
        <w:rPr>
          <w:sz w:val="22"/>
          <w:szCs w:val="22"/>
        </w:rPr>
        <w:sectPr w:rsidR="007623F0" w:rsidRPr="000230EA" w:rsidSect="002E4AA5">
          <w:headerReference w:type="first" r:id="rId11"/>
          <w:footerReference w:type="first" r:id="rId12"/>
          <w:pgSz w:w="11909" w:h="16834" w:code="9"/>
          <w:pgMar w:top="567" w:right="936" w:bottom="720" w:left="936" w:header="706" w:footer="706" w:gutter="0"/>
          <w:pgNumType w:start="0"/>
          <w:cols w:space="720"/>
          <w:titlePg/>
        </w:sectPr>
      </w:pPr>
    </w:p>
    <w:p w14:paraId="262ABD9F" w14:textId="77777777" w:rsidR="007623F0" w:rsidRPr="000230EA" w:rsidRDefault="007623F0">
      <w:pPr>
        <w:jc w:val="both"/>
        <w:rPr>
          <w:b/>
          <w:sz w:val="22"/>
          <w:szCs w:val="22"/>
        </w:rPr>
      </w:pPr>
    </w:p>
    <w:p w14:paraId="50B9443E" w14:textId="77777777" w:rsidR="007623F0" w:rsidRPr="00AD67FF" w:rsidRDefault="007623F0">
      <w:pPr>
        <w:ind w:left="1440"/>
        <w:jc w:val="both"/>
        <w:rPr>
          <w:sz w:val="22"/>
          <w:szCs w:val="22"/>
        </w:rPr>
      </w:pPr>
      <w:r w:rsidRPr="00AD67FF">
        <w:rPr>
          <w:b/>
          <w:sz w:val="22"/>
          <w:szCs w:val="22"/>
        </w:rPr>
        <w:t xml:space="preserve">DIRECTORS </w:t>
      </w:r>
    </w:p>
    <w:p w14:paraId="7361A18D" w14:textId="56FA6C2A" w:rsidR="002A2D94" w:rsidRDefault="002A2D94" w:rsidP="002A2D94">
      <w:pPr>
        <w:ind w:left="1440"/>
        <w:jc w:val="both"/>
        <w:rPr>
          <w:sz w:val="22"/>
          <w:szCs w:val="22"/>
        </w:rPr>
      </w:pPr>
      <w:r w:rsidRPr="00AD67FF">
        <w:rPr>
          <w:sz w:val="22"/>
          <w:szCs w:val="22"/>
        </w:rPr>
        <w:t>Christopher Latilla-Campbell (Non-</w:t>
      </w:r>
      <w:r w:rsidR="006845FB">
        <w:rPr>
          <w:sz w:val="22"/>
          <w:szCs w:val="22"/>
        </w:rPr>
        <w:t>E</w:t>
      </w:r>
      <w:r w:rsidRPr="00AD67FF">
        <w:rPr>
          <w:sz w:val="22"/>
          <w:szCs w:val="22"/>
        </w:rPr>
        <w:t>xecutive Chairman)</w:t>
      </w:r>
    </w:p>
    <w:p w14:paraId="6E7BE34D" w14:textId="14FEF602" w:rsidR="007623F0" w:rsidRPr="00AD67FF" w:rsidRDefault="001B7259">
      <w:pPr>
        <w:ind w:left="1440"/>
        <w:jc w:val="both"/>
        <w:rPr>
          <w:sz w:val="22"/>
          <w:szCs w:val="22"/>
        </w:rPr>
      </w:pPr>
      <w:r w:rsidRPr="00AD67FF">
        <w:rPr>
          <w:sz w:val="22"/>
          <w:szCs w:val="22"/>
        </w:rPr>
        <w:t>Rolf Gerritsen (Chief Executive Officer</w:t>
      </w:r>
      <w:r w:rsidR="007623F0" w:rsidRPr="00AD67FF">
        <w:rPr>
          <w:sz w:val="22"/>
          <w:szCs w:val="22"/>
        </w:rPr>
        <w:t>)</w:t>
      </w:r>
    </w:p>
    <w:p w14:paraId="743C184D" w14:textId="6014757A" w:rsidR="002A2D94" w:rsidRPr="00AD67FF" w:rsidRDefault="002A2D94">
      <w:pPr>
        <w:ind w:left="1440"/>
        <w:jc w:val="both"/>
        <w:rPr>
          <w:sz w:val="22"/>
          <w:szCs w:val="22"/>
        </w:rPr>
      </w:pPr>
      <w:r>
        <w:rPr>
          <w:sz w:val="22"/>
          <w:szCs w:val="22"/>
        </w:rPr>
        <w:t xml:space="preserve">Pierpaolo Rocco (Executive </w:t>
      </w:r>
      <w:r w:rsidR="006845FB">
        <w:rPr>
          <w:sz w:val="22"/>
          <w:szCs w:val="22"/>
        </w:rPr>
        <w:t>D</w:t>
      </w:r>
      <w:r>
        <w:rPr>
          <w:sz w:val="22"/>
          <w:szCs w:val="22"/>
        </w:rPr>
        <w:t>irector, Oil &amp; Gas)</w:t>
      </w:r>
    </w:p>
    <w:p w14:paraId="09A52371" w14:textId="0BEBAA95" w:rsidR="001B7259" w:rsidRPr="00AD67FF" w:rsidRDefault="001B7259">
      <w:pPr>
        <w:ind w:left="1440"/>
        <w:jc w:val="both"/>
        <w:rPr>
          <w:sz w:val="22"/>
          <w:szCs w:val="22"/>
        </w:rPr>
      </w:pPr>
      <w:r w:rsidRPr="00AD67FF">
        <w:rPr>
          <w:sz w:val="22"/>
          <w:szCs w:val="22"/>
        </w:rPr>
        <w:t>C</w:t>
      </w:r>
      <w:r w:rsidR="000B23EA">
        <w:rPr>
          <w:sz w:val="22"/>
          <w:szCs w:val="22"/>
        </w:rPr>
        <w:t>hristian</w:t>
      </w:r>
      <w:r w:rsidRPr="00AD67FF">
        <w:rPr>
          <w:sz w:val="22"/>
          <w:szCs w:val="22"/>
        </w:rPr>
        <w:t xml:space="preserve"> </w:t>
      </w:r>
      <w:proofErr w:type="spellStart"/>
      <w:r w:rsidRPr="00AD67FF">
        <w:rPr>
          <w:sz w:val="22"/>
          <w:szCs w:val="22"/>
        </w:rPr>
        <w:t>Schaffalitzky</w:t>
      </w:r>
      <w:proofErr w:type="spellEnd"/>
      <w:r w:rsidR="006845FB">
        <w:rPr>
          <w:sz w:val="22"/>
          <w:szCs w:val="22"/>
        </w:rPr>
        <w:t xml:space="preserve"> de </w:t>
      </w:r>
      <w:proofErr w:type="spellStart"/>
      <w:r w:rsidR="006845FB">
        <w:rPr>
          <w:sz w:val="22"/>
          <w:szCs w:val="22"/>
        </w:rPr>
        <w:t>Muckadell</w:t>
      </w:r>
      <w:proofErr w:type="spellEnd"/>
      <w:r w:rsidRPr="00AD67FF">
        <w:rPr>
          <w:sz w:val="22"/>
          <w:szCs w:val="22"/>
        </w:rPr>
        <w:t xml:space="preserve"> (Non-</w:t>
      </w:r>
      <w:r w:rsidR="006845FB">
        <w:rPr>
          <w:sz w:val="22"/>
          <w:szCs w:val="22"/>
        </w:rPr>
        <w:t>E</w:t>
      </w:r>
      <w:r w:rsidRPr="00AD67FF">
        <w:rPr>
          <w:sz w:val="22"/>
          <w:szCs w:val="22"/>
        </w:rPr>
        <w:t xml:space="preserve">xecutive </w:t>
      </w:r>
      <w:r w:rsidR="00B208D4">
        <w:rPr>
          <w:sz w:val="22"/>
          <w:szCs w:val="22"/>
        </w:rPr>
        <w:t>d</w:t>
      </w:r>
      <w:r w:rsidRPr="00AD67FF">
        <w:rPr>
          <w:sz w:val="22"/>
          <w:szCs w:val="22"/>
        </w:rPr>
        <w:t xml:space="preserve">irector) </w:t>
      </w:r>
    </w:p>
    <w:p w14:paraId="6158317F" w14:textId="77777777" w:rsidR="007623F0" w:rsidRPr="00AD67FF" w:rsidRDefault="007623F0">
      <w:pPr>
        <w:ind w:left="1440"/>
        <w:jc w:val="both"/>
        <w:rPr>
          <w:sz w:val="22"/>
          <w:szCs w:val="22"/>
        </w:rPr>
      </w:pPr>
    </w:p>
    <w:p w14:paraId="0F6FB772" w14:textId="77777777" w:rsidR="007623F0" w:rsidRPr="00AD67FF" w:rsidRDefault="007623F0">
      <w:pPr>
        <w:ind w:left="1440"/>
        <w:jc w:val="both"/>
        <w:rPr>
          <w:sz w:val="22"/>
          <w:szCs w:val="22"/>
        </w:rPr>
      </w:pPr>
      <w:r w:rsidRPr="00AD67FF">
        <w:rPr>
          <w:b/>
          <w:sz w:val="22"/>
          <w:szCs w:val="22"/>
        </w:rPr>
        <w:t>SECRETARY</w:t>
      </w:r>
    </w:p>
    <w:p w14:paraId="044E3ED0" w14:textId="41FC7ADA" w:rsidR="00D72D53" w:rsidRPr="00AD67FF" w:rsidRDefault="001B7259" w:rsidP="00D72D53">
      <w:pPr>
        <w:pStyle w:val="Heading1"/>
        <w:rPr>
          <w:sz w:val="22"/>
          <w:szCs w:val="22"/>
        </w:rPr>
      </w:pPr>
      <w:r w:rsidRPr="00AD67FF">
        <w:rPr>
          <w:sz w:val="22"/>
          <w:szCs w:val="22"/>
        </w:rPr>
        <w:t xml:space="preserve">City Group </w:t>
      </w:r>
      <w:r w:rsidR="002A2D94">
        <w:rPr>
          <w:sz w:val="22"/>
          <w:szCs w:val="22"/>
        </w:rPr>
        <w:t>PLC</w:t>
      </w:r>
    </w:p>
    <w:p w14:paraId="48CC5D65" w14:textId="77777777" w:rsidR="007623F0" w:rsidRPr="00AD67FF" w:rsidRDefault="007623F0">
      <w:pPr>
        <w:ind w:left="1440"/>
        <w:jc w:val="both"/>
        <w:rPr>
          <w:sz w:val="22"/>
          <w:szCs w:val="22"/>
        </w:rPr>
      </w:pPr>
    </w:p>
    <w:p w14:paraId="6327CF7E" w14:textId="77777777" w:rsidR="007623F0" w:rsidRPr="00AD67FF" w:rsidRDefault="007623F0">
      <w:pPr>
        <w:ind w:left="1440"/>
        <w:jc w:val="both"/>
        <w:rPr>
          <w:sz w:val="22"/>
          <w:szCs w:val="22"/>
        </w:rPr>
      </w:pPr>
      <w:r w:rsidRPr="00AD67FF">
        <w:rPr>
          <w:b/>
          <w:sz w:val="22"/>
          <w:szCs w:val="22"/>
        </w:rPr>
        <w:t>REGISTERED OFFICE</w:t>
      </w:r>
    </w:p>
    <w:p w14:paraId="3D22D1EA" w14:textId="42B8CE61" w:rsidR="001B7259" w:rsidRPr="00AD67FF" w:rsidRDefault="001A7F42">
      <w:pPr>
        <w:ind w:left="1440"/>
        <w:jc w:val="both"/>
        <w:rPr>
          <w:sz w:val="22"/>
          <w:szCs w:val="22"/>
        </w:rPr>
      </w:pPr>
      <w:r>
        <w:rPr>
          <w:sz w:val="22"/>
          <w:szCs w:val="22"/>
        </w:rPr>
        <w:t>1 Ely Place</w:t>
      </w:r>
    </w:p>
    <w:p w14:paraId="2831ECBB" w14:textId="24DE39E2" w:rsidR="001B7259" w:rsidRPr="00AD67FF" w:rsidRDefault="001B7259">
      <w:pPr>
        <w:ind w:left="1440"/>
        <w:jc w:val="both"/>
        <w:rPr>
          <w:sz w:val="22"/>
          <w:szCs w:val="22"/>
        </w:rPr>
      </w:pPr>
      <w:r w:rsidRPr="00AD67FF">
        <w:rPr>
          <w:sz w:val="22"/>
          <w:szCs w:val="22"/>
        </w:rPr>
        <w:t>London</w:t>
      </w:r>
      <w:r w:rsidR="009549DE">
        <w:rPr>
          <w:sz w:val="22"/>
          <w:szCs w:val="22"/>
        </w:rPr>
        <w:t>, EC1N 6RY</w:t>
      </w:r>
    </w:p>
    <w:p w14:paraId="45CE7678" w14:textId="77777777" w:rsidR="007623F0" w:rsidRPr="00AD67FF" w:rsidRDefault="007623F0">
      <w:pPr>
        <w:ind w:left="1440"/>
        <w:jc w:val="both"/>
        <w:rPr>
          <w:sz w:val="22"/>
          <w:szCs w:val="22"/>
        </w:rPr>
      </w:pPr>
    </w:p>
    <w:p w14:paraId="1CA3A712" w14:textId="41BDD4D1" w:rsidR="007623F0" w:rsidRPr="00AD67FF" w:rsidRDefault="001B7259">
      <w:pPr>
        <w:ind w:left="1440"/>
        <w:jc w:val="both"/>
        <w:rPr>
          <w:b/>
          <w:sz w:val="22"/>
          <w:szCs w:val="22"/>
        </w:rPr>
      </w:pPr>
      <w:r w:rsidRPr="00AD67FF">
        <w:rPr>
          <w:b/>
          <w:sz w:val="22"/>
          <w:szCs w:val="22"/>
        </w:rPr>
        <w:t xml:space="preserve">CORPORATE </w:t>
      </w:r>
      <w:r w:rsidR="007623F0" w:rsidRPr="00AD67FF">
        <w:rPr>
          <w:b/>
          <w:sz w:val="22"/>
          <w:szCs w:val="22"/>
        </w:rPr>
        <w:t>ADVISERS</w:t>
      </w:r>
    </w:p>
    <w:p w14:paraId="6F15A2EC" w14:textId="0E01D52A" w:rsidR="001B7259" w:rsidRPr="00AD67FF" w:rsidRDefault="001B7259">
      <w:pPr>
        <w:pStyle w:val="Heading1"/>
        <w:rPr>
          <w:sz w:val="22"/>
          <w:szCs w:val="22"/>
        </w:rPr>
      </w:pPr>
      <w:r w:rsidRPr="00AD67FF">
        <w:rPr>
          <w:sz w:val="22"/>
          <w:szCs w:val="22"/>
        </w:rPr>
        <w:t xml:space="preserve">Peterhouse </w:t>
      </w:r>
      <w:r w:rsidR="002A2D94">
        <w:rPr>
          <w:sz w:val="22"/>
          <w:szCs w:val="22"/>
        </w:rPr>
        <w:t xml:space="preserve">Capital </w:t>
      </w:r>
      <w:r w:rsidRPr="00AD67FF">
        <w:rPr>
          <w:sz w:val="22"/>
          <w:szCs w:val="22"/>
        </w:rPr>
        <w:t>Limited</w:t>
      </w:r>
    </w:p>
    <w:p w14:paraId="2F5520F7" w14:textId="77777777" w:rsidR="00B0215D" w:rsidRDefault="002A2D94" w:rsidP="001B7259">
      <w:pPr>
        <w:pStyle w:val="Heading1"/>
        <w:rPr>
          <w:sz w:val="22"/>
          <w:szCs w:val="22"/>
        </w:rPr>
      </w:pPr>
      <w:r>
        <w:rPr>
          <w:sz w:val="22"/>
          <w:szCs w:val="22"/>
        </w:rPr>
        <w:t>80 Cheapside</w:t>
      </w:r>
    </w:p>
    <w:p w14:paraId="41DBC350" w14:textId="54DF812E" w:rsidR="007623F0" w:rsidRPr="00AD67FF" w:rsidRDefault="001B7259" w:rsidP="001B7259">
      <w:pPr>
        <w:pStyle w:val="Heading1"/>
        <w:rPr>
          <w:b/>
          <w:sz w:val="22"/>
          <w:szCs w:val="22"/>
        </w:rPr>
      </w:pPr>
      <w:r w:rsidRPr="00AD67FF">
        <w:rPr>
          <w:sz w:val="22"/>
          <w:szCs w:val="22"/>
        </w:rPr>
        <w:t>London</w:t>
      </w:r>
      <w:r w:rsidR="000B5A50">
        <w:rPr>
          <w:sz w:val="22"/>
          <w:szCs w:val="22"/>
        </w:rPr>
        <w:t xml:space="preserve">, </w:t>
      </w:r>
      <w:r w:rsidR="002A2D94">
        <w:rPr>
          <w:sz w:val="22"/>
          <w:szCs w:val="22"/>
        </w:rPr>
        <w:t xml:space="preserve">EC2V </w:t>
      </w:r>
      <w:r w:rsidR="006B6A5A">
        <w:rPr>
          <w:sz w:val="22"/>
          <w:szCs w:val="22"/>
        </w:rPr>
        <w:t>6EE</w:t>
      </w:r>
    </w:p>
    <w:p w14:paraId="26E0A570" w14:textId="77777777" w:rsidR="007623F0" w:rsidRPr="00AD67FF" w:rsidRDefault="007623F0">
      <w:pPr>
        <w:ind w:left="1440"/>
        <w:jc w:val="both"/>
        <w:rPr>
          <w:b/>
          <w:sz w:val="22"/>
          <w:szCs w:val="22"/>
        </w:rPr>
      </w:pPr>
    </w:p>
    <w:p w14:paraId="13377735" w14:textId="77777777" w:rsidR="007623F0" w:rsidRPr="00AD67FF" w:rsidRDefault="007623F0">
      <w:pPr>
        <w:ind w:left="1440"/>
        <w:jc w:val="both"/>
        <w:rPr>
          <w:b/>
          <w:sz w:val="22"/>
          <w:szCs w:val="22"/>
        </w:rPr>
      </w:pPr>
      <w:r w:rsidRPr="00AD67FF">
        <w:rPr>
          <w:b/>
          <w:sz w:val="22"/>
          <w:szCs w:val="22"/>
        </w:rPr>
        <w:t>BROKERS</w:t>
      </w:r>
    </w:p>
    <w:p w14:paraId="6EAA9CB2" w14:textId="77777777" w:rsidR="001B7259" w:rsidRPr="00AD67FF" w:rsidRDefault="001B7259">
      <w:pPr>
        <w:ind w:left="1440"/>
        <w:jc w:val="both"/>
        <w:rPr>
          <w:sz w:val="22"/>
          <w:szCs w:val="22"/>
        </w:rPr>
      </w:pPr>
      <w:r w:rsidRPr="00AD67FF">
        <w:rPr>
          <w:sz w:val="22"/>
          <w:szCs w:val="22"/>
        </w:rPr>
        <w:t>SI Capital Limited</w:t>
      </w:r>
    </w:p>
    <w:p w14:paraId="4FA87ADA" w14:textId="77777777" w:rsidR="001B7259" w:rsidRPr="00AD67FF" w:rsidRDefault="001B7259">
      <w:pPr>
        <w:ind w:left="1440"/>
        <w:jc w:val="both"/>
        <w:rPr>
          <w:sz w:val="22"/>
          <w:szCs w:val="22"/>
        </w:rPr>
      </w:pPr>
      <w:r w:rsidRPr="00AD67FF">
        <w:rPr>
          <w:sz w:val="22"/>
          <w:szCs w:val="22"/>
        </w:rPr>
        <w:t>46 Bridge Street</w:t>
      </w:r>
    </w:p>
    <w:p w14:paraId="1CE8D7E0" w14:textId="77777777" w:rsidR="001B7259" w:rsidRPr="00AD67FF" w:rsidRDefault="001B7259">
      <w:pPr>
        <w:ind w:left="1440"/>
        <w:jc w:val="both"/>
        <w:rPr>
          <w:sz w:val="22"/>
          <w:szCs w:val="22"/>
        </w:rPr>
      </w:pPr>
      <w:r w:rsidRPr="00AD67FF">
        <w:rPr>
          <w:sz w:val="22"/>
          <w:szCs w:val="22"/>
        </w:rPr>
        <w:t>Godalming</w:t>
      </w:r>
    </w:p>
    <w:p w14:paraId="00E6E927" w14:textId="617B7C62" w:rsidR="000F37CA" w:rsidRPr="00AD67FF" w:rsidRDefault="001B7259">
      <w:pPr>
        <w:ind w:left="1440"/>
        <w:jc w:val="both"/>
        <w:rPr>
          <w:sz w:val="22"/>
          <w:szCs w:val="22"/>
        </w:rPr>
      </w:pPr>
      <w:r w:rsidRPr="00AD67FF">
        <w:rPr>
          <w:sz w:val="22"/>
          <w:szCs w:val="22"/>
        </w:rPr>
        <w:t>Surrey</w:t>
      </w:r>
      <w:r w:rsidR="000B5A50">
        <w:rPr>
          <w:sz w:val="22"/>
          <w:szCs w:val="22"/>
        </w:rPr>
        <w:t xml:space="preserve">, </w:t>
      </w:r>
      <w:r w:rsidRPr="00AD67FF">
        <w:rPr>
          <w:sz w:val="22"/>
          <w:szCs w:val="22"/>
        </w:rPr>
        <w:t>GU7 1HL</w:t>
      </w:r>
    </w:p>
    <w:p w14:paraId="309D660C" w14:textId="77777777" w:rsidR="007623F0" w:rsidRPr="00AD67FF" w:rsidRDefault="007623F0">
      <w:pPr>
        <w:ind w:left="1440"/>
        <w:jc w:val="both"/>
        <w:rPr>
          <w:b/>
          <w:sz w:val="22"/>
          <w:szCs w:val="22"/>
        </w:rPr>
      </w:pPr>
    </w:p>
    <w:p w14:paraId="21609B8D" w14:textId="77777777" w:rsidR="007623F0" w:rsidRPr="00AD67FF" w:rsidRDefault="007623F0">
      <w:pPr>
        <w:ind w:left="1440"/>
        <w:jc w:val="both"/>
        <w:rPr>
          <w:sz w:val="22"/>
          <w:szCs w:val="22"/>
        </w:rPr>
      </w:pPr>
      <w:r w:rsidRPr="00AD67FF">
        <w:rPr>
          <w:b/>
          <w:sz w:val="22"/>
          <w:szCs w:val="22"/>
        </w:rPr>
        <w:t>AUDITOR</w:t>
      </w:r>
    </w:p>
    <w:p w14:paraId="3A6344E2" w14:textId="77777777" w:rsidR="001B7259" w:rsidRPr="00AD67FF" w:rsidRDefault="001B7259">
      <w:pPr>
        <w:ind w:left="1440"/>
        <w:jc w:val="both"/>
        <w:rPr>
          <w:sz w:val="22"/>
          <w:szCs w:val="22"/>
        </w:rPr>
      </w:pPr>
      <w:r w:rsidRPr="00AD67FF">
        <w:rPr>
          <w:sz w:val="22"/>
          <w:szCs w:val="22"/>
        </w:rPr>
        <w:t>Edwards Veeder (UK) Limited</w:t>
      </w:r>
    </w:p>
    <w:p w14:paraId="76D8486B" w14:textId="77777777" w:rsidR="001B7259" w:rsidRPr="00AD67FF" w:rsidRDefault="001B7259">
      <w:pPr>
        <w:ind w:left="1440"/>
        <w:jc w:val="both"/>
        <w:rPr>
          <w:sz w:val="22"/>
          <w:szCs w:val="22"/>
        </w:rPr>
      </w:pPr>
      <w:r w:rsidRPr="00AD67FF">
        <w:rPr>
          <w:sz w:val="22"/>
          <w:szCs w:val="22"/>
        </w:rPr>
        <w:t>Chartered Accountant and Statutory Auditor</w:t>
      </w:r>
    </w:p>
    <w:p w14:paraId="5951893E" w14:textId="77777777" w:rsidR="001B7259" w:rsidRPr="00AD67FF" w:rsidRDefault="001B7259">
      <w:pPr>
        <w:ind w:left="1440"/>
        <w:jc w:val="both"/>
        <w:rPr>
          <w:sz w:val="22"/>
          <w:szCs w:val="22"/>
        </w:rPr>
      </w:pPr>
      <w:r w:rsidRPr="00AD67FF">
        <w:rPr>
          <w:sz w:val="22"/>
          <w:szCs w:val="22"/>
        </w:rPr>
        <w:t>4 Broadgate</w:t>
      </w:r>
    </w:p>
    <w:p w14:paraId="3BB3B592" w14:textId="77777777" w:rsidR="001B7259" w:rsidRPr="00AD67FF" w:rsidRDefault="001B7259">
      <w:pPr>
        <w:ind w:left="1440"/>
        <w:jc w:val="both"/>
        <w:rPr>
          <w:sz w:val="22"/>
          <w:szCs w:val="22"/>
        </w:rPr>
      </w:pPr>
      <w:r w:rsidRPr="00AD67FF">
        <w:rPr>
          <w:sz w:val="22"/>
          <w:szCs w:val="22"/>
        </w:rPr>
        <w:t>Broadway Business Park</w:t>
      </w:r>
    </w:p>
    <w:p w14:paraId="24B6B7DE" w14:textId="77777777" w:rsidR="001B7259" w:rsidRPr="00AD67FF" w:rsidRDefault="001B7259">
      <w:pPr>
        <w:ind w:left="1440"/>
        <w:jc w:val="both"/>
        <w:rPr>
          <w:sz w:val="22"/>
          <w:szCs w:val="22"/>
        </w:rPr>
      </w:pPr>
      <w:r w:rsidRPr="00AD67FF">
        <w:rPr>
          <w:sz w:val="22"/>
          <w:szCs w:val="22"/>
        </w:rPr>
        <w:t>Chadderton</w:t>
      </w:r>
    </w:p>
    <w:p w14:paraId="2A764001" w14:textId="5B755BA0" w:rsidR="007623F0" w:rsidRPr="00AD67FF" w:rsidRDefault="001B7259">
      <w:pPr>
        <w:ind w:left="1440"/>
        <w:jc w:val="both"/>
        <w:rPr>
          <w:sz w:val="22"/>
          <w:szCs w:val="22"/>
        </w:rPr>
      </w:pPr>
      <w:r w:rsidRPr="00AD67FF">
        <w:rPr>
          <w:sz w:val="22"/>
          <w:szCs w:val="22"/>
        </w:rPr>
        <w:t>Oldham</w:t>
      </w:r>
      <w:r w:rsidR="000B5A50">
        <w:rPr>
          <w:sz w:val="22"/>
          <w:szCs w:val="22"/>
        </w:rPr>
        <w:t xml:space="preserve">, </w:t>
      </w:r>
      <w:r w:rsidRPr="00AD67FF">
        <w:rPr>
          <w:sz w:val="22"/>
          <w:szCs w:val="22"/>
        </w:rPr>
        <w:t>OL9 9XA</w:t>
      </w:r>
    </w:p>
    <w:p w14:paraId="15821E6A" w14:textId="77777777" w:rsidR="007623F0" w:rsidRPr="00AD67FF" w:rsidRDefault="007623F0">
      <w:pPr>
        <w:ind w:left="1440"/>
        <w:jc w:val="both"/>
        <w:rPr>
          <w:sz w:val="22"/>
          <w:szCs w:val="22"/>
        </w:rPr>
      </w:pPr>
    </w:p>
    <w:p w14:paraId="3BD576E4" w14:textId="77777777" w:rsidR="007623F0" w:rsidRPr="00AD67FF" w:rsidRDefault="007623F0">
      <w:pPr>
        <w:ind w:left="1440"/>
        <w:jc w:val="both"/>
        <w:rPr>
          <w:sz w:val="22"/>
          <w:szCs w:val="22"/>
        </w:rPr>
      </w:pPr>
      <w:r w:rsidRPr="00AD67FF">
        <w:rPr>
          <w:b/>
          <w:sz w:val="22"/>
          <w:szCs w:val="22"/>
        </w:rPr>
        <w:t>SOLICITORS</w:t>
      </w:r>
    </w:p>
    <w:p w14:paraId="59C407F6" w14:textId="540B2AEF" w:rsidR="000A5A3F" w:rsidRPr="00C65E06" w:rsidRDefault="00C65E06">
      <w:pPr>
        <w:ind w:left="1440"/>
        <w:jc w:val="both"/>
        <w:rPr>
          <w:sz w:val="24"/>
          <w:szCs w:val="24"/>
        </w:rPr>
      </w:pPr>
      <w:r w:rsidRPr="00C65E06">
        <w:rPr>
          <w:sz w:val="24"/>
          <w:szCs w:val="24"/>
        </w:rPr>
        <w:t>Orrick</w:t>
      </w:r>
      <w:r w:rsidR="002A2D94">
        <w:rPr>
          <w:sz w:val="24"/>
          <w:szCs w:val="24"/>
        </w:rPr>
        <w:t>, Herrington &amp; Sutcliffe (UK) LLP</w:t>
      </w:r>
    </w:p>
    <w:p w14:paraId="692401E5" w14:textId="3F845162" w:rsidR="00C65E06" w:rsidRPr="00C65E06" w:rsidRDefault="00C65E06">
      <w:pPr>
        <w:ind w:left="1440"/>
        <w:jc w:val="both"/>
        <w:rPr>
          <w:sz w:val="24"/>
          <w:szCs w:val="24"/>
        </w:rPr>
      </w:pPr>
      <w:r w:rsidRPr="00C65E06">
        <w:rPr>
          <w:sz w:val="24"/>
          <w:szCs w:val="24"/>
        </w:rPr>
        <w:t>107 Cheapside</w:t>
      </w:r>
    </w:p>
    <w:p w14:paraId="2F02E23F" w14:textId="7C5F4872" w:rsidR="00C65E06" w:rsidRPr="00C65E06" w:rsidRDefault="00C65E06" w:rsidP="00C65E06">
      <w:pPr>
        <w:ind w:left="1440"/>
        <w:jc w:val="both"/>
        <w:rPr>
          <w:sz w:val="24"/>
          <w:szCs w:val="24"/>
        </w:rPr>
      </w:pPr>
      <w:r w:rsidRPr="00C65E06">
        <w:rPr>
          <w:sz w:val="24"/>
          <w:szCs w:val="24"/>
        </w:rPr>
        <w:t>London</w:t>
      </w:r>
      <w:r w:rsidR="009549DE">
        <w:rPr>
          <w:sz w:val="24"/>
          <w:szCs w:val="24"/>
        </w:rPr>
        <w:t>,</w:t>
      </w:r>
      <w:r w:rsidRPr="00C65E06">
        <w:rPr>
          <w:sz w:val="24"/>
          <w:szCs w:val="24"/>
        </w:rPr>
        <w:t xml:space="preserve"> EC2V 6DN</w:t>
      </w:r>
    </w:p>
    <w:p w14:paraId="1C38CCFC" w14:textId="77777777" w:rsidR="00C65E06" w:rsidRPr="00C65E06" w:rsidRDefault="00C65E06" w:rsidP="00C65E06">
      <w:pPr>
        <w:ind w:left="1440"/>
        <w:jc w:val="both"/>
        <w:rPr>
          <w:sz w:val="21"/>
          <w:szCs w:val="21"/>
        </w:rPr>
      </w:pPr>
    </w:p>
    <w:p w14:paraId="0F2B07AB" w14:textId="77777777" w:rsidR="007623F0" w:rsidRPr="00AD67FF" w:rsidRDefault="007623F0">
      <w:pPr>
        <w:ind w:left="1440"/>
        <w:jc w:val="both"/>
        <w:rPr>
          <w:sz w:val="22"/>
          <w:szCs w:val="22"/>
        </w:rPr>
      </w:pPr>
      <w:r w:rsidRPr="00AD67FF">
        <w:rPr>
          <w:b/>
          <w:sz w:val="22"/>
          <w:szCs w:val="22"/>
        </w:rPr>
        <w:t>PRINCIPAL BANKERS</w:t>
      </w:r>
    </w:p>
    <w:p w14:paraId="612EC5AC" w14:textId="77777777" w:rsidR="00AD67FF" w:rsidRPr="00AD67FF" w:rsidRDefault="00AD67FF">
      <w:pPr>
        <w:ind w:left="1440"/>
        <w:jc w:val="both"/>
        <w:rPr>
          <w:sz w:val="22"/>
          <w:szCs w:val="22"/>
        </w:rPr>
      </w:pPr>
      <w:r w:rsidRPr="00AD67FF">
        <w:rPr>
          <w:sz w:val="22"/>
          <w:szCs w:val="22"/>
        </w:rPr>
        <w:t>Lloyds Bank plc</w:t>
      </w:r>
    </w:p>
    <w:p w14:paraId="0ABE8105" w14:textId="77777777" w:rsidR="00AD67FF" w:rsidRPr="00AD67FF" w:rsidRDefault="00AD67FF">
      <w:pPr>
        <w:ind w:left="1440"/>
        <w:jc w:val="both"/>
        <w:rPr>
          <w:sz w:val="22"/>
          <w:szCs w:val="22"/>
        </w:rPr>
      </w:pPr>
      <w:r w:rsidRPr="00AD67FF">
        <w:rPr>
          <w:sz w:val="22"/>
          <w:szCs w:val="22"/>
        </w:rPr>
        <w:t>39 Threadneedle Street</w:t>
      </w:r>
    </w:p>
    <w:p w14:paraId="7C2A477C" w14:textId="0D543FB5" w:rsidR="00AD67FF" w:rsidRPr="00AD67FF" w:rsidRDefault="00AD67FF">
      <w:pPr>
        <w:ind w:left="1440"/>
        <w:jc w:val="both"/>
        <w:rPr>
          <w:sz w:val="22"/>
          <w:szCs w:val="22"/>
        </w:rPr>
      </w:pPr>
      <w:r w:rsidRPr="00AD67FF">
        <w:rPr>
          <w:sz w:val="22"/>
          <w:szCs w:val="22"/>
        </w:rPr>
        <w:t>London</w:t>
      </w:r>
      <w:r w:rsidR="009549DE">
        <w:rPr>
          <w:sz w:val="22"/>
          <w:szCs w:val="22"/>
        </w:rPr>
        <w:t>, EC2R 8PT</w:t>
      </w:r>
    </w:p>
    <w:p w14:paraId="0D6B39E6" w14:textId="77777777" w:rsidR="007623F0" w:rsidRPr="001B7259" w:rsidRDefault="007623F0">
      <w:pPr>
        <w:ind w:left="1440"/>
        <w:jc w:val="both"/>
        <w:rPr>
          <w:sz w:val="22"/>
          <w:szCs w:val="22"/>
          <w:highlight w:val="yellow"/>
        </w:rPr>
      </w:pPr>
    </w:p>
    <w:p w14:paraId="6598F0E3" w14:textId="77777777" w:rsidR="007623F0" w:rsidRPr="000B5A50" w:rsidRDefault="007623F0">
      <w:pPr>
        <w:ind w:left="1440"/>
        <w:jc w:val="both"/>
        <w:rPr>
          <w:b/>
          <w:sz w:val="22"/>
          <w:szCs w:val="22"/>
        </w:rPr>
      </w:pPr>
      <w:r w:rsidRPr="000B5A50">
        <w:rPr>
          <w:b/>
          <w:sz w:val="22"/>
          <w:szCs w:val="22"/>
        </w:rPr>
        <w:t>REGISTRARS</w:t>
      </w:r>
    </w:p>
    <w:p w14:paraId="15AAE72D" w14:textId="25137467" w:rsidR="000B5A50" w:rsidRPr="00AD67FF" w:rsidRDefault="000B5A50" w:rsidP="000B5A50">
      <w:pPr>
        <w:ind w:left="1440"/>
        <w:jc w:val="both"/>
        <w:rPr>
          <w:sz w:val="22"/>
          <w:szCs w:val="22"/>
        </w:rPr>
      </w:pPr>
      <w:r>
        <w:rPr>
          <w:sz w:val="22"/>
          <w:szCs w:val="22"/>
        </w:rPr>
        <w:t>Computershare Investor Services Limited</w:t>
      </w:r>
    </w:p>
    <w:p w14:paraId="2785BB27" w14:textId="77777777" w:rsidR="000B5A50" w:rsidRDefault="000B5A50" w:rsidP="000B5A50">
      <w:pPr>
        <w:ind w:left="1440"/>
        <w:jc w:val="both"/>
        <w:rPr>
          <w:sz w:val="22"/>
          <w:szCs w:val="22"/>
        </w:rPr>
      </w:pPr>
      <w:r>
        <w:rPr>
          <w:sz w:val="22"/>
          <w:szCs w:val="22"/>
        </w:rPr>
        <w:t>The Pavilions</w:t>
      </w:r>
    </w:p>
    <w:p w14:paraId="473BBECF" w14:textId="77777777" w:rsidR="000B5A50" w:rsidRDefault="000B5A50" w:rsidP="000B5A50">
      <w:pPr>
        <w:ind w:left="1440"/>
        <w:jc w:val="both"/>
        <w:rPr>
          <w:sz w:val="22"/>
          <w:szCs w:val="22"/>
        </w:rPr>
      </w:pPr>
      <w:r>
        <w:rPr>
          <w:sz w:val="22"/>
          <w:szCs w:val="22"/>
        </w:rPr>
        <w:t>Bridgewater Road</w:t>
      </w:r>
    </w:p>
    <w:p w14:paraId="20FF616A" w14:textId="4D4E5C5C" w:rsidR="000B5A50" w:rsidRDefault="000B5A50" w:rsidP="000B5A50">
      <w:pPr>
        <w:ind w:left="1440"/>
        <w:jc w:val="both"/>
        <w:rPr>
          <w:sz w:val="22"/>
          <w:szCs w:val="22"/>
        </w:rPr>
      </w:pPr>
      <w:r>
        <w:rPr>
          <w:sz w:val="22"/>
          <w:szCs w:val="22"/>
        </w:rPr>
        <w:t>Bristol</w:t>
      </w:r>
      <w:r w:rsidR="009549DE">
        <w:rPr>
          <w:sz w:val="22"/>
          <w:szCs w:val="22"/>
        </w:rPr>
        <w:t>, BS13 8AE</w:t>
      </w:r>
    </w:p>
    <w:p w14:paraId="696F7C95" w14:textId="418489C8" w:rsidR="00B756F1" w:rsidRDefault="00B756F1">
      <w:pPr>
        <w:jc w:val="center"/>
        <w:rPr>
          <w:sz w:val="22"/>
          <w:szCs w:val="22"/>
        </w:rPr>
      </w:pPr>
    </w:p>
    <w:p w14:paraId="14A68391" w14:textId="53121735" w:rsidR="008C2B46" w:rsidRDefault="008C2B46">
      <w:pPr>
        <w:jc w:val="center"/>
        <w:rPr>
          <w:sz w:val="22"/>
          <w:szCs w:val="22"/>
        </w:rPr>
      </w:pPr>
    </w:p>
    <w:p w14:paraId="78113BAB" w14:textId="482B1325" w:rsidR="008C2B46" w:rsidRDefault="008C2B46">
      <w:pPr>
        <w:jc w:val="center"/>
        <w:rPr>
          <w:sz w:val="22"/>
          <w:szCs w:val="22"/>
        </w:rPr>
      </w:pPr>
    </w:p>
    <w:p w14:paraId="378A4E61" w14:textId="77777777" w:rsidR="008C2B46" w:rsidRDefault="008C2B46">
      <w:pPr>
        <w:jc w:val="center"/>
        <w:rPr>
          <w:b/>
          <w:sz w:val="22"/>
          <w:szCs w:val="22"/>
        </w:rPr>
      </w:pPr>
    </w:p>
    <w:p w14:paraId="4B56E9C8" w14:textId="77777777" w:rsidR="00B756F1" w:rsidRDefault="00B756F1">
      <w:pPr>
        <w:jc w:val="center"/>
        <w:rPr>
          <w:b/>
          <w:sz w:val="22"/>
          <w:szCs w:val="22"/>
        </w:rPr>
      </w:pPr>
    </w:p>
    <w:p w14:paraId="7E300864" w14:textId="77777777" w:rsidR="00B756F1" w:rsidRDefault="00B756F1">
      <w:pPr>
        <w:jc w:val="center"/>
        <w:rPr>
          <w:b/>
          <w:sz w:val="22"/>
          <w:szCs w:val="22"/>
        </w:rPr>
      </w:pPr>
    </w:p>
    <w:p w14:paraId="31598024" w14:textId="77777777" w:rsidR="00C65E06" w:rsidRDefault="00C65E06" w:rsidP="00590A7B">
      <w:pPr>
        <w:jc w:val="center"/>
        <w:rPr>
          <w:b/>
          <w:sz w:val="22"/>
          <w:szCs w:val="22"/>
        </w:rPr>
      </w:pPr>
    </w:p>
    <w:p w14:paraId="404877A8" w14:textId="5A8EBF9B" w:rsidR="00590A7B" w:rsidRPr="00590A7B" w:rsidRDefault="00590A7B" w:rsidP="00590A7B">
      <w:pPr>
        <w:jc w:val="center"/>
        <w:rPr>
          <w:b/>
          <w:sz w:val="22"/>
          <w:szCs w:val="22"/>
        </w:rPr>
      </w:pPr>
      <w:r>
        <w:rPr>
          <w:b/>
          <w:sz w:val="22"/>
          <w:szCs w:val="22"/>
        </w:rPr>
        <w:lastRenderedPageBreak/>
        <w:t xml:space="preserve">BOARD OF </w:t>
      </w:r>
      <w:r w:rsidRPr="00590A7B">
        <w:rPr>
          <w:b/>
          <w:sz w:val="22"/>
          <w:szCs w:val="22"/>
        </w:rPr>
        <w:t>DIRECTORS</w:t>
      </w:r>
    </w:p>
    <w:p w14:paraId="5E9D19F1" w14:textId="77777777" w:rsidR="00590A7B" w:rsidRDefault="00590A7B" w:rsidP="00B756F1">
      <w:pPr>
        <w:pStyle w:val="BodyText2"/>
        <w:rPr>
          <w:sz w:val="22"/>
          <w:szCs w:val="22"/>
        </w:rPr>
      </w:pPr>
    </w:p>
    <w:p w14:paraId="0E792BAE" w14:textId="169123E3" w:rsidR="00B756F1" w:rsidRPr="00B756F1" w:rsidRDefault="00B756F1" w:rsidP="00B756F1">
      <w:pPr>
        <w:pStyle w:val="BodyText2"/>
        <w:rPr>
          <w:sz w:val="22"/>
          <w:szCs w:val="22"/>
        </w:rPr>
      </w:pPr>
      <w:r w:rsidRPr="00B756F1">
        <w:rPr>
          <w:sz w:val="22"/>
          <w:szCs w:val="22"/>
        </w:rPr>
        <w:t>The directors and officers of the Company during the financial period ended 31 December 20</w:t>
      </w:r>
      <w:r w:rsidR="008173E0">
        <w:rPr>
          <w:sz w:val="22"/>
          <w:szCs w:val="22"/>
        </w:rPr>
        <w:t>20</w:t>
      </w:r>
      <w:r w:rsidRPr="00B756F1">
        <w:rPr>
          <w:sz w:val="22"/>
          <w:szCs w:val="22"/>
        </w:rPr>
        <w:t xml:space="preserve"> were as follows:</w:t>
      </w:r>
    </w:p>
    <w:p w14:paraId="598D7113" w14:textId="77777777" w:rsidR="00B756F1" w:rsidRPr="00B756F1" w:rsidRDefault="00B756F1" w:rsidP="00B756F1">
      <w:pPr>
        <w:pStyle w:val="BodyText2"/>
        <w:rPr>
          <w:sz w:val="22"/>
          <w:szCs w:val="22"/>
        </w:rPr>
      </w:pPr>
    </w:p>
    <w:p w14:paraId="2237CEF4" w14:textId="4AE90968" w:rsidR="00B756F1" w:rsidRPr="00B756F1" w:rsidRDefault="00B756F1" w:rsidP="00B756F1">
      <w:pPr>
        <w:jc w:val="both"/>
        <w:rPr>
          <w:b/>
          <w:sz w:val="22"/>
          <w:szCs w:val="22"/>
        </w:rPr>
      </w:pPr>
      <w:r w:rsidRPr="00B756F1">
        <w:rPr>
          <w:b/>
          <w:sz w:val="22"/>
          <w:szCs w:val="22"/>
        </w:rPr>
        <w:t>DIRECTORS</w:t>
      </w:r>
    </w:p>
    <w:p w14:paraId="520B3371" w14:textId="77777777" w:rsidR="00B756F1" w:rsidRPr="00B756F1" w:rsidRDefault="00B756F1" w:rsidP="00B756F1">
      <w:pPr>
        <w:pStyle w:val="BodyText2"/>
        <w:rPr>
          <w:sz w:val="22"/>
          <w:szCs w:val="22"/>
        </w:rPr>
      </w:pPr>
    </w:p>
    <w:p w14:paraId="12C156DC" w14:textId="77777777" w:rsidR="00B756F1" w:rsidRPr="00B756F1" w:rsidRDefault="00B756F1" w:rsidP="00B756F1">
      <w:pPr>
        <w:pStyle w:val="BodyText2"/>
        <w:rPr>
          <w:b/>
          <w:bCs/>
          <w:sz w:val="22"/>
          <w:szCs w:val="22"/>
        </w:rPr>
      </w:pPr>
      <w:r w:rsidRPr="00B756F1">
        <w:rPr>
          <w:b/>
          <w:bCs/>
          <w:sz w:val="22"/>
          <w:szCs w:val="22"/>
        </w:rPr>
        <w:t>Christopher Peter Latilla-Campbell</w:t>
      </w:r>
    </w:p>
    <w:p w14:paraId="1E2E037A" w14:textId="470D8DAA" w:rsidR="00B756F1" w:rsidRPr="00B756F1" w:rsidRDefault="00B756F1" w:rsidP="00B756F1">
      <w:pPr>
        <w:pStyle w:val="BodyText2"/>
        <w:rPr>
          <w:sz w:val="22"/>
          <w:szCs w:val="22"/>
        </w:rPr>
      </w:pPr>
      <w:r w:rsidRPr="00B756F1">
        <w:rPr>
          <w:sz w:val="22"/>
          <w:szCs w:val="22"/>
        </w:rPr>
        <w:t>Non-</w:t>
      </w:r>
      <w:r w:rsidR="00220529">
        <w:rPr>
          <w:sz w:val="22"/>
          <w:szCs w:val="22"/>
        </w:rPr>
        <w:t>E</w:t>
      </w:r>
      <w:r w:rsidRPr="00B756F1">
        <w:rPr>
          <w:sz w:val="22"/>
          <w:szCs w:val="22"/>
        </w:rPr>
        <w:t>xecutive Chairman</w:t>
      </w:r>
    </w:p>
    <w:p w14:paraId="664812B8" w14:textId="77777777" w:rsidR="00B756F1" w:rsidRPr="00B756F1" w:rsidRDefault="00B756F1" w:rsidP="00B756F1">
      <w:pPr>
        <w:pStyle w:val="BodyText2"/>
        <w:rPr>
          <w:sz w:val="22"/>
          <w:szCs w:val="22"/>
        </w:rPr>
      </w:pPr>
      <w:r w:rsidRPr="00B756F1">
        <w:rPr>
          <w:sz w:val="22"/>
          <w:szCs w:val="22"/>
        </w:rPr>
        <w:t>Appointed to the Board on 20 February 2006</w:t>
      </w:r>
    </w:p>
    <w:p w14:paraId="76030DE8" w14:textId="77777777" w:rsidR="00B756F1" w:rsidRPr="00B756F1" w:rsidRDefault="00B756F1" w:rsidP="00B756F1">
      <w:pPr>
        <w:pStyle w:val="BodyText2"/>
        <w:rPr>
          <w:sz w:val="22"/>
          <w:szCs w:val="22"/>
        </w:rPr>
      </w:pPr>
    </w:p>
    <w:p w14:paraId="2F1CA962" w14:textId="591A73A9" w:rsidR="00B756F1" w:rsidRPr="00B756F1" w:rsidRDefault="00B756F1" w:rsidP="00B756F1">
      <w:pPr>
        <w:pStyle w:val="BodyText2"/>
        <w:rPr>
          <w:sz w:val="22"/>
          <w:szCs w:val="22"/>
        </w:rPr>
      </w:pPr>
      <w:r w:rsidRPr="00B756F1">
        <w:rPr>
          <w:sz w:val="22"/>
          <w:szCs w:val="22"/>
        </w:rPr>
        <w:t xml:space="preserve">Christopher Latilla-Campbell (aged </w:t>
      </w:r>
      <w:r w:rsidR="00F17D04">
        <w:rPr>
          <w:sz w:val="22"/>
          <w:szCs w:val="22"/>
        </w:rPr>
        <w:t>6</w:t>
      </w:r>
      <w:r w:rsidR="008173E0">
        <w:rPr>
          <w:sz w:val="22"/>
          <w:szCs w:val="22"/>
        </w:rPr>
        <w:t>1</w:t>
      </w:r>
      <w:r w:rsidRPr="00B756F1">
        <w:rPr>
          <w:sz w:val="22"/>
          <w:szCs w:val="22"/>
        </w:rPr>
        <w:t xml:space="preserve">) is a member of the Institute of Chartered Accountants in Zimbabwe. He has held a number of directorships including on a group listed in Luxembourg and Johannesburg with Southern African investments in mining, agriculture and manufacturing. </w:t>
      </w:r>
      <w:r w:rsidR="002A2D94">
        <w:rPr>
          <w:sz w:val="22"/>
          <w:szCs w:val="22"/>
        </w:rPr>
        <w:t xml:space="preserve">He </w:t>
      </w:r>
      <w:r w:rsidRPr="00B756F1">
        <w:rPr>
          <w:sz w:val="22"/>
          <w:szCs w:val="22"/>
        </w:rPr>
        <w:t xml:space="preserve">was also part of the </w:t>
      </w:r>
      <w:proofErr w:type="spellStart"/>
      <w:r w:rsidRPr="00B756F1">
        <w:rPr>
          <w:sz w:val="22"/>
          <w:szCs w:val="22"/>
        </w:rPr>
        <w:t>Afpenn</w:t>
      </w:r>
      <w:proofErr w:type="spellEnd"/>
      <w:r w:rsidRPr="00B756F1">
        <w:rPr>
          <w:sz w:val="22"/>
          <w:szCs w:val="22"/>
        </w:rPr>
        <w:t xml:space="preserve"> Group that established the existence of Coalbed Methane in Zimbabwe. </w:t>
      </w:r>
    </w:p>
    <w:p w14:paraId="3F2428B6" w14:textId="77777777" w:rsidR="00B756F1" w:rsidRDefault="00B756F1" w:rsidP="00B756F1">
      <w:pPr>
        <w:pStyle w:val="BodyText2"/>
        <w:rPr>
          <w:sz w:val="22"/>
          <w:szCs w:val="22"/>
        </w:rPr>
      </w:pPr>
    </w:p>
    <w:p w14:paraId="799AE3F3" w14:textId="1F2E02E6" w:rsidR="00B756F1" w:rsidRDefault="002A2D94" w:rsidP="00B756F1">
      <w:pPr>
        <w:pStyle w:val="BodyText2"/>
        <w:rPr>
          <w:sz w:val="22"/>
          <w:szCs w:val="22"/>
        </w:rPr>
      </w:pPr>
      <w:r>
        <w:rPr>
          <w:sz w:val="22"/>
          <w:szCs w:val="22"/>
        </w:rPr>
        <w:t xml:space="preserve">Christopher Latilla-Campbell </w:t>
      </w:r>
      <w:r w:rsidR="00B756F1" w:rsidRPr="00B756F1">
        <w:rPr>
          <w:sz w:val="22"/>
          <w:szCs w:val="22"/>
        </w:rPr>
        <w:t xml:space="preserve">is also a member of the Management Committee of Golden Valley Mine in Zimbabwe and sits on a number of family boards and Trusts. </w:t>
      </w:r>
      <w:r>
        <w:rPr>
          <w:sz w:val="22"/>
          <w:szCs w:val="22"/>
        </w:rPr>
        <w:t xml:space="preserve">He </w:t>
      </w:r>
      <w:r w:rsidR="00B756F1" w:rsidRPr="00B756F1">
        <w:rPr>
          <w:sz w:val="22"/>
          <w:szCs w:val="22"/>
        </w:rPr>
        <w:t>was a founding shareholder and Director of MetalNRG plc.</w:t>
      </w:r>
    </w:p>
    <w:p w14:paraId="51273658" w14:textId="77777777" w:rsidR="002A2D94" w:rsidRPr="00B756F1" w:rsidRDefault="002A2D94" w:rsidP="00B756F1">
      <w:pPr>
        <w:pStyle w:val="BodyText2"/>
        <w:rPr>
          <w:sz w:val="22"/>
          <w:szCs w:val="22"/>
        </w:rPr>
      </w:pPr>
    </w:p>
    <w:p w14:paraId="4627C8D4" w14:textId="4332058D" w:rsidR="00B756F1" w:rsidRPr="00B756F1" w:rsidRDefault="002A2D94" w:rsidP="00B756F1">
      <w:pPr>
        <w:pStyle w:val="BodyText2"/>
        <w:rPr>
          <w:sz w:val="22"/>
          <w:szCs w:val="22"/>
        </w:rPr>
      </w:pPr>
      <w:r>
        <w:rPr>
          <w:sz w:val="22"/>
          <w:szCs w:val="22"/>
        </w:rPr>
        <w:t xml:space="preserve">Christopher </w:t>
      </w:r>
      <w:r w:rsidR="00B756F1" w:rsidRPr="00B756F1">
        <w:rPr>
          <w:sz w:val="22"/>
          <w:szCs w:val="22"/>
        </w:rPr>
        <w:t>Latilla-Campbell is a member and Chairman of the Audit Committee and a member of the Remuneration Committee.</w:t>
      </w:r>
    </w:p>
    <w:p w14:paraId="45E90F29" w14:textId="77777777" w:rsidR="00B756F1" w:rsidRPr="00B756F1" w:rsidRDefault="00B756F1" w:rsidP="00B756F1">
      <w:pPr>
        <w:pStyle w:val="BodyText2"/>
        <w:rPr>
          <w:sz w:val="22"/>
          <w:szCs w:val="22"/>
        </w:rPr>
      </w:pPr>
    </w:p>
    <w:p w14:paraId="18F77C3A" w14:textId="77777777" w:rsidR="00B756F1" w:rsidRPr="00B756F1" w:rsidRDefault="00B756F1" w:rsidP="00B756F1">
      <w:pPr>
        <w:pStyle w:val="BodyText2"/>
        <w:rPr>
          <w:b/>
          <w:bCs/>
          <w:sz w:val="22"/>
          <w:szCs w:val="22"/>
        </w:rPr>
      </w:pPr>
      <w:r w:rsidRPr="00B756F1">
        <w:rPr>
          <w:b/>
          <w:bCs/>
          <w:sz w:val="22"/>
          <w:szCs w:val="22"/>
        </w:rPr>
        <w:t>Rolf Ad Gerritsen</w:t>
      </w:r>
    </w:p>
    <w:p w14:paraId="696578DC" w14:textId="77777777" w:rsidR="00B756F1" w:rsidRPr="00B756F1" w:rsidRDefault="00B756F1" w:rsidP="00B756F1">
      <w:pPr>
        <w:pStyle w:val="BodyText2"/>
        <w:rPr>
          <w:sz w:val="22"/>
          <w:szCs w:val="22"/>
        </w:rPr>
      </w:pPr>
      <w:r w:rsidRPr="00B756F1">
        <w:rPr>
          <w:sz w:val="22"/>
          <w:szCs w:val="22"/>
        </w:rPr>
        <w:t>Chief Executive Officer</w:t>
      </w:r>
    </w:p>
    <w:p w14:paraId="74DA8E2C" w14:textId="063AAE07" w:rsidR="00B756F1" w:rsidRPr="00B756F1" w:rsidRDefault="00B756F1" w:rsidP="00B756F1">
      <w:pPr>
        <w:pStyle w:val="BodyText2"/>
        <w:rPr>
          <w:sz w:val="22"/>
          <w:szCs w:val="22"/>
        </w:rPr>
      </w:pPr>
      <w:r w:rsidRPr="00B756F1">
        <w:rPr>
          <w:sz w:val="22"/>
          <w:szCs w:val="22"/>
        </w:rPr>
        <w:t>Appointed to the Board on 2</w:t>
      </w:r>
      <w:r w:rsidR="000E784C">
        <w:rPr>
          <w:sz w:val="22"/>
          <w:szCs w:val="22"/>
        </w:rPr>
        <w:t>1</w:t>
      </w:r>
      <w:r w:rsidRPr="00B756F1">
        <w:rPr>
          <w:sz w:val="22"/>
          <w:szCs w:val="22"/>
        </w:rPr>
        <w:t xml:space="preserve"> February 2018</w:t>
      </w:r>
    </w:p>
    <w:p w14:paraId="7F8D30A8" w14:textId="77777777" w:rsidR="00B756F1" w:rsidRPr="00B756F1" w:rsidRDefault="00B756F1" w:rsidP="00B756F1">
      <w:pPr>
        <w:pStyle w:val="BodyText2"/>
        <w:rPr>
          <w:sz w:val="22"/>
          <w:szCs w:val="22"/>
        </w:rPr>
      </w:pPr>
    </w:p>
    <w:p w14:paraId="669094D7" w14:textId="316A880B" w:rsidR="00B756F1" w:rsidRPr="00B756F1" w:rsidRDefault="00B756F1" w:rsidP="00B756F1">
      <w:pPr>
        <w:pStyle w:val="BodyText2"/>
        <w:rPr>
          <w:sz w:val="22"/>
          <w:szCs w:val="22"/>
        </w:rPr>
      </w:pPr>
      <w:r w:rsidRPr="00B756F1">
        <w:rPr>
          <w:sz w:val="22"/>
          <w:szCs w:val="22"/>
        </w:rPr>
        <w:t>Rolf Gerritsen (aged 5</w:t>
      </w:r>
      <w:r w:rsidR="00ED0E30">
        <w:rPr>
          <w:sz w:val="22"/>
          <w:szCs w:val="22"/>
        </w:rPr>
        <w:t>8</w:t>
      </w:r>
      <w:r w:rsidRPr="00B756F1">
        <w:rPr>
          <w:sz w:val="22"/>
          <w:szCs w:val="22"/>
        </w:rPr>
        <w:t xml:space="preserve">) is an entrepreneurial executive, with outstanding strategic, organisational, commercial and financial skills with an exceptional delivery record developed over the last 30 years. In recent years, he has had a specific focus on the Natural Resources sector. </w:t>
      </w:r>
    </w:p>
    <w:p w14:paraId="07B7F14C" w14:textId="77777777" w:rsidR="00B756F1" w:rsidRDefault="00B756F1" w:rsidP="00B756F1">
      <w:pPr>
        <w:pStyle w:val="BodyText2"/>
        <w:rPr>
          <w:sz w:val="22"/>
          <w:szCs w:val="22"/>
        </w:rPr>
      </w:pPr>
    </w:p>
    <w:p w14:paraId="53AAE707" w14:textId="704FEDA6" w:rsidR="00B756F1" w:rsidRPr="00B756F1" w:rsidRDefault="00B756F1" w:rsidP="00B756F1">
      <w:pPr>
        <w:pStyle w:val="BodyText2"/>
        <w:rPr>
          <w:sz w:val="22"/>
          <w:szCs w:val="22"/>
        </w:rPr>
      </w:pPr>
      <w:r w:rsidRPr="00B756F1">
        <w:rPr>
          <w:sz w:val="22"/>
          <w:szCs w:val="22"/>
        </w:rPr>
        <w:t xml:space="preserve">Mr Gerritsen’s core strengths include strategy development, strategy implementation and sourcing capital for growth companies, special situations and restructuring. He has a proven ability to develop creative solutions to complex business issues. His international work experience has included Europe, USA, Africa, Australia, the Middle East, the Far East and South America. </w:t>
      </w:r>
    </w:p>
    <w:p w14:paraId="2F352CF4" w14:textId="77777777" w:rsidR="00B756F1" w:rsidRDefault="00B756F1" w:rsidP="00B756F1">
      <w:pPr>
        <w:pStyle w:val="BodyText2"/>
        <w:rPr>
          <w:sz w:val="22"/>
          <w:szCs w:val="22"/>
        </w:rPr>
      </w:pPr>
    </w:p>
    <w:p w14:paraId="5E6DD919" w14:textId="455CE4AD" w:rsidR="00B756F1" w:rsidRPr="00B756F1" w:rsidRDefault="00B756F1" w:rsidP="00B756F1">
      <w:pPr>
        <w:pStyle w:val="BodyText2"/>
        <w:rPr>
          <w:sz w:val="22"/>
          <w:szCs w:val="22"/>
        </w:rPr>
      </w:pPr>
      <w:r w:rsidRPr="00B756F1">
        <w:rPr>
          <w:sz w:val="22"/>
          <w:szCs w:val="22"/>
        </w:rPr>
        <w:t xml:space="preserve">Over the last few years, Mr Gerritsen has worked with the </w:t>
      </w:r>
      <w:r w:rsidR="009549DE">
        <w:rPr>
          <w:sz w:val="22"/>
          <w:szCs w:val="22"/>
        </w:rPr>
        <w:t>b</w:t>
      </w:r>
      <w:r w:rsidRPr="00B756F1">
        <w:rPr>
          <w:sz w:val="22"/>
          <w:szCs w:val="22"/>
        </w:rPr>
        <w:t>oards of listed and private mining companies developing, designing and implementing growth strategies while ensuring the appropriate capital is sourced to deliver the plan.</w:t>
      </w:r>
    </w:p>
    <w:p w14:paraId="0E15E790" w14:textId="77777777" w:rsidR="00B756F1" w:rsidRPr="00B756F1" w:rsidRDefault="00B756F1" w:rsidP="00B756F1">
      <w:pPr>
        <w:pStyle w:val="BodyText2"/>
        <w:rPr>
          <w:sz w:val="22"/>
          <w:szCs w:val="22"/>
        </w:rPr>
      </w:pPr>
    </w:p>
    <w:p w14:paraId="79612765" w14:textId="77777777" w:rsidR="00B756F1" w:rsidRPr="00B756F1" w:rsidRDefault="00B756F1" w:rsidP="00B756F1">
      <w:pPr>
        <w:pStyle w:val="BodyText2"/>
        <w:rPr>
          <w:b/>
          <w:bCs/>
          <w:sz w:val="22"/>
          <w:szCs w:val="22"/>
        </w:rPr>
      </w:pPr>
      <w:r w:rsidRPr="00B756F1">
        <w:rPr>
          <w:b/>
          <w:bCs/>
          <w:sz w:val="22"/>
          <w:szCs w:val="22"/>
        </w:rPr>
        <w:t xml:space="preserve">Pierpaolo Rocco </w:t>
      </w:r>
    </w:p>
    <w:p w14:paraId="1F3154B7" w14:textId="0BB03CDD" w:rsidR="00B756F1" w:rsidRPr="00B756F1" w:rsidRDefault="00B756F1" w:rsidP="00B756F1">
      <w:pPr>
        <w:pStyle w:val="BodyText2"/>
        <w:rPr>
          <w:sz w:val="22"/>
          <w:szCs w:val="22"/>
        </w:rPr>
      </w:pPr>
      <w:r w:rsidRPr="00B756F1">
        <w:rPr>
          <w:sz w:val="22"/>
          <w:szCs w:val="22"/>
        </w:rPr>
        <w:t xml:space="preserve">Executive </w:t>
      </w:r>
      <w:r w:rsidR="00220529">
        <w:rPr>
          <w:sz w:val="22"/>
          <w:szCs w:val="22"/>
        </w:rPr>
        <w:t>D</w:t>
      </w:r>
      <w:r w:rsidRPr="00B756F1">
        <w:rPr>
          <w:sz w:val="22"/>
          <w:szCs w:val="22"/>
        </w:rPr>
        <w:t>irector, Oil &amp; Gas</w:t>
      </w:r>
    </w:p>
    <w:p w14:paraId="428BB03F" w14:textId="77777777" w:rsidR="00B756F1" w:rsidRPr="00B756F1" w:rsidRDefault="00B756F1" w:rsidP="00B756F1">
      <w:pPr>
        <w:pStyle w:val="BodyText2"/>
        <w:rPr>
          <w:sz w:val="22"/>
          <w:szCs w:val="22"/>
        </w:rPr>
      </w:pPr>
      <w:r w:rsidRPr="00B756F1">
        <w:rPr>
          <w:sz w:val="22"/>
          <w:szCs w:val="22"/>
        </w:rPr>
        <w:t>Appointed to the Board on 29 November 2019</w:t>
      </w:r>
    </w:p>
    <w:p w14:paraId="760D853E" w14:textId="77777777" w:rsidR="00B756F1" w:rsidRDefault="00B756F1" w:rsidP="00B756F1">
      <w:pPr>
        <w:pStyle w:val="BodyText2"/>
        <w:rPr>
          <w:sz w:val="22"/>
          <w:szCs w:val="22"/>
        </w:rPr>
      </w:pPr>
    </w:p>
    <w:p w14:paraId="03F52A78" w14:textId="6DA0A435" w:rsidR="00B756F1" w:rsidRPr="00B756F1" w:rsidRDefault="00B756F1" w:rsidP="00B756F1">
      <w:pPr>
        <w:pStyle w:val="BodyText2"/>
        <w:rPr>
          <w:sz w:val="22"/>
          <w:szCs w:val="22"/>
        </w:rPr>
      </w:pPr>
      <w:r w:rsidRPr="00B756F1">
        <w:rPr>
          <w:sz w:val="22"/>
          <w:szCs w:val="22"/>
        </w:rPr>
        <w:t>Pierpaolo Rocco (aged 4</w:t>
      </w:r>
      <w:r w:rsidR="008173E0">
        <w:rPr>
          <w:sz w:val="22"/>
          <w:szCs w:val="22"/>
        </w:rPr>
        <w:t>9</w:t>
      </w:r>
      <w:r w:rsidRPr="00B756F1">
        <w:rPr>
          <w:sz w:val="22"/>
          <w:szCs w:val="22"/>
        </w:rPr>
        <w:t xml:space="preserve">) is an oil and gas executive with over 20 years’ experience in asset development activity and a successful track record of leading high performing teams to safe and profitable outcomes in both small-cap and supermajor organisations. </w:t>
      </w:r>
    </w:p>
    <w:p w14:paraId="280EE01D" w14:textId="77777777" w:rsidR="00B756F1" w:rsidRDefault="00B756F1" w:rsidP="00B756F1">
      <w:pPr>
        <w:pStyle w:val="BodyText2"/>
        <w:rPr>
          <w:sz w:val="22"/>
          <w:szCs w:val="22"/>
        </w:rPr>
      </w:pPr>
    </w:p>
    <w:p w14:paraId="6F6AFF4E" w14:textId="710BBD73" w:rsidR="00B756F1" w:rsidRPr="00B756F1" w:rsidRDefault="002A2D94" w:rsidP="00B756F1">
      <w:pPr>
        <w:pStyle w:val="BodyText2"/>
        <w:rPr>
          <w:sz w:val="22"/>
          <w:szCs w:val="22"/>
        </w:rPr>
      </w:pPr>
      <w:r>
        <w:rPr>
          <w:sz w:val="22"/>
          <w:szCs w:val="22"/>
        </w:rPr>
        <w:t xml:space="preserve">Pierpaolo </w:t>
      </w:r>
      <w:r w:rsidR="00B756F1" w:rsidRPr="00B756F1">
        <w:rPr>
          <w:sz w:val="22"/>
          <w:szCs w:val="22"/>
        </w:rPr>
        <w:t xml:space="preserve">Rocco’s experience includes executive positions for independent operators and large-scale project management and commercial roles for Total, ENI, Shell and several tier-one contractors. </w:t>
      </w:r>
    </w:p>
    <w:p w14:paraId="69BE7B85" w14:textId="77777777" w:rsidR="0018434D" w:rsidRDefault="0018434D" w:rsidP="00B756F1">
      <w:pPr>
        <w:pStyle w:val="BodyText2"/>
        <w:rPr>
          <w:sz w:val="22"/>
          <w:szCs w:val="22"/>
        </w:rPr>
      </w:pPr>
    </w:p>
    <w:p w14:paraId="76D138A3" w14:textId="1D6BAF1C" w:rsidR="00B756F1" w:rsidRPr="00B756F1" w:rsidRDefault="0018434D" w:rsidP="00B756F1">
      <w:pPr>
        <w:pStyle w:val="BodyText2"/>
        <w:rPr>
          <w:sz w:val="22"/>
          <w:szCs w:val="22"/>
        </w:rPr>
      </w:pPr>
      <w:r>
        <w:rPr>
          <w:sz w:val="22"/>
          <w:szCs w:val="22"/>
        </w:rPr>
        <w:t xml:space="preserve">Pierpaolo </w:t>
      </w:r>
      <w:r w:rsidR="00B756F1" w:rsidRPr="00B756F1">
        <w:rPr>
          <w:sz w:val="22"/>
          <w:szCs w:val="22"/>
        </w:rPr>
        <w:t>Rocco</w:t>
      </w:r>
      <w:r w:rsidR="006B6A5A">
        <w:rPr>
          <w:sz w:val="22"/>
          <w:szCs w:val="22"/>
        </w:rPr>
        <w:t xml:space="preserve"> </w:t>
      </w:r>
      <w:r w:rsidR="00B756F1" w:rsidRPr="00B756F1">
        <w:rPr>
          <w:sz w:val="22"/>
          <w:szCs w:val="22"/>
        </w:rPr>
        <w:t>holds an MBA in Oil and Gas Management from the Robert Gordon University and an MEng from the ‘</w:t>
      </w:r>
      <w:proofErr w:type="spellStart"/>
      <w:r w:rsidR="00B756F1" w:rsidRPr="00B756F1">
        <w:rPr>
          <w:sz w:val="22"/>
          <w:szCs w:val="22"/>
        </w:rPr>
        <w:t>Scuola</w:t>
      </w:r>
      <w:proofErr w:type="spellEnd"/>
      <w:r w:rsidR="00B756F1" w:rsidRPr="00B756F1">
        <w:rPr>
          <w:sz w:val="22"/>
          <w:szCs w:val="22"/>
        </w:rPr>
        <w:t xml:space="preserve"> </w:t>
      </w:r>
      <w:proofErr w:type="spellStart"/>
      <w:r w:rsidR="00B756F1" w:rsidRPr="00B756F1">
        <w:rPr>
          <w:sz w:val="22"/>
          <w:szCs w:val="22"/>
        </w:rPr>
        <w:t>Politecnica</w:t>
      </w:r>
      <w:proofErr w:type="spellEnd"/>
      <w:r w:rsidR="00B756F1" w:rsidRPr="00B756F1">
        <w:rPr>
          <w:sz w:val="22"/>
          <w:szCs w:val="22"/>
        </w:rPr>
        <w:t xml:space="preserve"> e </w:t>
      </w:r>
      <w:proofErr w:type="spellStart"/>
      <w:r w:rsidR="00B756F1" w:rsidRPr="00B756F1">
        <w:rPr>
          <w:sz w:val="22"/>
          <w:szCs w:val="22"/>
        </w:rPr>
        <w:t>delle</w:t>
      </w:r>
      <w:proofErr w:type="spellEnd"/>
      <w:r w:rsidR="00B756F1" w:rsidRPr="00B756F1">
        <w:rPr>
          <w:sz w:val="22"/>
          <w:szCs w:val="22"/>
        </w:rPr>
        <w:t xml:space="preserve"> </w:t>
      </w:r>
      <w:proofErr w:type="spellStart"/>
      <w:r w:rsidR="00B756F1" w:rsidRPr="00B756F1">
        <w:rPr>
          <w:sz w:val="22"/>
          <w:szCs w:val="22"/>
        </w:rPr>
        <w:t>Scienze</w:t>
      </w:r>
      <w:proofErr w:type="spellEnd"/>
      <w:r w:rsidR="00B756F1" w:rsidRPr="00B756F1">
        <w:rPr>
          <w:sz w:val="22"/>
          <w:szCs w:val="22"/>
        </w:rPr>
        <w:t xml:space="preserve"> di Base’ of the University of Naples ‘Federico II.</w:t>
      </w:r>
    </w:p>
    <w:p w14:paraId="5376B53B" w14:textId="5DB88DE1" w:rsidR="00B756F1" w:rsidRDefault="00B756F1" w:rsidP="00B756F1">
      <w:pPr>
        <w:pStyle w:val="BodyText2"/>
        <w:rPr>
          <w:sz w:val="22"/>
          <w:szCs w:val="22"/>
        </w:rPr>
      </w:pPr>
    </w:p>
    <w:p w14:paraId="0C27C64F" w14:textId="6CEF88CE" w:rsidR="00B756F1" w:rsidRDefault="00B756F1" w:rsidP="00B756F1">
      <w:pPr>
        <w:pStyle w:val="BodyText2"/>
        <w:rPr>
          <w:sz w:val="22"/>
          <w:szCs w:val="22"/>
        </w:rPr>
      </w:pPr>
    </w:p>
    <w:p w14:paraId="3C604B4F" w14:textId="5535F4EF" w:rsidR="00B756F1" w:rsidRDefault="00B756F1" w:rsidP="00B756F1">
      <w:pPr>
        <w:pStyle w:val="BodyText2"/>
        <w:rPr>
          <w:sz w:val="22"/>
          <w:szCs w:val="22"/>
        </w:rPr>
      </w:pPr>
    </w:p>
    <w:p w14:paraId="12C2E11B" w14:textId="594277B6" w:rsidR="00B756F1" w:rsidRDefault="00B756F1" w:rsidP="00B756F1">
      <w:pPr>
        <w:pStyle w:val="BodyText2"/>
        <w:rPr>
          <w:sz w:val="22"/>
          <w:szCs w:val="22"/>
        </w:rPr>
      </w:pPr>
    </w:p>
    <w:p w14:paraId="65F77614" w14:textId="77777777" w:rsidR="00B756F1" w:rsidRPr="00B756F1" w:rsidRDefault="00B756F1" w:rsidP="00B756F1">
      <w:pPr>
        <w:pStyle w:val="BodyText2"/>
        <w:rPr>
          <w:sz w:val="22"/>
          <w:szCs w:val="22"/>
        </w:rPr>
      </w:pPr>
    </w:p>
    <w:p w14:paraId="21D7EEE2" w14:textId="77777777" w:rsidR="00590A7B" w:rsidRPr="00590A7B" w:rsidRDefault="00590A7B" w:rsidP="00590A7B">
      <w:pPr>
        <w:jc w:val="center"/>
        <w:rPr>
          <w:b/>
          <w:sz w:val="22"/>
          <w:szCs w:val="22"/>
        </w:rPr>
      </w:pPr>
      <w:r>
        <w:rPr>
          <w:b/>
          <w:sz w:val="22"/>
          <w:szCs w:val="22"/>
        </w:rPr>
        <w:lastRenderedPageBreak/>
        <w:t xml:space="preserve">BOARD OF </w:t>
      </w:r>
      <w:r w:rsidRPr="00590A7B">
        <w:rPr>
          <w:b/>
          <w:sz w:val="22"/>
          <w:szCs w:val="22"/>
        </w:rPr>
        <w:t>DIRECTORS</w:t>
      </w:r>
    </w:p>
    <w:p w14:paraId="77E6FB7D" w14:textId="77777777" w:rsidR="00590A7B" w:rsidRDefault="00590A7B" w:rsidP="00B756F1">
      <w:pPr>
        <w:jc w:val="both"/>
        <w:rPr>
          <w:b/>
          <w:sz w:val="22"/>
          <w:szCs w:val="22"/>
        </w:rPr>
      </w:pPr>
    </w:p>
    <w:p w14:paraId="0AB77E0D" w14:textId="73F422C6" w:rsidR="00B756F1" w:rsidRPr="00B756F1" w:rsidRDefault="00B756F1" w:rsidP="00B756F1">
      <w:pPr>
        <w:jc w:val="both"/>
        <w:rPr>
          <w:b/>
          <w:sz w:val="22"/>
          <w:szCs w:val="22"/>
        </w:rPr>
      </w:pPr>
      <w:r w:rsidRPr="00B756F1">
        <w:rPr>
          <w:b/>
          <w:sz w:val="22"/>
          <w:szCs w:val="22"/>
        </w:rPr>
        <w:t>DIRECTORS</w:t>
      </w:r>
      <w:r>
        <w:rPr>
          <w:b/>
          <w:sz w:val="22"/>
          <w:szCs w:val="22"/>
        </w:rPr>
        <w:t>, continued</w:t>
      </w:r>
    </w:p>
    <w:p w14:paraId="14B31091" w14:textId="77777777" w:rsidR="00B756F1" w:rsidRDefault="00B756F1" w:rsidP="00B756F1">
      <w:pPr>
        <w:pStyle w:val="BodyText2"/>
        <w:rPr>
          <w:b/>
          <w:bCs/>
          <w:sz w:val="22"/>
          <w:szCs w:val="22"/>
        </w:rPr>
      </w:pPr>
    </w:p>
    <w:p w14:paraId="22CE6CC9" w14:textId="6536E2EB" w:rsidR="00B756F1" w:rsidRPr="00B756F1" w:rsidRDefault="00B756F1" w:rsidP="00B756F1">
      <w:pPr>
        <w:pStyle w:val="BodyText2"/>
        <w:rPr>
          <w:b/>
          <w:bCs/>
          <w:sz w:val="22"/>
          <w:szCs w:val="22"/>
        </w:rPr>
      </w:pPr>
      <w:r w:rsidRPr="00B756F1">
        <w:rPr>
          <w:b/>
          <w:bCs/>
          <w:sz w:val="22"/>
          <w:szCs w:val="22"/>
        </w:rPr>
        <w:t xml:space="preserve">Christian </w:t>
      </w:r>
      <w:proofErr w:type="spellStart"/>
      <w:r w:rsidRPr="00B756F1">
        <w:rPr>
          <w:b/>
          <w:bCs/>
          <w:sz w:val="22"/>
          <w:szCs w:val="22"/>
        </w:rPr>
        <w:t>Schaffalitzky</w:t>
      </w:r>
      <w:proofErr w:type="spellEnd"/>
      <w:r w:rsidRPr="00B756F1">
        <w:rPr>
          <w:b/>
          <w:bCs/>
          <w:sz w:val="22"/>
          <w:szCs w:val="22"/>
        </w:rPr>
        <w:t xml:space="preserve"> </w:t>
      </w:r>
      <w:r w:rsidR="006845FB">
        <w:rPr>
          <w:b/>
          <w:bCs/>
          <w:sz w:val="22"/>
          <w:szCs w:val="22"/>
        </w:rPr>
        <w:t xml:space="preserve">de </w:t>
      </w:r>
      <w:proofErr w:type="spellStart"/>
      <w:r w:rsidR="006845FB">
        <w:rPr>
          <w:b/>
          <w:bCs/>
          <w:sz w:val="22"/>
          <w:szCs w:val="22"/>
        </w:rPr>
        <w:t>Muckadell</w:t>
      </w:r>
      <w:proofErr w:type="spellEnd"/>
    </w:p>
    <w:p w14:paraId="6430208D" w14:textId="77777777" w:rsidR="00B756F1" w:rsidRPr="00B756F1" w:rsidRDefault="00B756F1" w:rsidP="00B756F1">
      <w:pPr>
        <w:pStyle w:val="BodyText2"/>
        <w:rPr>
          <w:sz w:val="22"/>
          <w:szCs w:val="22"/>
        </w:rPr>
      </w:pPr>
      <w:proofErr w:type="spellStart"/>
      <w:r w:rsidRPr="00B756F1">
        <w:rPr>
          <w:sz w:val="22"/>
          <w:szCs w:val="22"/>
        </w:rPr>
        <w:t>EurGeol</w:t>
      </w:r>
      <w:proofErr w:type="spellEnd"/>
      <w:r w:rsidRPr="00B756F1">
        <w:rPr>
          <w:sz w:val="22"/>
          <w:szCs w:val="22"/>
        </w:rPr>
        <w:t xml:space="preserve">, FIMMM, </w:t>
      </w:r>
      <w:proofErr w:type="spellStart"/>
      <w:r w:rsidRPr="00B756F1">
        <w:rPr>
          <w:sz w:val="22"/>
          <w:szCs w:val="22"/>
        </w:rPr>
        <w:t>PGeo</w:t>
      </w:r>
      <w:proofErr w:type="spellEnd"/>
      <w:r w:rsidRPr="00B756F1">
        <w:rPr>
          <w:sz w:val="22"/>
          <w:szCs w:val="22"/>
        </w:rPr>
        <w:t>, CEng</w:t>
      </w:r>
    </w:p>
    <w:p w14:paraId="255DB0A5" w14:textId="77A3687A" w:rsidR="00B756F1" w:rsidRPr="00B756F1" w:rsidRDefault="00B756F1" w:rsidP="00B756F1">
      <w:pPr>
        <w:pStyle w:val="BodyText2"/>
        <w:rPr>
          <w:sz w:val="22"/>
          <w:szCs w:val="22"/>
        </w:rPr>
      </w:pPr>
      <w:r w:rsidRPr="00B756F1">
        <w:rPr>
          <w:sz w:val="22"/>
          <w:szCs w:val="22"/>
        </w:rPr>
        <w:t>Non-</w:t>
      </w:r>
      <w:r w:rsidR="00220529">
        <w:rPr>
          <w:sz w:val="22"/>
          <w:szCs w:val="22"/>
        </w:rPr>
        <w:t>E</w:t>
      </w:r>
      <w:r w:rsidRPr="00B756F1">
        <w:rPr>
          <w:sz w:val="22"/>
          <w:szCs w:val="22"/>
        </w:rPr>
        <w:t xml:space="preserve">xecutive </w:t>
      </w:r>
      <w:r w:rsidR="004F2AA2">
        <w:rPr>
          <w:sz w:val="22"/>
          <w:szCs w:val="22"/>
        </w:rPr>
        <w:t>D</w:t>
      </w:r>
      <w:r w:rsidRPr="00B756F1">
        <w:rPr>
          <w:sz w:val="22"/>
          <w:szCs w:val="22"/>
        </w:rPr>
        <w:t>irector</w:t>
      </w:r>
    </w:p>
    <w:p w14:paraId="164E613E" w14:textId="77777777" w:rsidR="00B756F1" w:rsidRPr="00B756F1" w:rsidRDefault="00B756F1" w:rsidP="00B756F1">
      <w:pPr>
        <w:pStyle w:val="BodyText2"/>
        <w:rPr>
          <w:sz w:val="22"/>
          <w:szCs w:val="22"/>
        </w:rPr>
      </w:pPr>
      <w:r w:rsidRPr="00B756F1">
        <w:rPr>
          <w:sz w:val="22"/>
          <w:szCs w:val="22"/>
        </w:rPr>
        <w:t>Appointed to the Board on 20 August 2013</w:t>
      </w:r>
    </w:p>
    <w:p w14:paraId="57F53CF2" w14:textId="77777777" w:rsidR="00B756F1" w:rsidRPr="00B756F1" w:rsidRDefault="00B756F1" w:rsidP="00B756F1">
      <w:pPr>
        <w:pStyle w:val="BodyText2"/>
        <w:rPr>
          <w:sz w:val="22"/>
          <w:szCs w:val="22"/>
        </w:rPr>
      </w:pPr>
    </w:p>
    <w:p w14:paraId="762FFD4E" w14:textId="072BA503" w:rsidR="00B756F1" w:rsidRPr="00B756F1" w:rsidRDefault="00B756F1" w:rsidP="00B756F1">
      <w:pPr>
        <w:pStyle w:val="BodyText2"/>
        <w:rPr>
          <w:sz w:val="22"/>
          <w:szCs w:val="22"/>
        </w:rPr>
      </w:pPr>
      <w:r w:rsidRPr="00B756F1">
        <w:rPr>
          <w:sz w:val="22"/>
          <w:szCs w:val="22"/>
        </w:rPr>
        <w:t xml:space="preserve">Christian </w:t>
      </w:r>
      <w:proofErr w:type="spellStart"/>
      <w:r w:rsidRPr="00B756F1">
        <w:rPr>
          <w:sz w:val="22"/>
          <w:szCs w:val="22"/>
        </w:rPr>
        <w:t>Schaffalitzky</w:t>
      </w:r>
      <w:proofErr w:type="spellEnd"/>
      <w:r w:rsidRPr="00B756F1">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B756F1">
        <w:rPr>
          <w:sz w:val="22"/>
          <w:szCs w:val="22"/>
        </w:rPr>
        <w:t>(aged 6</w:t>
      </w:r>
      <w:r w:rsidR="008173E0">
        <w:rPr>
          <w:sz w:val="22"/>
          <w:szCs w:val="22"/>
        </w:rPr>
        <w:t>7</w:t>
      </w:r>
      <w:r w:rsidRPr="00B756F1">
        <w:rPr>
          <w:sz w:val="22"/>
          <w:szCs w:val="22"/>
        </w:rPr>
        <w:t>) has over 40 years’ experience in minerals exploration working for companies and also as founder and principal of the geological consultancy CSA</w:t>
      </w:r>
      <w:r w:rsidR="009549DE">
        <w:rPr>
          <w:sz w:val="22"/>
          <w:szCs w:val="22"/>
        </w:rPr>
        <w:t>.</w:t>
      </w:r>
      <w:r w:rsidRPr="00B756F1">
        <w:rPr>
          <w:sz w:val="22"/>
          <w:szCs w:val="22"/>
        </w:rPr>
        <w:t xml:space="preserve"> </w:t>
      </w:r>
    </w:p>
    <w:p w14:paraId="0627E219" w14:textId="77777777" w:rsidR="00B756F1" w:rsidRDefault="00B756F1" w:rsidP="00B756F1">
      <w:pPr>
        <w:pStyle w:val="BodyText2"/>
        <w:rPr>
          <w:sz w:val="22"/>
          <w:szCs w:val="22"/>
        </w:rPr>
      </w:pPr>
    </w:p>
    <w:p w14:paraId="2A15A108" w14:textId="30C720FD" w:rsidR="00B756F1" w:rsidRPr="00B756F1" w:rsidRDefault="00B756F1" w:rsidP="00B756F1">
      <w:pPr>
        <w:pStyle w:val="BodyText2"/>
        <w:rPr>
          <w:sz w:val="22"/>
          <w:szCs w:val="22"/>
        </w:rPr>
      </w:pPr>
      <w:r w:rsidRPr="00B756F1">
        <w:rPr>
          <w:sz w:val="22"/>
          <w:szCs w:val="22"/>
        </w:rPr>
        <w:t xml:space="preserve">Christian </w:t>
      </w:r>
      <w:proofErr w:type="spellStart"/>
      <w:r w:rsidRPr="00B756F1">
        <w:rPr>
          <w:sz w:val="22"/>
          <w:szCs w:val="22"/>
        </w:rPr>
        <w:t>Schaffalitzky</w:t>
      </w:r>
      <w:proofErr w:type="spellEnd"/>
      <w:r w:rsidRPr="00B756F1">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B756F1">
        <w:rPr>
          <w:sz w:val="22"/>
          <w:szCs w:val="22"/>
        </w:rPr>
        <w:t xml:space="preserve">co-established </w:t>
      </w:r>
      <w:proofErr w:type="spellStart"/>
      <w:r w:rsidRPr="00B756F1">
        <w:rPr>
          <w:sz w:val="22"/>
          <w:szCs w:val="22"/>
        </w:rPr>
        <w:t>Ivernia</w:t>
      </w:r>
      <w:proofErr w:type="spellEnd"/>
      <w:r w:rsidRPr="00B756F1">
        <w:rPr>
          <w:sz w:val="22"/>
          <w:szCs w:val="22"/>
        </w:rPr>
        <w:t xml:space="preserve"> West PLC, where he led the exploration, discovery and development of the </w:t>
      </w:r>
      <w:proofErr w:type="spellStart"/>
      <w:r w:rsidRPr="00B756F1">
        <w:rPr>
          <w:sz w:val="22"/>
          <w:szCs w:val="22"/>
        </w:rPr>
        <w:t>Lisheen</w:t>
      </w:r>
      <w:proofErr w:type="spellEnd"/>
      <w:r w:rsidRPr="00B756F1">
        <w:rPr>
          <w:sz w:val="22"/>
          <w:szCs w:val="22"/>
        </w:rPr>
        <w:t xml:space="preserve"> zinc deposit in Ireland. </w:t>
      </w:r>
    </w:p>
    <w:p w14:paraId="472390C2" w14:textId="77777777" w:rsidR="00B756F1" w:rsidRDefault="00B756F1" w:rsidP="00B756F1">
      <w:pPr>
        <w:pStyle w:val="BodyText2"/>
        <w:rPr>
          <w:sz w:val="22"/>
          <w:szCs w:val="22"/>
        </w:rPr>
      </w:pPr>
    </w:p>
    <w:p w14:paraId="1ACF87F3" w14:textId="05264A4A" w:rsidR="00B756F1" w:rsidRPr="00B756F1" w:rsidRDefault="00B756F1" w:rsidP="00B756F1">
      <w:pPr>
        <w:pStyle w:val="BodyText2"/>
        <w:rPr>
          <w:sz w:val="22"/>
          <w:szCs w:val="22"/>
        </w:rPr>
      </w:pPr>
      <w:r w:rsidRPr="00B756F1">
        <w:rPr>
          <w:sz w:val="22"/>
          <w:szCs w:val="22"/>
        </w:rPr>
        <w:t xml:space="preserve">Christian </w:t>
      </w:r>
      <w:proofErr w:type="spellStart"/>
      <w:r w:rsidRPr="00B756F1">
        <w:rPr>
          <w:sz w:val="22"/>
          <w:szCs w:val="22"/>
        </w:rPr>
        <w:t>Schaffalitzky</w:t>
      </w:r>
      <w:proofErr w:type="spellEnd"/>
      <w:r w:rsidRPr="00B756F1">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B756F1">
        <w:rPr>
          <w:sz w:val="22"/>
          <w:szCs w:val="22"/>
        </w:rPr>
        <w:t xml:space="preserve">is currently active in precious and base metals minerals exploration and development in Russia and the former Soviet Union as Managing Director of Eurasia Mining plc (LON:EUA) . He is also chairman of </w:t>
      </w:r>
      <w:proofErr w:type="spellStart"/>
      <w:r w:rsidRPr="00B756F1">
        <w:rPr>
          <w:sz w:val="22"/>
          <w:szCs w:val="22"/>
        </w:rPr>
        <w:t>Kibo</w:t>
      </w:r>
      <w:proofErr w:type="spellEnd"/>
      <w:r w:rsidRPr="00B756F1">
        <w:rPr>
          <w:sz w:val="22"/>
          <w:szCs w:val="22"/>
        </w:rPr>
        <w:t xml:space="preserve"> Mining plc (LON:KIBO).</w:t>
      </w:r>
    </w:p>
    <w:p w14:paraId="6A1AC6FD" w14:textId="77777777" w:rsidR="00451BAB" w:rsidRDefault="00451BAB" w:rsidP="00B756F1">
      <w:pPr>
        <w:pStyle w:val="BodyText2"/>
        <w:rPr>
          <w:sz w:val="22"/>
          <w:szCs w:val="22"/>
        </w:rPr>
      </w:pPr>
    </w:p>
    <w:p w14:paraId="269F392A" w14:textId="18A23F90" w:rsidR="00B756F1" w:rsidRPr="00B756F1" w:rsidRDefault="00B756F1" w:rsidP="00B756F1">
      <w:pPr>
        <w:pStyle w:val="BodyText2"/>
        <w:rPr>
          <w:sz w:val="22"/>
          <w:szCs w:val="22"/>
        </w:rPr>
      </w:pPr>
      <w:r w:rsidRPr="00B756F1">
        <w:rPr>
          <w:sz w:val="22"/>
          <w:szCs w:val="22"/>
        </w:rPr>
        <w:t xml:space="preserve">Christian </w:t>
      </w:r>
      <w:proofErr w:type="spellStart"/>
      <w:r w:rsidRPr="00B756F1">
        <w:rPr>
          <w:sz w:val="22"/>
          <w:szCs w:val="22"/>
        </w:rPr>
        <w:t>Schaffalitzky</w:t>
      </w:r>
      <w:proofErr w:type="spellEnd"/>
      <w:r w:rsidRPr="00B756F1">
        <w:rPr>
          <w:sz w:val="22"/>
          <w:szCs w:val="22"/>
        </w:rPr>
        <w:t xml:space="preserve"> </w:t>
      </w:r>
      <w:r w:rsidR="006845FB">
        <w:rPr>
          <w:sz w:val="22"/>
          <w:szCs w:val="22"/>
        </w:rPr>
        <w:t xml:space="preserve">de </w:t>
      </w:r>
      <w:proofErr w:type="spellStart"/>
      <w:r w:rsidR="006845FB">
        <w:rPr>
          <w:sz w:val="22"/>
          <w:szCs w:val="22"/>
        </w:rPr>
        <w:t>Muckedell</w:t>
      </w:r>
      <w:proofErr w:type="spellEnd"/>
      <w:r w:rsidR="006845FB">
        <w:rPr>
          <w:sz w:val="22"/>
          <w:szCs w:val="22"/>
        </w:rPr>
        <w:t xml:space="preserve"> </w:t>
      </w:r>
      <w:r w:rsidRPr="00B756F1">
        <w:rPr>
          <w:sz w:val="22"/>
          <w:szCs w:val="22"/>
        </w:rPr>
        <w:t>is a member and Chairman of the Remuneration Committee and a member of the Audit Committee.</w:t>
      </w:r>
    </w:p>
    <w:p w14:paraId="4560C976" w14:textId="77777777" w:rsidR="00B756F1" w:rsidRPr="00B756F1" w:rsidRDefault="00B756F1" w:rsidP="00B756F1">
      <w:pPr>
        <w:pStyle w:val="BodyText2"/>
        <w:rPr>
          <w:sz w:val="22"/>
          <w:szCs w:val="22"/>
        </w:rPr>
      </w:pPr>
    </w:p>
    <w:p w14:paraId="244BA831" w14:textId="77777777" w:rsidR="00B756F1" w:rsidRPr="00451BAB" w:rsidRDefault="00B756F1" w:rsidP="00B756F1">
      <w:pPr>
        <w:widowControl w:val="0"/>
        <w:jc w:val="both"/>
        <w:rPr>
          <w:rFonts w:ascii="Arial" w:hAnsi="Arial" w:cs="Arial"/>
          <w:i/>
          <w:iCs/>
          <w:color w:val="000000"/>
          <w:sz w:val="22"/>
          <w:szCs w:val="22"/>
        </w:rPr>
      </w:pPr>
    </w:p>
    <w:p w14:paraId="1FD2D1D5" w14:textId="276C5F02" w:rsidR="001E3BD1" w:rsidRDefault="007623F0">
      <w:pPr>
        <w:jc w:val="center"/>
        <w:rPr>
          <w:b/>
          <w:sz w:val="22"/>
          <w:szCs w:val="22"/>
        </w:rPr>
        <w:sectPr w:rsidR="001E3BD1" w:rsidSect="002E4AA5">
          <w:footerReference w:type="default" r:id="rId13"/>
          <w:headerReference w:type="first" r:id="rId14"/>
          <w:footerReference w:type="first" r:id="rId15"/>
          <w:pgSz w:w="11909" w:h="16834" w:code="9"/>
          <w:pgMar w:top="567" w:right="936" w:bottom="720" w:left="936" w:header="706" w:footer="706" w:gutter="0"/>
          <w:cols w:space="720"/>
          <w:titlePg/>
        </w:sectPr>
      </w:pPr>
      <w:r w:rsidRPr="000230EA">
        <w:rPr>
          <w:b/>
          <w:sz w:val="22"/>
          <w:szCs w:val="22"/>
        </w:rPr>
        <w:br w:type="page"/>
      </w:r>
    </w:p>
    <w:p w14:paraId="75E5DF57" w14:textId="16A52862" w:rsidR="007623F0" w:rsidRPr="00A8640A" w:rsidRDefault="007623F0" w:rsidP="0016264F">
      <w:pPr>
        <w:pStyle w:val="BodyText2"/>
        <w:rPr>
          <w:sz w:val="22"/>
          <w:szCs w:val="22"/>
        </w:rPr>
      </w:pPr>
      <w:r w:rsidRPr="00A8640A">
        <w:rPr>
          <w:sz w:val="22"/>
          <w:szCs w:val="22"/>
        </w:rPr>
        <w:lastRenderedPageBreak/>
        <w:t xml:space="preserve">The </w:t>
      </w:r>
      <w:r w:rsidR="00220529">
        <w:rPr>
          <w:sz w:val="22"/>
          <w:szCs w:val="22"/>
        </w:rPr>
        <w:t>D</w:t>
      </w:r>
      <w:r w:rsidRPr="00A8640A">
        <w:rPr>
          <w:sz w:val="22"/>
          <w:szCs w:val="22"/>
        </w:rPr>
        <w:t xml:space="preserve">irectors present the strategic report for </w:t>
      </w:r>
      <w:r w:rsidR="004F07C8">
        <w:rPr>
          <w:sz w:val="22"/>
          <w:szCs w:val="22"/>
        </w:rPr>
        <w:t>MetalNRG</w:t>
      </w:r>
      <w:r w:rsidRPr="00A8640A">
        <w:rPr>
          <w:sz w:val="22"/>
          <w:szCs w:val="22"/>
        </w:rPr>
        <w:t xml:space="preserve"> plc (the “Company” or “</w:t>
      </w:r>
      <w:r w:rsidR="004F07C8">
        <w:rPr>
          <w:sz w:val="22"/>
          <w:szCs w:val="22"/>
        </w:rPr>
        <w:t>M</w:t>
      </w:r>
      <w:r w:rsidR="009549DE">
        <w:rPr>
          <w:sz w:val="22"/>
          <w:szCs w:val="22"/>
        </w:rPr>
        <w:t>etal</w:t>
      </w:r>
      <w:r w:rsidR="004F07C8">
        <w:rPr>
          <w:sz w:val="22"/>
          <w:szCs w:val="22"/>
        </w:rPr>
        <w:t>NRG</w:t>
      </w:r>
      <w:r w:rsidRPr="00A8640A">
        <w:rPr>
          <w:sz w:val="22"/>
          <w:szCs w:val="22"/>
        </w:rPr>
        <w:t xml:space="preserve">”, and collectively with its </w:t>
      </w:r>
      <w:r w:rsidR="009549DE">
        <w:rPr>
          <w:sz w:val="22"/>
          <w:szCs w:val="22"/>
        </w:rPr>
        <w:t>s</w:t>
      </w:r>
      <w:r w:rsidRPr="00A8640A">
        <w:rPr>
          <w:sz w:val="22"/>
          <w:szCs w:val="22"/>
        </w:rPr>
        <w:t xml:space="preserve">ubsidiary </w:t>
      </w:r>
      <w:r w:rsidR="009549DE">
        <w:rPr>
          <w:sz w:val="22"/>
          <w:szCs w:val="22"/>
        </w:rPr>
        <w:t>c</w:t>
      </w:r>
      <w:r w:rsidRPr="00A8640A">
        <w:rPr>
          <w:sz w:val="22"/>
          <w:szCs w:val="22"/>
        </w:rPr>
        <w:t xml:space="preserve">ompanies, the “Group”) for the </w:t>
      </w:r>
      <w:r w:rsidR="007A083E">
        <w:rPr>
          <w:sz w:val="22"/>
          <w:szCs w:val="22"/>
        </w:rPr>
        <w:t>year</w:t>
      </w:r>
      <w:r w:rsidR="000C5039">
        <w:rPr>
          <w:sz w:val="22"/>
          <w:szCs w:val="22"/>
        </w:rPr>
        <w:t xml:space="preserve"> ended 31 December 20</w:t>
      </w:r>
      <w:r w:rsidR="008173E0">
        <w:rPr>
          <w:sz w:val="22"/>
          <w:szCs w:val="22"/>
        </w:rPr>
        <w:t>20</w:t>
      </w:r>
      <w:r w:rsidRPr="00A8640A">
        <w:rPr>
          <w:sz w:val="22"/>
          <w:szCs w:val="22"/>
        </w:rPr>
        <w:t>.</w:t>
      </w:r>
    </w:p>
    <w:p w14:paraId="0EB6101C" w14:textId="77777777" w:rsidR="007623F0" w:rsidRPr="00A8640A" w:rsidRDefault="007623F0">
      <w:pPr>
        <w:jc w:val="both"/>
        <w:rPr>
          <w:sz w:val="22"/>
          <w:szCs w:val="22"/>
        </w:rPr>
      </w:pPr>
    </w:p>
    <w:p w14:paraId="7994AD41" w14:textId="0EF344D9" w:rsidR="007623F0" w:rsidRPr="00A8640A" w:rsidRDefault="007623F0">
      <w:pPr>
        <w:jc w:val="both"/>
        <w:rPr>
          <w:b/>
          <w:sz w:val="22"/>
          <w:szCs w:val="22"/>
        </w:rPr>
      </w:pPr>
      <w:r w:rsidRPr="00A8640A">
        <w:rPr>
          <w:b/>
          <w:sz w:val="22"/>
          <w:szCs w:val="22"/>
        </w:rPr>
        <w:t>PRINCIPAL ACTIVIT</w:t>
      </w:r>
      <w:r w:rsidR="004F07C8">
        <w:rPr>
          <w:b/>
          <w:sz w:val="22"/>
          <w:szCs w:val="22"/>
        </w:rPr>
        <w:t>Y</w:t>
      </w:r>
    </w:p>
    <w:p w14:paraId="57C78176" w14:textId="77777777" w:rsidR="007623F0" w:rsidRPr="00A8640A" w:rsidRDefault="007623F0">
      <w:pPr>
        <w:jc w:val="both"/>
        <w:rPr>
          <w:b/>
          <w:sz w:val="22"/>
          <w:szCs w:val="22"/>
        </w:rPr>
      </w:pPr>
    </w:p>
    <w:p w14:paraId="1BBE669C" w14:textId="4D3303A0" w:rsidR="007623F0" w:rsidRPr="00A8640A" w:rsidRDefault="007623F0">
      <w:pPr>
        <w:jc w:val="both"/>
        <w:rPr>
          <w:sz w:val="22"/>
          <w:szCs w:val="22"/>
        </w:rPr>
      </w:pPr>
      <w:r w:rsidRPr="00A8640A">
        <w:rPr>
          <w:sz w:val="22"/>
          <w:szCs w:val="22"/>
        </w:rPr>
        <w:t xml:space="preserve">The </w:t>
      </w:r>
      <w:r w:rsidR="004F07C8">
        <w:rPr>
          <w:sz w:val="22"/>
          <w:szCs w:val="22"/>
        </w:rPr>
        <w:t>Company’s</w:t>
      </w:r>
      <w:r w:rsidRPr="00A8640A">
        <w:rPr>
          <w:sz w:val="22"/>
          <w:szCs w:val="22"/>
        </w:rPr>
        <w:t xml:space="preserve"> principal activity </w:t>
      </w:r>
      <w:r w:rsidR="004F07C8">
        <w:rPr>
          <w:sz w:val="22"/>
          <w:szCs w:val="22"/>
        </w:rPr>
        <w:t xml:space="preserve">during the year was that of a natural resource investing company listed on </w:t>
      </w:r>
      <w:r w:rsidR="000C5039">
        <w:rPr>
          <w:sz w:val="22"/>
          <w:szCs w:val="22"/>
        </w:rPr>
        <w:t xml:space="preserve">the Main </w:t>
      </w:r>
      <w:r w:rsidR="00451BAB">
        <w:rPr>
          <w:sz w:val="22"/>
          <w:szCs w:val="22"/>
        </w:rPr>
        <w:t xml:space="preserve">Market for listed securities </w:t>
      </w:r>
      <w:r w:rsidR="000C5039">
        <w:rPr>
          <w:sz w:val="22"/>
          <w:szCs w:val="22"/>
        </w:rPr>
        <w:t>of the London Stock Exchange</w:t>
      </w:r>
      <w:r w:rsidR="004F07C8">
        <w:rPr>
          <w:sz w:val="22"/>
          <w:szCs w:val="22"/>
        </w:rPr>
        <w:t>.</w:t>
      </w:r>
    </w:p>
    <w:p w14:paraId="56752CC9" w14:textId="77777777" w:rsidR="00451BAB" w:rsidRDefault="00451BAB">
      <w:pPr>
        <w:jc w:val="both"/>
        <w:rPr>
          <w:b/>
          <w:sz w:val="22"/>
          <w:szCs w:val="22"/>
          <w:highlight w:val="yellow"/>
        </w:rPr>
      </w:pPr>
    </w:p>
    <w:p w14:paraId="45C0FFAD" w14:textId="539D593C" w:rsidR="007623F0" w:rsidRPr="009B12F3" w:rsidRDefault="007623F0">
      <w:pPr>
        <w:jc w:val="both"/>
        <w:rPr>
          <w:b/>
          <w:sz w:val="22"/>
          <w:szCs w:val="22"/>
        </w:rPr>
      </w:pPr>
      <w:r w:rsidRPr="009B12F3">
        <w:rPr>
          <w:b/>
          <w:sz w:val="22"/>
          <w:szCs w:val="22"/>
        </w:rPr>
        <w:t>BUSINESS REVIEW</w:t>
      </w:r>
    </w:p>
    <w:p w14:paraId="19DF9364" w14:textId="31262E7C" w:rsidR="00C65E06" w:rsidRPr="008173E0" w:rsidRDefault="00C65E06">
      <w:pPr>
        <w:jc w:val="both"/>
        <w:rPr>
          <w:b/>
          <w:sz w:val="22"/>
          <w:szCs w:val="22"/>
          <w:highlight w:val="yellow"/>
        </w:rPr>
      </w:pPr>
    </w:p>
    <w:p w14:paraId="5E99BF5D" w14:textId="2008631A" w:rsidR="00574E6F" w:rsidRDefault="00574E6F" w:rsidP="00574E6F">
      <w:pPr>
        <w:overflowPunct/>
        <w:autoSpaceDE/>
        <w:autoSpaceDN/>
        <w:adjustRightInd/>
        <w:spacing w:after="100" w:afterAutospacing="1"/>
        <w:jc w:val="both"/>
        <w:textAlignment w:val="auto"/>
        <w:rPr>
          <w:color w:val="212529"/>
          <w:sz w:val="22"/>
          <w:szCs w:val="22"/>
          <w:lang w:eastAsia="en-GB"/>
        </w:rPr>
      </w:pPr>
      <w:r w:rsidRPr="00EB5826">
        <w:rPr>
          <w:color w:val="212529"/>
          <w:sz w:val="22"/>
          <w:szCs w:val="22"/>
          <w:lang w:eastAsia="en-GB"/>
        </w:rPr>
        <w:t>The Company</w:t>
      </w:r>
      <w:r>
        <w:rPr>
          <w:color w:val="212529"/>
          <w:sz w:val="22"/>
          <w:szCs w:val="22"/>
          <w:lang w:eastAsia="en-GB"/>
        </w:rPr>
        <w:t xml:space="preserve"> has had an eventful year with </w:t>
      </w:r>
      <w:r w:rsidR="00ED0E30">
        <w:rPr>
          <w:color w:val="212529"/>
          <w:sz w:val="22"/>
          <w:szCs w:val="22"/>
          <w:lang w:eastAsia="en-GB"/>
        </w:rPr>
        <w:t>key</w:t>
      </w:r>
      <w:r>
        <w:rPr>
          <w:color w:val="212529"/>
          <w:sz w:val="22"/>
          <w:szCs w:val="22"/>
          <w:lang w:eastAsia="en-GB"/>
        </w:rPr>
        <w:t xml:space="preserve"> successes, but also faced some difficulties due to </w:t>
      </w:r>
      <w:r w:rsidR="00F57225">
        <w:rPr>
          <w:color w:val="212529"/>
          <w:sz w:val="22"/>
          <w:szCs w:val="22"/>
          <w:lang w:eastAsia="en-GB"/>
        </w:rPr>
        <w:t>this year’s restrictions</w:t>
      </w:r>
      <w:r>
        <w:rPr>
          <w:color w:val="212529"/>
          <w:sz w:val="22"/>
          <w:szCs w:val="22"/>
          <w:lang w:eastAsia="en-GB"/>
        </w:rPr>
        <w:t xml:space="preserve">. </w:t>
      </w:r>
      <w:r w:rsidR="00ED0E30">
        <w:rPr>
          <w:color w:val="212529"/>
          <w:sz w:val="22"/>
          <w:szCs w:val="22"/>
          <w:lang w:eastAsia="en-GB"/>
        </w:rPr>
        <w:t>T</w:t>
      </w:r>
      <w:r>
        <w:rPr>
          <w:color w:val="212529"/>
          <w:sz w:val="22"/>
          <w:szCs w:val="22"/>
          <w:lang w:eastAsia="en-GB"/>
        </w:rPr>
        <w:t>he Company comes out of 2020 stronger than it was 12 months ago</w:t>
      </w:r>
      <w:r w:rsidR="00ED0E30">
        <w:rPr>
          <w:color w:val="212529"/>
          <w:sz w:val="22"/>
          <w:szCs w:val="22"/>
          <w:lang w:eastAsia="en-GB"/>
        </w:rPr>
        <w:t>,</w:t>
      </w:r>
      <w:r>
        <w:rPr>
          <w:color w:val="212529"/>
          <w:sz w:val="22"/>
          <w:szCs w:val="22"/>
          <w:lang w:eastAsia="en-GB"/>
        </w:rPr>
        <w:t xml:space="preserve"> after our first full year on the </w:t>
      </w:r>
      <w:r w:rsidR="009549DE">
        <w:rPr>
          <w:color w:val="212529"/>
          <w:sz w:val="22"/>
          <w:szCs w:val="22"/>
          <w:lang w:eastAsia="en-GB"/>
        </w:rPr>
        <w:t xml:space="preserve">Main Market of the </w:t>
      </w:r>
      <w:r>
        <w:rPr>
          <w:color w:val="212529"/>
          <w:sz w:val="22"/>
          <w:szCs w:val="22"/>
          <w:lang w:eastAsia="en-GB"/>
        </w:rPr>
        <w:t>London Stock Exchange having moved over from the NEX</w:t>
      </w:r>
      <w:r w:rsidR="009549DE">
        <w:rPr>
          <w:color w:val="212529"/>
          <w:sz w:val="22"/>
          <w:szCs w:val="22"/>
          <w:lang w:eastAsia="en-GB"/>
        </w:rPr>
        <w:t xml:space="preserve"> Exchange Growth</w:t>
      </w:r>
      <w:r>
        <w:rPr>
          <w:color w:val="212529"/>
          <w:sz w:val="22"/>
          <w:szCs w:val="22"/>
          <w:lang w:eastAsia="en-GB"/>
        </w:rPr>
        <w:t xml:space="preserve"> market. We </w:t>
      </w:r>
      <w:r w:rsidR="00ED0E30">
        <w:rPr>
          <w:color w:val="212529"/>
          <w:sz w:val="22"/>
          <w:szCs w:val="22"/>
          <w:lang w:eastAsia="en-GB"/>
        </w:rPr>
        <w:t>reviewed</w:t>
      </w:r>
      <w:r>
        <w:rPr>
          <w:color w:val="212529"/>
          <w:sz w:val="22"/>
          <w:szCs w:val="22"/>
          <w:lang w:eastAsia="en-GB"/>
        </w:rPr>
        <w:t xml:space="preserve"> numerous investment opportunities but </w:t>
      </w:r>
      <w:r w:rsidR="00ED0E30">
        <w:rPr>
          <w:color w:val="212529"/>
          <w:sz w:val="22"/>
          <w:szCs w:val="22"/>
          <w:lang w:eastAsia="en-GB"/>
        </w:rPr>
        <w:t xml:space="preserve">decided to </w:t>
      </w:r>
      <w:r>
        <w:rPr>
          <w:color w:val="212529"/>
          <w:sz w:val="22"/>
          <w:szCs w:val="22"/>
          <w:lang w:eastAsia="en-GB"/>
        </w:rPr>
        <w:t>focus on three project</w:t>
      </w:r>
      <w:r w:rsidR="003A19B0">
        <w:rPr>
          <w:color w:val="212529"/>
          <w:sz w:val="22"/>
          <w:szCs w:val="22"/>
          <w:lang w:eastAsia="en-GB"/>
        </w:rPr>
        <w:t>s</w:t>
      </w:r>
      <w:r>
        <w:rPr>
          <w:color w:val="212529"/>
          <w:sz w:val="22"/>
          <w:szCs w:val="22"/>
          <w:lang w:eastAsia="en-GB"/>
        </w:rPr>
        <w:t xml:space="preserve"> </w:t>
      </w:r>
      <w:r w:rsidR="00ED0E30">
        <w:rPr>
          <w:color w:val="212529"/>
          <w:sz w:val="22"/>
          <w:szCs w:val="22"/>
          <w:lang w:eastAsia="en-GB"/>
        </w:rPr>
        <w:t>in particular</w:t>
      </w:r>
      <w:r>
        <w:rPr>
          <w:color w:val="212529"/>
          <w:sz w:val="22"/>
          <w:szCs w:val="22"/>
          <w:lang w:eastAsia="en-GB"/>
        </w:rPr>
        <w:t xml:space="preserve">: Oil &amp; Gas in Romania, Oil &amp; Gas in the UK, and Lake Victoria Gold in Australia with its assets in Tanzania. </w:t>
      </w:r>
      <w:r w:rsidR="003E244F">
        <w:rPr>
          <w:color w:val="212529"/>
          <w:sz w:val="22"/>
          <w:szCs w:val="22"/>
          <w:lang w:eastAsia="en-GB"/>
        </w:rPr>
        <w:t>MetalNRG</w:t>
      </w:r>
      <w:r>
        <w:rPr>
          <w:color w:val="212529"/>
          <w:sz w:val="22"/>
          <w:szCs w:val="22"/>
          <w:lang w:eastAsia="en-GB"/>
        </w:rPr>
        <w:t xml:space="preserve"> also made progress on </w:t>
      </w:r>
      <w:r w:rsidR="00ED0E30">
        <w:rPr>
          <w:color w:val="212529"/>
          <w:sz w:val="22"/>
          <w:szCs w:val="22"/>
          <w:lang w:eastAsia="en-GB"/>
        </w:rPr>
        <w:t xml:space="preserve">the </w:t>
      </w:r>
      <w:r>
        <w:rPr>
          <w:color w:val="212529"/>
          <w:sz w:val="22"/>
          <w:szCs w:val="22"/>
          <w:lang w:eastAsia="en-GB"/>
        </w:rPr>
        <w:t xml:space="preserve">Goldridge asset in Arizona and took steps to address </w:t>
      </w:r>
      <w:r w:rsidR="00ED0E30">
        <w:rPr>
          <w:color w:val="212529"/>
          <w:sz w:val="22"/>
          <w:szCs w:val="22"/>
          <w:lang w:eastAsia="en-GB"/>
        </w:rPr>
        <w:t xml:space="preserve">its </w:t>
      </w:r>
      <w:r>
        <w:rPr>
          <w:color w:val="212529"/>
          <w:sz w:val="22"/>
          <w:szCs w:val="22"/>
          <w:lang w:eastAsia="en-GB"/>
        </w:rPr>
        <w:t>investment in IMC’s uranium asset in Kyrgyzstan</w:t>
      </w:r>
      <w:r w:rsidR="00ED0E30">
        <w:rPr>
          <w:color w:val="212529"/>
          <w:sz w:val="22"/>
          <w:szCs w:val="22"/>
          <w:lang w:eastAsia="en-GB"/>
        </w:rPr>
        <w:t>,</w:t>
      </w:r>
      <w:r>
        <w:rPr>
          <w:color w:val="212529"/>
          <w:sz w:val="22"/>
          <w:szCs w:val="22"/>
          <w:lang w:eastAsia="en-GB"/>
        </w:rPr>
        <w:t xml:space="preserve"> which has been impacted by the Government</w:t>
      </w:r>
      <w:r w:rsidR="009549DE">
        <w:rPr>
          <w:color w:val="212529"/>
          <w:sz w:val="22"/>
          <w:szCs w:val="22"/>
          <w:lang w:eastAsia="en-GB"/>
        </w:rPr>
        <w:t>’s</w:t>
      </w:r>
      <w:r>
        <w:rPr>
          <w:color w:val="212529"/>
          <w:sz w:val="22"/>
          <w:szCs w:val="22"/>
          <w:lang w:eastAsia="en-GB"/>
        </w:rPr>
        <w:t xml:space="preserve"> imposed ban on the exploitation of Uranium in</w:t>
      </w:r>
      <w:r w:rsidR="000E784C">
        <w:rPr>
          <w:color w:val="212529"/>
          <w:sz w:val="22"/>
          <w:szCs w:val="22"/>
          <w:lang w:eastAsia="en-GB"/>
        </w:rPr>
        <w:t xml:space="preserve"> the</w:t>
      </w:r>
      <w:r>
        <w:rPr>
          <w:color w:val="212529"/>
          <w:sz w:val="22"/>
          <w:szCs w:val="22"/>
          <w:lang w:eastAsia="en-GB"/>
        </w:rPr>
        <w:t xml:space="preserve"> country.</w:t>
      </w:r>
      <w:r w:rsidR="00ED0E30">
        <w:rPr>
          <w:color w:val="212529"/>
          <w:sz w:val="22"/>
          <w:szCs w:val="22"/>
          <w:lang w:eastAsia="en-GB"/>
        </w:rPr>
        <w:t xml:space="preserve"> The following provides a short summary on each of the projects</w:t>
      </w:r>
      <w:r w:rsidR="003E244F">
        <w:rPr>
          <w:color w:val="212529"/>
          <w:sz w:val="22"/>
          <w:szCs w:val="22"/>
          <w:lang w:eastAsia="en-GB"/>
        </w:rPr>
        <w:t>:</w:t>
      </w:r>
    </w:p>
    <w:p w14:paraId="4B4F3A69" w14:textId="291C9139" w:rsidR="00574E6F" w:rsidRDefault="00574E6F" w:rsidP="00574E6F">
      <w:pPr>
        <w:overflowPunct/>
        <w:autoSpaceDE/>
        <w:autoSpaceDN/>
        <w:adjustRightInd/>
        <w:spacing w:after="100" w:afterAutospacing="1"/>
        <w:jc w:val="both"/>
        <w:textAlignment w:val="auto"/>
        <w:rPr>
          <w:color w:val="212529"/>
          <w:sz w:val="22"/>
          <w:szCs w:val="22"/>
          <w:lang w:eastAsia="en-GB"/>
        </w:rPr>
      </w:pPr>
      <w:r w:rsidRPr="000777F3">
        <w:rPr>
          <w:b/>
          <w:bCs/>
          <w:color w:val="212529"/>
          <w:sz w:val="22"/>
          <w:szCs w:val="22"/>
          <w:lang w:eastAsia="en-GB"/>
        </w:rPr>
        <w:t>Oil &amp; Gas in Romania</w:t>
      </w:r>
      <w:r>
        <w:rPr>
          <w:color w:val="212529"/>
          <w:sz w:val="22"/>
          <w:szCs w:val="22"/>
          <w:lang w:eastAsia="en-GB"/>
        </w:rPr>
        <w:t xml:space="preserve">: following initial </w:t>
      </w:r>
      <w:r w:rsidR="00ED0E30">
        <w:rPr>
          <w:color w:val="212529"/>
          <w:sz w:val="22"/>
          <w:szCs w:val="22"/>
          <w:lang w:eastAsia="en-GB"/>
        </w:rPr>
        <w:t xml:space="preserve">internal </w:t>
      </w:r>
      <w:r>
        <w:rPr>
          <w:color w:val="212529"/>
          <w:sz w:val="22"/>
          <w:szCs w:val="22"/>
          <w:lang w:eastAsia="en-GB"/>
        </w:rPr>
        <w:t>desk-based due diligence we appointed consultants to complete a detailed report on the assets</w:t>
      </w:r>
      <w:r w:rsidR="00ED0E30">
        <w:rPr>
          <w:color w:val="212529"/>
          <w:sz w:val="22"/>
          <w:szCs w:val="22"/>
          <w:lang w:eastAsia="en-GB"/>
        </w:rPr>
        <w:t xml:space="preserve"> in Romania</w:t>
      </w:r>
      <w:r>
        <w:rPr>
          <w:color w:val="212529"/>
          <w:sz w:val="22"/>
          <w:szCs w:val="22"/>
          <w:lang w:eastAsia="en-GB"/>
        </w:rPr>
        <w:t xml:space="preserve">. However, during this period </w:t>
      </w:r>
      <w:r w:rsidR="00ED0E30">
        <w:rPr>
          <w:color w:val="212529"/>
          <w:sz w:val="22"/>
          <w:szCs w:val="22"/>
          <w:lang w:eastAsia="en-GB"/>
        </w:rPr>
        <w:t>oil prices were under sever</w:t>
      </w:r>
      <w:r w:rsidR="003E244F">
        <w:rPr>
          <w:color w:val="212529"/>
          <w:sz w:val="22"/>
          <w:szCs w:val="22"/>
          <w:lang w:eastAsia="en-GB"/>
        </w:rPr>
        <w:t>e</w:t>
      </w:r>
      <w:r w:rsidR="00ED0E30">
        <w:rPr>
          <w:color w:val="212529"/>
          <w:sz w:val="22"/>
          <w:szCs w:val="22"/>
          <w:lang w:eastAsia="en-GB"/>
        </w:rPr>
        <w:t xml:space="preserve"> pre</w:t>
      </w:r>
      <w:r w:rsidR="003E244F">
        <w:rPr>
          <w:color w:val="212529"/>
          <w:sz w:val="22"/>
          <w:szCs w:val="22"/>
          <w:lang w:eastAsia="en-GB"/>
        </w:rPr>
        <w:t>s</w:t>
      </w:r>
      <w:r w:rsidR="00ED0E30">
        <w:rPr>
          <w:color w:val="212529"/>
          <w:sz w:val="22"/>
          <w:szCs w:val="22"/>
          <w:lang w:eastAsia="en-GB"/>
        </w:rPr>
        <w:t xml:space="preserve">sure and we saw </w:t>
      </w:r>
      <w:r>
        <w:rPr>
          <w:color w:val="212529"/>
          <w:sz w:val="22"/>
          <w:szCs w:val="22"/>
          <w:lang w:eastAsia="en-GB"/>
        </w:rPr>
        <w:t>a complete crash in the oil price</w:t>
      </w:r>
      <w:r w:rsidR="00ED0E30">
        <w:rPr>
          <w:color w:val="212529"/>
          <w:sz w:val="22"/>
          <w:szCs w:val="22"/>
          <w:lang w:eastAsia="en-GB"/>
        </w:rPr>
        <w:t>,</w:t>
      </w:r>
      <w:r>
        <w:rPr>
          <w:color w:val="212529"/>
          <w:sz w:val="22"/>
          <w:szCs w:val="22"/>
          <w:lang w:eastAsia="en-GB"/>
        </w:rPr>
        <w:t xml:space="preserve"> which made the initially discussed economic terms less attractive. As a result, we revised the</w:t>
      </w:r>
      <w:r w:rsidR="00ED0E30">
        <w:rPr>
          <w:color w:val="212529"/>
          <w:sz w:val="22"/>
          <w:szCs w:val="22"/>
          <w:lang w:eastAsia="en-GB"/>
        </w:rPr>
        <w:t xml:space="preserve"> financial</w:t>
      </w:r>
      <w:r>
        <w:rPr>
          <w:color w:val="212529"/>
          <w:sz w:val="22"/>
          <w:szCs w:val="22"/>
          <w:lang w:eastAsia="en-GB"/>
        </w:rPr>
        <w:t xml:space="preserve"> terms of our offer to the vendors</w:t>
      </w:r>
      <w:r w:rsidR="00ED0E30">
        <w:rPr>
          <w:color w:val="212529"/>
          <w:sz w:val="22"/>
          <w:szCs w:val="22"/>
          <w:lang w:eastAsia="en-GB"/>
        </w:rPr>
        <w:t>,</w:t>
      </w:r>
      <w:r>
        <w:rPr>
          <w:color w:val="212529"/>
          <w:sz w:val="22"/>
          <w:szCs w:val="22"/>
          <w:lang w:eastAsia="en-GB"/>
        </w:rPr>
        <w:t xml:space="preserve"> who </w:t>
      </w:r>
      <w:r w:rsidR="009549DE">
        <w:rPr>
          <w:color w:val="212529"/>
          <w:sz w:val="22"/>
          <w:szCs w:val="22"/>
          <w:lang w:eastAsia="en-GB"/>
        </w:rPr>
        <w:t xml:space="preserve">subsequently </w:t>
      </w:r>
      <w:r>
        <w:rPr>
          <w:color w:val="212529"/>
          <w:sz w:val="22"/>
          <w:szCs w:val="22"/>
          <w:lang w:eastAsia="en-GB"/>
        </w:rPr>
        <w:t>chose not to accept the terms put forward.</w:t>
      </w:r>
    </w:p>
    <w:p w14:paraId="3980B000" w14:textId="7E1E966C" w:rsidR="00574E6F" w:rsidRDefault="00574E6F" w:rsidP="00574E6F">
      <w:pPr>
        <w:overflowPunct/>
        <w:autoSpaceDE/>
        <w:autoSpaceDN/>
        <w:adjustRightInd/>
        <w:spacing w:after="100" w:afterAutospacing="1"/>
        <w:jc w:val="both"/>
        <w:textAlignment w:val="auto"/>
        <w:rPr>
          <w:color w:val="212529"/>
          <w:sz w:val="22"/>
          <w:szCs w:val="22"/>
          <w:lang w:eastAsia="en-GB"/>
        </w:rPr>
      </w:pPr>
      <w:r w:rsidRPr="000777F3">
        <w:rPr>
          <w:b/>
          <w:bCs/>
          <w:color w:val="212529"/>
          <w:sz w:val="22"/>
          <w:szCs w:val="22"/>
          <w:lang w:eastAsia="en-GB"/>
        </w:rPr>
        <w:t>Oil &amp; Gas UK</w:t>
      </w:r>
      <w:r>
        <w:rPr>
          <w:color w:val="212529"/>
          <w:sz w:val="22"/>
          <w:szCs w:val="22"/>
          <w:lang w:eastAsia="en-GB"/>
        </w:rPr>
        <w:t xml:space="preserve">: the Company spent a number of months completing due diligence on the </w:t>
      </w:r>
      <w:proofErr w:type="spellStart"/>
      <w:r>
        <w:rPr>
          <w:color w:val="212529"/>
          <w:sz w:val="22"/>
          <w:szCs w:val="22"/>
          <w:lang w:eastAsia="en-GB"/>
        </w:rPr>
        <w:t>Sunswept</w:t>
      </w:r>
      <w:proofErr w:type="spellEnd"/>
      <w:r>
        <w:rPr>
          <w:color w:val="212529"/>
          <w:sz w:val="22"/>
          <w:szCs w:val="22"/>
          <w:lang w:eastAsia="en-GB"/>
        </w:rPr>
        <w:t xml:space="preserve"> assets in Lincolnshire. The Company invested via a convertible loan note which can be converted into equity in BritNRG Ltd, the special purpose vehicle created specifically for Oil &amp; Gas projects. The unique operating </w:t>
      </w:r>
      <w:r w:rsidR="003E244F">
        <w:rPr>
          <w:color w:val="212529"/>
          <w:sz w:val="22"/>
          <w:szCs w:val="22"/>
          <w:lang w:eastAsia="en-GB"/>
        </w:rPr>
        <w:t>model, which</w:t>
      </w:r>
      <w:r>
        <w:rPr>
          <w:color w:val="212529"/>
          <w:sz w:val="22"/>
          <w:szCs w:val="22"/>
          <w:lang w:eastAsia="en-GB"/>
        </w:rPr>
        <w:t xml:space="preserve"> </w:t>
      </w:r>
      <w:r w:rsidR="00ED0E30">
        <w:rPr>
          <w:color w:val="212529"/>
          <w:sz w:val="22"/>
          <w:szCs w:val="22"/>
          <w:lang w:eastAsia="en-GB"/>
        </w:rPr>
        <w:t xml:space="preserve">involves </w:t>
      </w:r>
      <w:r>
        <w:rPr>
          <w:color w:val="212529"/>
          <w:sz w:val="22"/>
          <w:szCs w:val="22"/>
          <w:lang w:eastAsia="en-GB"/>
        </w:rPr>
        <w:t>a few Private Investors invest</w:t>
      </w:r>
      <w:r w:rsidR="00ED0E30">
        <w:rPr>
          <w:color w:val="212529"/>
          <w:sz w:val="22"/>
          <w:szCs w:val="22"/>
          <w:lang w:eastAsia="en-GB"/>
        </w:rPr>
        <w:t>ing</w:t>
      </w:r>
      <w:r>
        <w:rPr>
          <w:color w:val="212529"/>
          <w:sz w:val="22"/>
          <w:szCs w:val="22"/>
          <w:lang w:eastAsia="en-GB"/>
        </w:rPr>
        <w:t xml:space="preserve"> in the Special Purpose Vehicle and becom</w:t>
      </w:r>
      <w:r w:rsidR="00ED0E30">
        <w:rPr>
          <w:color w:val="212529"/>
          <w:sz w:val="22"/>
          <w:szCs w:val="22"/>
          <w:lang w:eastAsia="en-GB"/>
        </w:rPr>
        <w:t>ing</w:t>
      </w:r>
      <w:r>
        <w:rPr>
          <w:color w:val="212529"/>
          <w:sz w:val="22"/>
          <w:szCs w:val="22"/>
          <w:lang w:eastAsia="en-GB"/>
        </w:rPr>
        <w:t xml:space="preserve"> part of the management team, enables the Company’s interests to be aligned with those of the management team. BritNRG has now completed the transaction and has taken operational control of the </w:t>
      </w:r>
      <w:proofErr w:type="spellStart"/>
      <w:r>
        <w:rPr>
          <w:color w:val="212529"/>
          <w:sz w:val="22"/>
          <w:szCs w:val="22"/>
          <w:lang w:eastAsia="en-GB"/>
        </w:rPr>
        <w:t>Sunswept</w:t>
      </w:r>
      <w:proofErr w:type="spellEnd"/>
      <w:r>
        <w:rPr>
          <w:color w:val="212529"/>
          <w:sz w:val="22"/>
          <w:szCs w:val="22"/>
          <w:lang w:eastAsia="en-GB"/>
        </w:rPr>
        <w:t xml:space="preserve"> assets, with </w:t>
      </w:r>
      <w:proofErr w:type="spellStart"/>
      <w:r>
        <w:rPr>
          <w:color w:val="212529"/>
          <w:sz w:val="22"/>
          <w:szCs w:val="22"/>
          <w:lang w:eastAsia="en-GB"/>
        </w:rPr>
        <w:t>Pierpaolo</w:t>
      </w:r>
      <w:proofErr w:type="spellEnd"/>
      <w:r>
        <w:rPr>
          <w:color w:val="212529"/>
          <w:sz w:val="22"/>
          <w:szCs w:val="22"/>
          <w:lang w:eastAsia="en-GB"/>
        </w:rPr>
        <w:t xml:space="preserve"> Rocco as CEO</w:t>
      </w:r>
      <w:r w:rsidR="00ED0E30">
        <w:rPr>
          <w:color w:val="212529"/>
          <w:sz w:val="22"/>
          <w:szCs w:val="22"/>
          <w:lang w:eastAsia="en-GB"/>
        </w:rPr>
        <w:t xml:space="preserve"> and focused on operational improvement as well </w:t>
      </w:r>
      <w:r w:rsidR="009549DE">
        <w:rPr>
          <w:color w:val="212529"/>
          <w:sz w:val="22"/>
          <w:szCs w:val="22"/>
          <w:lang w:eastAsia="en-GB"/>
        </w:rPr>
        <w:t xml:space="preserve">as </w:t>
      </w:r>
      <w:r w:rsidR="00ED0E30">
        <w:rPr>
          <w:color w:val="212529"/>
          <w:sz w:val="22"/>
          <w:szCs w:val="22"/>
          <w:lang w:eastAsia="en-GB"/>
        </w:rPr>
        <w:t>health &amp; safety</w:t>
      </w:r>
      <w:r w:rsidR="003E244F">
        <w:rPr>
          <w:color w:val="212529"/>
          <w:sz w:val="22"/>
          <w:szCs w:val="22"/>
          <w:lang w:eastAsia="en-GB"/>
        </w:rPr>
        <w:t>.</w:t>
      </w:r>
    </w:p>
    <w:p w14:paraId="18ECD262" w14:textId="127914FC" w:rsidR="00574E6F" w:rsidRDefault="00574E6F" w:rsidP="00574E6F">
      <w:pPr>
        <w:overflowPunct/>
        <w:autoSpaceDE/>
        <w:autoSpaceDN/>
        <w:adjustRightInd/>
        <w:spacing w:after="100" w:afterAutospacing="1"/>
        <w:jc w:val="both"/>
        <w:textAlignment w:val="auto"/>
        <w:rPr>
          <w:color w:val="212529"/>
          <w:sz w:val="22"/>
          <w:szCs w:val="22"/>
          <w:lang w:eastAsia="en-GB"/>
        </w:rPr>
      </w:pPr>
      <w:r w:rsidRPr="009F6441">
        <w:rPr>
          <w:b/>
          <w:bCs/>
          <w:color w:val="212529"/>
          <w:sz w:val="22"/>
          <w:szCs w:val="22"/>
          <w:lang w:eastAsia="en-GB"/>
        </w:rPr>
        <w:t>Lake Victoria Gold</w:t>
      </w:r>
      <w:r>
        <w:rPr>
          <w:color w:val="212529"/>
          <w:sz w:val="22"/>
          <w:szCs w:val="22"/>
          <w:lang w:eastAsia="en-GB"/>
        </w:rPr>
        <w:t xml:space="preserve">: following an initial </w:t>
      </w:r>
      <w:r w:rsidR="00ED0E30">
        <w:rPr>
          <w:color w:val="212529"/>
          <w:sz w:val="22"/>
          <w:szCs w:val="22"/>
          <w:lang w:eastAsia="en-GB"/>
        </w:rPr>
        <w:t xml:space="preserve">internal </w:t>
      </w:r>
      <w:r>
        <w:rPr>
          <w:color w:val="212529"/>
          <w:sz w:val="22"/>
          <w:szCs w:val="22"/>
          <w:lang w:eastAsia="en-GB"/>
        </w:rPr>
        <w:t xml:space="preserve">assessment of the gold assets in Tanzania, owned by Lake Victoria Gold Ltd, MetalNRG entered into Head of Terms to acquire 100% of the equity in the Australian based company. Due </w:t>
      </w:r>
      <w:r w:rsidR="009549DE">
        <w:rPr>
          <w:color w:val="212529"/>
          <w:sz w:val="22"/>
          <w:szCs w:val="22"/>
          <w:lang w:eastAsia="en-GB"/>
        </w:rPr>
        <w:t>d</w:t>
      </w:r>
      <w:r>
        <w:rPr>
          <w:color w:val="212529"/>
          <w:sz w:val="22"/>
          <w:szCs w:val="22"/>
          <w:lang w:eastAsia="en-GB"/>
        </w:rPr>
        <w:t>iligence was not straight forward</w:t>
      </w:r>
      <w:r w:rsidR="00ED0E30">
        <w:rPr>
          <w:color w:val="212529"/>
          <w:sz w:val="22"/>
          <w:szCs w:val="22"/>
          <w:lang w:eastAsia="en-GB"/>
        </w:rPr>
        <w:t xml:space="preserve">, </w:t>
      </w:r>
      <w:r>
        <w:rPr>
          <w:color w:val="212529"/>
          <w:sz w:val="22"/>
          <w:szCs w:val="22"/>
          <w:lang w:eastAsia="en-GB"/>
        </w:rPr>
        <w:t xml:space="preserve">as the impact of Covid-19 and the resulting travel restrictions meant that site visits from London </w:t>
      </w:r>
      <w:r w:rsidR="00151DB8">
        <w:rPr>
          <w:color w:val="212529"/>
          <w:sz w:val="22"/>
          <w:szCs w:val="22"/>
          <w:lang w:eastAsia="en-GB"/>
        </w:rPr>
        <w:t>were impossible</w:t>
      </w:r>
      <w:r w:rsidR="00ED0E30">
        <w:rPr>
          <w:color w:val="212529"/>
          <w:sz w:val="22"/>
          <w:szCs w:val="22"/>
          <w:lang w:eastAsia="en-GB"/>
        </w:rPr>
        <w:t xml:space="preserve"> </w:t>
      </w:r>
      <w:r>
        <w:rPr>
          <w:color w:val="212529"/>
          <w:sz w:val="22"/>
          <w:szCs w:val="22"/>
          <w:lang w:eastAsia="en-GB"/>
        </w:rPr>
        <w:t>to complete. Our due diligence raised potential issues which were investigated further</w:t>
      </w:r>
      <w:r w:rsidR="00ED0E30">
        <w:rPr>
          <w:color w:val="212529"/>
          <w:sz w:val="22"/>
          <w:szCs w:val="22"/>
          <w:lang w:eastAsia="en-GB"/>
        </w:rPr>
        <w:t>. The due diligence</w:t>
      </w:r>
      <w:r>
        <w:rPr>
          <w:color w:val="212529"/>
          <w:sz w:val="22"/>
          <w:szCs w:val="22"/>
          <w:lang w:eastAsia="en-GB"/>
        </w:rPr>
        <w:t xml:space="preserve"> highlighted an ownership issue around 2 licen</w:t>
      </w:r>
      <w:r w:rsidR="009549DE">
        <w:rPr>
          <w:color w:val="212529"/>
          <w:sz w:val="22"/>
          <w:szCs w:val="22"/>
          <w:lang w:eastAsia="en-GB"/>
        </w:rPr>
        <w:t>c</w:t>
      </w:r>
      <w:r>
        <w:rPr>
          <w:color w:val="212529"/>
          <w:sz w:val="22"/>
          <w:szCs w:val="22"/>
          <w:lang w:eastAsia="en-GB"/>
        </w:rPr>
        <w:t>es that Lake Victoria Gold hold</w:t>
      </w:r>
      <w:r w:rsidR="009549DE">
        <w:rPr>
          <w:color w:val="212529"/>
          <w:sz w:val="22"/>
          <w:szCs w:val="22"/>
          <w:lang w:eastAsia="en-GB"/>
        </w:rPr>
        <w:t>s</w:t>
      </w:r>
      <w:r>
        <w:rPr>
          <w:color w:val="212529"/>
          <w:sz w:val="22"/>
          <w:szCs w:val="22"/>
          <w:lang w:eastAsia="en-GB"/>
        </w:rPr>
        <w:t xml:space="preserve"> under option</w:t>
      </w:r>
      <w:r w:rsidR="00ED0E30">
        <w:rPr>
          <w:color w:val="212529"/>
          <w:sz w:val="22"/>
          <w:szCs w:val="22"/>
          <w:lang w:eastAsia="en-GB"/>
        </w:rPr>
        <w:t xml:space="preserve"> and were part of the presented mining plan</w:t>
      </w:r>
      <w:r>
        <w:rPr>
          <w:color w:val="212529"/>
          <w:sz w:val="22"/>
          <w:szCs w:val="22"/>
          <w:lang w:eastAsia="en-GB"/>
        </w:rPr>
        <w:t xml:space="preserve">. This meant that </w:t>
      </w:r>
      <w:r w:rsidR="002C7EA4">
        <w:rPr>
          <w:color w:val="212529"/>
          <w:sz w:val="22"/>
          <w:szCs w:val="22"/>
          <w:lang w:eastAsia="en-GB"/>
        </w:rPr>
        <w:t xml:space="preserve">the parties failed to agree on valuation </w:t>
      </w:r>
      <w:r>
        <w:rPr>
          <w:color w:val="212529"/>
          <w:sz w:val="22"/>
          <w:szCs w:val="22"/>
          <w:lang w:eastAsia="en-GB"/>
        </w:rPr>
        <w:t xml:space="preserve">and as a result the Board decided not to pursue the investment in Lake Victoria Gold. During the period that we completed our due diligence, </w:t>
      </w:r>
      <w:r w:rsidR="00D32E3F">
        <w:rPr>
          <w:color w:val="212529"/>
          <w:sz w:val="22"/>
          <w:szCs w:val="22"/>
          <w:lang w:eastAsia="en-GB"/>
        </w:rPr>
        <w:t xml:space="preserve">MetalNRG </w:t>
      </w:r>
      <w:r>
        <w:rPr>
          <w:color w:val="212529"/>
          <w:sz w:val="22"/>
          <w:szCs w:val="22"/>
          <w:lang w:eastAsia="en-GB"/>
        </w:rPr>
        <w:t xml:space="preserve">agreed to advance funds to Lake Victoria Gold </w:t>
      </w:r>
      <w:r w:rsidR="00D32E3F">
        <w:rPr>
          <w:color w:val="212529"/>
          <w:sz w:val="22"/>
          <w:szCs w:val="22"/>
          <w:lang w:eastAsia="en-GB"/>
        </w:rPr>
        <w:t>which</w:t>
      </w:r>
      <w:r>
        <w:rPr>
          <w:color w:val="212529"/>
          <w:sz w:val="22"/>
          <w:szCs w:val="22"/>
          <w:lang w:eastAsia="en-GB"/>
        </w:rPr>
        <w:t xml:space="preserve"> have now been converted into </w:t>
      </w:r>
      <w:r w:rsidR="009549DE">
        <w:rPr>
          <w:color w:val="212529"/>
          <w:sz w:val="22"/>
          <w:szCs w:val="22"/>
          <w:lang w:eastAsia="en-GB"/>
        </w:rPr>
        <w:t xml:space="preserve">that company’s </w:t>
      </w:r>
      <w:r>
        <w:rPr>
          <w:color w:val="212529"/>
          <w:sz w:val="22"/>
          <w:szCs w:val="22"/>
          <w:lang w:eastAsia="en-GB"/>
        </w:rPr>
        <w:t xml:space="preserve">equity and the Company </w:t>
      </w:r>
      <w:r w:rsidR="00A638C2">
        <w:rPr>
          <w:color w:val="212529"/>
          <w:sz w:val="22"/>
          <w:szCs w:val="22"/>
          <w:lang w:eastAsia="en-GB"/>
        </w:rPr>
        <w:t xml:space="preserve">now </w:t>
      </w:r>
      <w:r>
        <w:rPr>
          <w:color w:val="212529"/>
          <w:sz w:val="22"/>
          <w:szCs w:val="22"/>
          <w:lang w:eastAsia="en-GB"/>
        </w:rPr>
        <w:t xml:space="preserve">owns 3.8% </w:t>
      </w:r>
      <w:r w:rsidR="00A638C2">
        <w:rPr>
          <w:color w:val="212529"/>
          <w:sz w:val="22"/>
          <w:szCs w:val="22"/>
          <w:lang w:eastAsia="en-GB"/>
        </w:rPr>
        <w:t xml:space="preserve">of Lake Victoria Gold’s </w:t>
      </w:r>
      <w:r>
        <w:rPr>
          <w:color w:val="212529"/>
          <w:sz w:val="22"/>
          <w:szCs w:val="22"/>
          <w:lang w:eastAsia="en-GB"/>
        </w:rPr>
        <w:t>equity.</w:t>
      </w:r>
    </w:p>
    <w:p w14:paraId="504FC009" w14:textId="51E5AD2A" w:rsidR="00574E6F" w:rsidRDefault="00574E6F" w:rsidP="00574E6F">
      <w:pPr>
        <w:overflowPunct/>
        <w:autoSpaceDE/>
        <w:autoSpaceDN/>
        <w:adjustRightInd/>
        <w:spacing w:after="100" w:afterAutospacing="1"/>
        <w:jc w:val="both"/>
        <w:textAlignment w:val="auto"/>
        <w:rPr>
          <w:color w:val="212529"/>
          <w:sz w:val="22"/>
          <w:szCs w:val="22"/>
          <w:lang w:eastAsia="en-GB"/>
        </w:rPr>
      </w:pPr>
      <w:r w:rsidRPr="00D94BEF">
        <w:rPr>
          <w:b/>
          <w:bCs/>
          <w:color w:val="212529"/>
          <w:sz w:val="22"/>
          <w:szCs w:val="22"/>
          <w:lang w:eastAsia="en-GB"/>
        </w:rPr>
        <w:t>IMC</w:t>
      </w:r>
      <w:r>
        <w:rPr>
          <w:b/>
          <w:bCs/>
          <w:color w:val="212529"/>
          <w:sz w:val="22"/>
          <w:szCs w:val="22"/>
          <w:lang w:eastAsia="en-GB"/>
        </w:rPr>
        <w:t>:</w:t>
      </w:r>
      <w:r>
        <w:rPr>
          <w:color w:val="212529"/>
          <w:sz w:val="22"/>
          <w:szCs w:val="22"/>
          <w:lang w:eastAsia="en-GB"/>
        </w:rPr>
        <w:t xml:space="preserve"> which owns a Uranium asset in Kyrgyzstan was subjected to a country wide ban</w:t>
      </w:r>
      <w:r w:rsidR="002C7EA4">
        <w:rPr>
          <w:color w:val="212529"/>
          <w:sz w:val="22"/>
          <w:szCs w:val="22"/>
          <w:lang w:eastAsia="en-GB"/>
        </w:rPr>
        <w:t>, as reported last year,</w:t>
      </w:r>
      <w:r>
        <w:rPr>
          <w:color w:val="212529"/>
          <w:sz w:val="22"/>
          <w:szCs w:val="22"/>
          <w:lang w:eastAsia="en-GB"/>
        </w:rPr>
        <w:t xml:space="preserve"> on the exploit</w:t>
      </w:r>
      <w:r w:rsidR="00A638C2">
        <w:rPr>
          <w:color w:val="212529"/>
          <w:sz w:val="22"/>
          <w:szCs w:val="22"/>
          <w:lang w:eastAsia="en-GB"/>
        </w:rPr>
        <w:t>ation</w:t>
      </w:r>
      <w:r>
        <w:rPr>
          <w:color w:val="212529"/>
          <w:sz w:val="22"/>
          <w:szCs w:val="22"/>
          <w:lang w:eastAsia="en-GB"/>
        </w:rPr>
        <w:t xml:space="preserve"> of </w:t>
      </w:r>
      <w:r w:rsidR="00A638C2">
        <w:rPr>
          <w:color w:val="212529"/>
          <w:sz w:val="22"/>
          <w:szCs w:val="22"/>
          <w:lang w:eastAsia="en-GB"/>
        </w:rPr>
        <w:t>U</w:t>
      </w:r>
      <w:r>
        <w:rPr>
          <w:color w:val="212529"/>
          <w:sz w:val="22"/>
          <w:szCs w:val="22"/>
          <w:lang w:eastAsia="en-GB"/>
        </w:rPr>
        <w:t xml:space="preserve">ranium by the Government </w:t>
      </w:r>
      <w:r w:rsidR="00A638C2">
        <w:rPr>
          <w:color w:val="212529"/>
          <w:sz w:val="22"/>
          <w:szCs w:val="22"/>
          <w:lang w:eastAsia="en-GB"/>
        </w:rPr>
        <w:t xml:space="preserve">and </w:t>
      </w:r>
      <w:r>
        <w:rPr>
          <w:color w:val="212529"/>
          <w:sz w:val="22"/>
          <w:szCs w:val="22"/>
          <w:lang w:eastAsia="en-GB"/>
        </w:rPr>
        <w:t>as a result we have not been able to progress work as originally planned</w:t>
      </w:r>
      <w:r w:rsidR="002C7EA4">
        <w:rPr>
          <w:color w:val="212529"/>
          <w:sz w:val="22"/>
          <w:szCs w:val="22"/>
          <w:lang w:eastAsia="en-GB"/>
        </w:rPr>
        <w:t xml:space="preserve"> towards production</w:t>
      </w:r>
      <w:r>
        <w:rPr>
          <w:color w:val="212529"/>
          <w:sz w:val="22"/>
          <w:szCs w:val="22"/>
          <w:lang w:eastAsia="en-GB"/>
        </w:rPr>
        <w:t xml:space="preserve">. MetalNRG currently owns 9.9% of the asset. The Company has an agreement with IMC that </w:t>
      </w:r>
      <w:r w:rsidR="002C7EA4">
        <w:rPr>
          <w:color w:val="212529"/>
          <w:sz w:val="22"/>
          <w:szCs w:val="22"/>
          <w:lang w:eastAsia="en-GB"/>
        </w:rPr>
        <w:t xml:space="preserve">if and </w:t>
      </w:r>
      <w:r>
        <w:rPr>
          <w:color w:val="212529"/>
          <w:sz w:val="22"/>
          <w:szCs w:val="22"/>
          <w:lang w:eastAsia="en-GB"/>
        </w:rPr>
        <w:t xml:space="preserve">when the Government agrees to pay damages to IMC, the Company will receive </w:t>
      </w:r>
      <w:r w:rsidR="002C7EA4">
        <w:rPr>
          <w:color w:val="212529"/>
          <w:sz w:val="22"/>
          <w:szCs w:val="22"/>
          <w:lang w:eastAsia="en-GB"/>
        </w:rPr>
        <w:t xml:space="preserve">funds recovered equal to </w:t>
      </w:r>
      <w:r>
        <w:rPr>
          <w:color w:val="212529"/>
          <w:sz w:val="22"/>
          <w:szCs w:val="22"/>
          <w:lang w:eastAsia="en-GB"/>
        </w:rPr>
        <w:t>its equity portion</w:t>
      </w:r>
      <w:r w:rsidR="002C7EA4">
        <w:rPr>
          <w:color w:val="212529"/>
          <w:sz w:val="22"/>
          <w:szCs w:val="22"/>
          <w:lang w:eastAsia="en-GB"/>
        </w:rPr>
        <w:t xml:space="preserve"> held in IMC</w:t>
      </w:r>
      <w:r w:rsidR="00A638C2">
        <w:rPr>
          <w:color w:val="212529"/>
          <w:sz w:val="22"/>
          <w:szCs w:val="22"/>
          <w:lang w:eastAsia="en-GB"/>
        </w:rPr>
        <w:t>.</w:t>
      </w:r>
      <w:r>
        <w:rPr>
          <w:color w:val="212529"/>
          <w:sz w:val="22"/>
          <w:szCs w:val="22"/>
          <w:lang w:eastAsia="en-GB"/>
        </w:rPr>
        <w:t xml:space="preserve"> </w:t>
      </w:r>
      <w:r w:rsidR="002C7EA4">
        <w:rPr>
          <w:color w:val="212529"/>
          <w:sz w:val="22"/>
          <w:szCs w:val="22"/>
          <w:lang w:eastAsia="en-GB"/>
        </w:rPr>
        <w:t xml:space="preserve">MetalNRG will </w:t>
      </w:r>
      <w:r w:rsidR="00A638C2">
        <w:rPr>
          <w:color w:val="212529"/>
          <w:sz w:val="22"/>
          <w:szCs w:val="22"/>
          <w:lang w:eastAsia="en-GB"/>
        </w:rPr>
        <w:t xml:space="preserve">also </w:t>
      </w:r>
      <w:r w:rsidR="002C7EA4">
        <w:rPr>
          <w:color w:val="212529"/>
          <w:sz w:val="22"/>
          <w:szCs w:val="22"/>
          <w:lang w:eastAsia="en-GB"/>
        </w:rPr>
        <w:t xml:space="preserve">receive </w:t>
      </w:r>
      <w:r>
        <w:rPr>
          <w:color w:val="212529"/>
          <w:sz w:val="22"/>
          <w:szCs w:val="22"/>
          <w:lang w:eastAsia="en-GB"/>
        </w:rPr>
        <w:t xml:space="preserve">$3 for every $1 that the Company has provided in financial support to IMC </w:t>
      </w:r>
      <w:r w:rsidR="002C7EA4">
        <w:rPr>
          <w:color w:val="212529"/>
          <w:sz w:val="22"/>
          <w:szCs w:val="22"/>
          <w:lang w:eastAsia="en-GB"/>
        </w:rPr>
        <w:t>over and above the equity investment in IMC</w:t>
      </w:r>
      <w:r w:rsidR="0070147A">
        <w:rPr>
          <w:color w:val="212529"/>
          <w:sz w:val="22"/>
          <w:szCs w:val="22"/>
          <w:lang w:eastAsia="en-GB"/>
        </w:rPr>
        <w:t xml:space="preserve"> </w:t>
      </w:r>
      <w:r>
        <w:rPr>
          <w:color w:val="212529"/>
          <w:sz w:val="22"/>
          <w:szCs w:val="22"/>
          <w:lang w:eastAsia="en-GB"/>
        </w:rPr>
        <w:t xml:space="preserve">during this </w:t>
      </w:r>
      <w:r w:rsidR="002C7EA4">
        <w:rPr>
          <w:color w:val="212529"/>
          <w:sz w:val="22"/>
          <w:szCs w:val="22"/>
          <w:lang w:eastAsia="en-GB"/>
        </w:rPr>
        <w:t>period</w:t>
      </w:r>
      <w:r>
        <w:rPr>
          <w:color w:val="212529"/>
          <w:sz w:val="22"/>
          <w:szCs w:val="22"/>
          <w:lang w:eastAsia="en-GB"/>
        </w:rPr>
        <w:t xml:space="preserve">. A new Government has now been elected and the </w:t>
      </w:r>
      <w:r w:rsidR="00A638C2">
        <w:rPr>
          <w:color w:val="212529"/>
          <w:sz w:val="22"/>
          <w:szCs w:val="22"/>
          <w:lang w:eastAsia="en-GB"/>
        </w:rPr>
        <w:t>U</w:t>
      </w:r>
      <w:r>
        <w:rPr>
          <w:color w:val="212529"/>
          <w:sz w:val="22"/>
          <w:szCs w:val="22"/>
          <w:lang w:eastAsia="en-GB"/>
        </w:rPr>
        <w:t>ranium ban</w:t>
      </w:r>
      <w:r w:rsidR="00A638C2">
        <w:rPr>
          <w:color w:val="212529"/>
          <w:sz w:val="22"/>
          <w:szCs w:val="22"/>
          <w:lang w:eastAsia="en-GB"/>
        </w:rPr>
        <w:t>,</w:t>
      </w:r>
      <w:r>
        <w:rPr>
          <w:color w:val="212529"/>
          <w:sz w:val="22"/>
          <w:szCs w:val="22"/>
          <w:lang w:eastAsia="en-GB"/>
        </w:rPr>
        <w:t xml:space="preserve"> imposed by the previous </w:t>
      </w:r>
      <w:r w:rsidR="00A638C2">
        <w:rPr>
          <w:color w:val="212529"/>
          <w:sz w:val="22"/>
          <w:szCs w:val="22"/>
          <w:lang w:eastAsia="en-GB"/>
        </w:rPr>
        <w:t>G</w:t>
      </w:r>
      <w:r>
        <w:rPr>
          <w:color w:val="212529"/>
          <w:sz w:val="22"/>
          <w:szCs w:val="22"/>
          <w:lang w:eastAsia="en-GB"/>
        </w:rPr>
        <w:t xml:space="preserve">overnment, is under review. We look forward to a positive outcome in </w:t>
      </w:r>
      <w:r w:rsidR="00A638C2">
        <w:rPr>
          <w:color w:val="212529"/>
          <w:sz w:val="22"/>
          <w:szCs w:val="22"/>
          <w:lang w:eastAsia="en-GB"/>
        </w:rPr>
        <w:t xml:space="preserve">this </w:t>
      </w:r>
      <w:r>
        <w:rPr>
          <w:color w:val="212529"/>
          <w:sz w:val="22"/>
          <w:szCs w:val="22"/>
          <w:lang w:eastAsia="en-GB"/>
        </w:rPr>
        <w:t>country.</w:t>
      </w:r>
    </w:p>
    <w:p w14:paraId="390EC64B" w14:textId="77777777" w:rsidR="00A638C2" w:rsidRDefault="00574E6F" w:rsidP="00574E6F">
      <w:pPr>
        <w:overflowPunct/>
        <w:autoSpaceDE/>
        <w:autoSpaceDN/>
        <w:adjustRightInd/>
        <w:spacing w:after="100" w:afterAutospacing="1"/>
        <w:jc w:val="both"/>
        <w:textAlignment w:val="auto"/>
        <w:rPr>
          <w:color w:val="212529"/>
          <w:sz w:val="22"/>
          <w:szCs w:val="22"/>
          <w:lang w:eastAsia="en-GB"/>
        </w:rPr>
      </w:pPr>
      <w:r w:rsidRPr="001B44DE">
        <w:rPr>
          <w:b/>
          <w:bCs/>
          <w:color w:val="212529"/>
          <w:sz w:val="22"/>
          <w:szCs w:val="22"/>
          <w:lang w:eastAsia="en-GB"/>
        </w:rPr>
        <w:t>Goldridge, Arizona</w:t>
      </w:r>
      <w:r>
        <w:rPr>
          <w:b/>
          <w:bCs/>
          <w:color w:val="212529"/>
          <w:sz w:val="22"/>
          <w:szCs w:val="22"/>
          <w:lang w:eastAsia="en-GB"/>
        </w:rPr>
        <w:t>:</w:t>
      </w:r>
      <w:r>
        <w:rPr>
          <w:color w:val="212529"/>
          <w:sz w:val="22"/>
          <w:szCs w:val="22"/>
          <w:lang w:eastAsia="en-GB"/>
        </w:rPr>
        <w:t xml:space="preserve"> good progress was made at the beginning of the year; two site visits were completed by our contractors in the US and the results were announced to market. The initial focus was to determine the economic </w:t>
      </w:r>
    </w:p>
    <w:p w14:paraId="36D4D01E" w14:textId="77777777" w:rsidR="00A638C2" w:rsidRDefault="00A638C2" w:rsidP="00A638C2">
      <w:pPr>
        <w:overflowPunct/>
        <w:autoSpaceDE/>
        <w:autoSpaceDN/>
        <w:adjustRightInd/>
        <w:spacing w:after="100" w:afterAutospacing="1"/>
        <w:jc w:val="both"/>
        <w:textAlignment w:val="auto"/>
        <w:rPr>
          <w:color w:val="212529"/>
          <w:sz w:val="22"/>
          <w:szCs w:val="22"/>
          <w:lang w:eastAsia="en-GB"/>
        </w:rPr>
      </w:pPr>
      <w:r w:rsidRPr="009B12F3">
        <w:rPr>
          <w:b/>
          <w:sz w:val="22"/>
          <w:szCs w:val="22"/>
        </w:rPr>
        <w:t>BUSINESS REVIEW, continued</w:t>
      </w:r>
    </w:p>
    <w:p w14:paraId="1E86E938" w14:textId="71F2E0F7" w:rsidR="00574E6F" w:rsidRDefault="00574E6F" w:rsidP="00574E6F">
      <w:pPr>
        <w:overflowPunct/>
        <w:autoSpaceDE/>
        <w:autoSpaceDN/>
        <w:adjustRightInd/>
        <w:spacing w:after="100" w:afterAutospacing="1"/>
        <w:jc w:val="both"/>
        <w:textAlignment w:val="auto"/>
        <w:rPr>
          <w:color w:val="212529"/>
          <w:sz w:val="22"/>
          <w:szCs w:val="22"/>
          <w:lang w:eastAsia="en-GB"/>
        </w:rPr>
      </w:pPr>
      <w:r>
        <w:rPr>
          <w:color w:val="212529"/>
          <w:sz w:val="22"/>
          <w:szCs w:val="22"/>
          <w:lang w:eastAsia="en-GB"/>
        </w:rPr>
        <w:t xml:space="preserve">value of the waste dumps left by the previous operators outside level 6. A second visit focused on sampling a number of the pillars underground at levels 4 and 6. The results we announced were encouraging, however due to the severe restrictions imposed </w:t>
      </w:r>
      <w:r w:rsidR="00A638C2">
        <w:rPr>
          <w:color w:val="212529"/>
          <w:sz w:val="22"/>
          <w:szCs w:val="22"/>
          <w:lang w:eastAsia="en-GB"/>
        </w:rPr>
        <w:t>in</w:t>
      </w:r>
      <w:r>
        <w:rPr>
          <w:color w:val="212529"/>
          <w:sz w:val="22"/>
          <w:szCs w:val="22"/>
          <w:lang w:eastAsia="en-GB"/>
        </w:rPr>
        <w:t xml:space="preserve"> Arizona as a result of Covid-19 access to the site was limited in the second part of the year. </w:t>
      </w:r>
      <w:r w:rsidR="002C7EA4">
        <w:rPr>
          <w:color w:val="212529"/>
          <w:sz w:val="22"/>
          <w:szCs w:val="22"/>
          <w:lang w:eastAsia="en-GB"/>
        </w:rPr>
        <w:t>Importantly</w:t>
      </w:r>
      <w:r w:rsidR="00A638C2">
        <w:rPr>
          <w:color w:val="212529"/>
          <w:sz w:val="22"/>
          <w:szCs w:val="22"/>
          <w:lang w:eastAsia="en-GB"/>
        </w:rPr>
        <w:t>,</w:t>
      </w:r>
      <w:r w:rsidR="002C7EA4">
        <w:rPr>
          <w:color w:val="212529"/>
          <w:sz w:val="22"/>
          <w:szCs w:val="22"/>
          <w:lang w:eastAsia="en-GB"/>
        </w:rPr>
        <w:t xml:space="preserve"> during the lockdown period</w:t>
      </w:r>
      <w:r w:rsidR="00A638C2">
        <w:rPr>
          <w:color w:val="212529"/>
          <w:sz w:val="22"/>
          <w:szCs w:val="22"/>
          <w:lang w:eastAsia="en-GB"/>
        </w:rPr>
        <w:t>,</w:t>
      </w:r>
      <w:r w:rsidR="002C7EA4">
        <w:rPr>
          <w:color w:val="212529"/>
          <w:sz w:val="22"/>
          <w:szCs w:val="22"/>
          <w:lang w:eastAsia="en-GB"/>
        </w:rPr>
        <w:t xml:space="preserve"> we reviewed all data available to us on the project and decided to review the geological structures connecting the three previously producing gold mines. </w:t>
      </w:r>
      <w:r>
        <w:rPr>
          <w:color w:val="212529"/>
          <w:sz w:val="22"/>
          <w:szCs w:val="22"/>
          <w:lang w:eastAsia="en-GB"/>
        </w:rPr>
        <w:t>As soon as we were able to</w:t>
      </w:r>
      <w:r w:rsidR="002C7EA4">
        <w:rPr>
          <w:color w:val="212529"/>
          <w:sz w:val="22"/>
          <w:szCs w:val="22"/>
          <w:lang w:eastAsia="en-GB"/>
        </w:rPr>
        <w:t>,</w:t>
      </w:r>
      <w:r>
        <w:rPr>
          <w:color w:val="212529"/>
          <w:sz w:val="22"/>
          <w:szCs w:val="22"/>
          <w:lang w:eastAsia="en-GB"/>
        </w:rPr>
        <w:t xml:space="preserve"> we completed a site visit and updated the Competent Person Report on the asset; the results are currently under review and an announcement to market will be made as soon as is possible. </w:t>
      </w:r>
      <w:r w:rsidR="002C7EA4">
        <w:rPr>
          <w:color w:val="212529"/>
          <w:sz w:val="22"/>
          <w:szCs w:val="22"/>
          <w:lang w:eastAsia="en-GB"/>
        </w:rPr>
        <w:t>The review was completed in March 2021.</w:t>
      </w:r>
    </w:p>
    <w:p w14:paraId="5ED00903" w14:textId="40A853CC" w:rsidR="00574E6F" w:rsidRDefault="00574E6F" w:rsidP="00574E6F">
      <w:pPr>
        <w:overflowPunct/>
        <w:autoSpaceDE/>
        <w:autoSpaceDN/>
        <w:adjustRightInd/>
        <w:spacing w:after="100" w:afterAutospacing="1"/>
        <w:jc w:val="both"/>
        <w:textAlignment w:val="auto"/>
      </w:pPr>
      <w:r>
        <w:rPr>
          <w:color w:val="212529"/>
          <w:sz w:val="22"/>
          <w:szCs w:val="22"/>
          <w:lang w:eastAsia="en-GB"/>
        </w:rPr>
        <w:t>The next 12 months are going to see us work hard on a number of fronts, both developing existing assets and hopefully adding to our investment portfolio and we look forward to keeping the market up to speed with our progress.</w:t>
      </w:r>
    </w:p>
    <w:p w14:paraId="0F357079" w14:textId="77777777" w:rsidR="00566450" w:rsidRPr="00EF0818" w:rsidRDefault="00566450" w:rsidP="00566450">
      <w:pPr>
        <w:jc w:val="both"/>
        <w:rPr>
          <w:sz w:val="22"/>
          <w:szCs w:val="22"/>
        </w:rPr>
      </w:pPr>
      <w:r w:rsidRPr="00EF0818">
        <w:rPr>
          <w:b/>
          <w:sz w:val="22"/>
          <w:szCs w:val="22"/>
        </w:rPr>
        <w:t>RESULTS AND DIVIDENDS</w:t>
      </w:r>
    </w:p>
    <w:p w14:paraId="102896D2" w14:textId="77777777" w:rsidR="00566450" w:rsidRPr="00EF0818" w:rsidRDefault="00566450" w:rsidP="00566450">
      <w:pPr>
        <w:jc w:val="both"/>
        <w:rPr>
          <w:sz w:val="22"/>
          <w:szCs w:val="22"/>
        </w:rPr>
      </w:pPr>
    </w:p>
    <w:p w14:paraId="002EA6FF" w14:textId="2FC7D1C8" w:rsidR="00566450" w:rsidRPr="00EF0818" w:rsidRDefault="00566450" w:rsidP="00566450">
      <w:pPr>
        <w:jc w:val="both"/>
        <w:rPr>
          <w:sz w:val="22"/>
          <w:szCs w:val="22"/>
        </w:rPr>
      </w:pPr>
      <w:r w:rsidRPr="00EF0818">
        <w:rPr>
          <w:sz w:val="22"/>
          <w:szCs w:val="22"/>
        </w:rPr>
        <w:t xml:space="preserve">The loss of the Group for the </w:t>
      </w:r>
      <w:r w:rsidR="00EF0818" w:rsidRPr="00EF0818">
        <w:rPr>
          <w:sz w:val="22"/>
          <w:szCs w:val="22"/>
        </w:rPr>
        <w:t xml:space="preserve">year </w:t>
      </w:r>
      <w:r w:rsidRPr="00EF0818">
        <w:rPr>
          <w:sz w:val="22"/>
          <w:szCs w:val="22"/>
        </w:rPr>
        <w:t xml:space="preserve">ended 31 December </w:t>
      </w:r>
      <w:r w:rsidR="00EF0818" w:rsidRPr="00EF0818">
        <w:rPr>
          <w:sz w:val="22"/>
          <w:szCs w:val="22"/>
        </w:rPr>
        <w:t>2020</w:t>
      </w:r>
      <w:r w:rsidRPr="00EF0818">
        <w:rPr>
          <w:sz w:val="22"/>
          <w:szCs w:val="22"/>
        </w:rPr>
        <w:t xml:space="preserve">, after taxation, attributable to equity holders of </w:t>
      </w:r>
      <w:r w:rsidR="00BF56B7" w:rsidRPr="00EF0818">
        <w:rPr>
          <w:sz w:val="22"/>
          <w:szCs w:val="22"/>
        </w:rPr>
        <w:t>M</w:t>
      </w:r>
      <w:r w:rsidR="00A638C2">
        <w:rPr>
          <w:sz w:val="22"/>
          <w:szCs w:val="22"/>
        </w:rPr>
        <w:t>etal</w:t>
      </w:r>
      <w:r w:rsidRPr="00EF0818">
        <w:rPr>
          <w:sz w:val="22"/>
          <w:szCs w:val="22"/>
        </w:rPr>
        <w:t>NRG, the Parent Company, amounted to £</w:t>
      </w:r>
      <w:r w:rsidR="001C64DC">
        <w:rPr>
          <w:sz w:val="22"/>
          <w:szCs w:val="22"/>
        </w:rPr>
        <w:t>810,133</w:t>
      </w:r>
      <w:r w:rsidRPr="00EF0818">
        <w:rPr>
          <w:sz w:val="22"/>
          <w:szCs w:val="22"/>
        </w:rPr>
        <w:t xml:space="preserve"> (1</w:t>
      </w:r>
      <w:r w:rsidR="00EF0818" w:rsidRPr="00EF0818">
        <w:rPr>
          <w:sz w:val="22"/>
          <w:szCs w:val="22"/>
        </w:rPr>
        <w:t>0</w:t>
      </w:r>
      <w:r w:rsidRPr="00EF0818">
        <w:rPr>
          <w:sz w:val="22"/>
          <w:szCs w:val="22"/>
        </w:rPr>
        <w:t xml:space="preserve"> months ended </w:t>
      </w:r>
      <w:r w:rsidR="00EF0818" w:rsidRPr="00EF0818">
        <w:rPr>
          <w:sz w:val="22"/>
          <w:szCs w:val="22"/>
        </w:rPr>
        <w:t>31 December</w:t>
      </w:r>
      <w:r w:rsidRPr="00EF0818">
        <w:rPr>
          <w:sz w:val="22"/>
          <w:szCs w:val="22"/>
        </w:rPr>
        <w:t xml:space="preserve"> 2019: £</w:t>
      </w:r>
      <w:r w:rsidR="00EF0818" w:rsidRPr="00EF0818">
        <w:rPr>
          <w:sz w:val="22"/>
          <w:szCs w:val="22"/>
        </w:rPr>
        <w:t>584,855</w:t>
      </w:r>
      <w:r w:rsidRPr="00EF0818">
        <w:rPr>
          <w:sz w:val="22"/>
          <w:szCs w:val="22"/>
        </w:rPr>
        <w:t xml:space="preserve"> loss). </w:t>
      </w:r>
    </w:p>
    <w:p w14:paraId="18C93AAA" w14:textId="77777777" w:rsidR="00566450" w:rsidRPr="00EF0818" w:rsidRDefault="00566450" w:rsidP="00566450">
      <w:pPr>
        <w:jc w:val="both"/>
        <w:rPr>
          <w:sz w:val="22"/>
          <w:szCs w:val="22"/>
        </w:rPr>
      </w:pPr>
    </w:p>
    <w:p w14:paraId="7ADC3DCF" w14:textId="45A5ADC5" w:rsidR="00566450" w:rsidRPr="00EF0818" w:rsidRDefault="00566450" w:rsidP="00566450">
      <w:pPr>
        <w:jc w:val="both"/>
        <w:rPr>
          <w:sz w:val="22"/>
          <w:szCs w:val="22"/>
        </w:rPr>
      </w:pPr>
      <w:r w:rsidRPr="00EF0818">
        <w:rPr>
          <w:sz w:val="22"/>
          <w:szCs w:val="22"/>
        </w:rPr>
        <w:t xml:space="preserve">The </w:t>
      </w:r>
      <w:r w:rsidR="003E7221">
        <w:rPr>
          <w:sz w:val="22"/>
          <w:szCs w:val="22"/>
        </w:rPr>
        <w:t>D</w:t>
      </w:r>
      <w:r w:rsidRPr="00EF0818">
        <w:rPr>
          <w:sz w:val="22"/>
          <w:szCs w:val="22"/>
        </w:rPr>
        <w:t>irectors do not recommend the payment of dividends but are confident that a suitable dividend policy can be considered in the future (1</w:t>
      </w:r>
      <w:r w:rsidR="00EF0818" w:rsidRPr="00EF0818">
        <w:rPr>
          <w:sz w:val="22"/>
          <w:szCs w:val="22"/>
        </w:rPr>
        <w:t>0</w:t>
      </w:r>
      <w:r w:rsidRPr="00EF0818">
        <w:rPr>
          <w:sz w:val="22"/>
          <w:szCs w:val="22"/>
        </w:rPr>
        <w:t xml:space="preserve"> months ended </w:t>
      </w:r>
      <w:r w:rsidR="00EF0818" w:rsidRPr="00EF0818">
        <w:rPr>
          <w:sz w:val="22"/>
          <w:szCs w:val="22"/>
        </w:rPr>
        <w:t>31 December</w:t>
      </w:r>
      <w:r w:rsidRPr="00EF0818">
        <w:rPr>
          <w:sz w:val="22"/>
          <w:szCs w:val="22"/>
        </w:rPr>
        <w:t xml:space="preserve"> 2019: £nil).</w:t>
      </w:r>
    </w:p>
    <w:p w14:paraId="22401369" w14:textId="77777777" w:rsidR="00566450" w:rsidRPr="00EF0818" w:rsidRDefault="00566450">
      <w:pPr>
        <w:jc w:val="both"/>
        <w:rPr>
          <w:b/>
          <w:sz w:val="22"/>
          <w:szCs w:val="22"/>
        </w:rPr>
      </w:pPr>
    </w:p>
    <w:p w14:paraId="45B7324B" w14:textId="463C3FB5" w:rsidR="007623F0" w:rsidRPr="008173E0" w:rsidRDefault="00EF0818">
      <w:pPr>
        <w:jc w:val="both"/>
        <w:rPr>
          <w:b/>
          <w:sz w:val="22"/>
          <w:szCs w:val="22"/>
          <w:highlight w:val="yellow"/>
        </w:rPr>
      </w:pPr>
      <w:r w:rsidRPr="003616E9">
        <w:rPr>
          <w:b/>
          <w:sz w:val="22"/>
          <w:szCs w:val="22"/>
        </w:rPr>
        <w:t>EVENTS AFTER THE REPORTING PERIOD</w:t>
      </w:r>
    </w:p>
    <w:p w14:paraId="2011485B" w14:textId="6D9E95C3" w:rsidR="007623F0" w:rsidRPr="008173E0" w:rsidRDefault="007623F0">
      <w:pPr>
        <w:jc w:val="both"/>
        <w:rPr>
          <w:b/>
          <w:sz w:val="22"/>
          <w:szCs w:val="22"/>
          <w:highlight w:val="yellow"/>
        </w:rPr>
      </w:pPr>
    </w:p>
    <w:p w14:paraId="5B14832F" w14:textId="46DB26C3" w:rsidR="004F07C8" w:rsidRDefault="00EF0818">
      <w:pPr>
        <w:jc w:val="both"/>
        <w:rPr>
          <w:sz w:val="22"/>
          <w:szCs w:val="22"/>
        </w:rPr>
      </w:pPr>
      <w:r>
        <w:rPr>
          <w:sz w:val="22"/>
          <w:szCs w:val="22"/>
        </w:rPr>
        <w:t>There are no significant post balance sheet events to disclose for the year ended</w:t>
      </w:r>
      <w:r w:rsidR="003616E9">
        <w:rPr>
          <w:sz w:val="22"/>
          <w:szCs w:val="22"/>
        </w:rPr>
        <w:t xml:space="preserve"> 31 December 2020, other than those set out </w:t>
      </w:r>
      <w:r w:rsidR="003616E9" w:rsidRPr="009A085B">
        <w:rPr>
          <w:sz w:val="22"/>
          <w:szCs w:val="22"/>
        </w:rPr>
        <w:t>in Note 18</w:t>
      </w:r>
      <w:r w:rsidR="00A638C2">
        <w:rPr>
          <w:sz w:val="22"/>
          <w:szCs w:val="22"/>
        </w:rPr>
        <w:t xml:space="preserve"> to the Financial Statements</w:t>
      </w:r>
      <w:r w:rsidR="003616E9" w:rsidRPr="009A085B">
        <w:rPr>
          <w:sz w:val="22"/>
          <w:szCs w:val="22"/>
        </w:rPr>
        <w:t>.</w:t>
      </w:r>
    </w:p>
    <w:p w14:paraId="241C3D82" w14:textId="77777777" w:rsidR="00585673" w:rsidRPr="0051313C" w:rsidRDefault="00585673">
      <w:pPr>
        <w:jc w:val="both"/>
        <w:rPr>
          <w:b/>
          <w:sz w:val="22"/>
          <w:szCs w:val="22"/>
        </w:rPr>
      </w:pPr>
    </w:p>
    <w:p w14:paraId="4DCDE6BE" w14:textId="09A7B7B5" w:rsidR="004F07C8" w:rsidRPr="00A8640A" w:rsidRDefault="004F07C8">
      <w:pPr>
        <w:jc w:val="both"/>
        <w:rPr>
          <w:b/>
          <w:sz w:val="22"/>
          <w:szCs w:val="22"/>
        </w:rPr>
      </w:pPr>
      <w:r>
        <w:rPr>
          <w:b/>
          <w:sz w:val="22"/>
          <w:szCs w:val="22"/>
        </w:rPr>
        <w:t xml:space="preserve">PRINCIPAL RISKS AND UNCERTAINTIES </w:t>
      </w:r>
    </w:p>
    <w:p w14:paraId="3EB20689" w14:textId="77777777" w:rsidR="00315DD7" w:rsidRDefault="00315DD7" w:rsidP="00315DD7">
      <w:pPr>
        <w:jc w:val="both"/>
        <w:rPr>
          <w:sz w:val="22"/>
          <w:szCs w:val="22"/>
        </w:rPr>
      </w:pPr>
    </w:p>
    <w:p w14:paraId="492F1322" w14:textId="5C86497E" w:rsidR="00397A87" w:rsidRPr="00753313" w:rsidRDefault="00397A87" w:rsidP="00397A87">
      <w:pPr>
        <w:jc w:val="both"/>
        <w:rPr>
          <w:sz w:val="22"/>
          <w:szCs w:val="22"/>
        </w:rPr>
      </w:pPr>
      <w:r w:rsidRPr="00753313">
        <w:rPr>
          <w:b/>
          <w:sz w:val="22"/>
          <w:szCs w:val="22"/>
        </w:rPr>
        <w:t>FINANCIAL INSTRUMENTS</w:t>
      </w:r>
    </w:p>
    <w:p w14:paraId="2DFDDD77" w14:textId="77777777" w:rsidR="00397A87" w:rsidRPr="00753313" w:rsidRDefault="00397A87" w:rsidP="00397A87">
      <w:pPr>
        <w:jc w:val="both"/>
        <w:rPr>
          <w:sz w:val="22"/>
          <w:szCs w:val="22"/>
        </w:rPr>
      </w:pPr>
    </w:p>
    <w:p w14:paraId="7F25D719" w14:textId="0098A5B7" w:rsidR="00397A87" w:rsidRPr="00753313" w:rsidRDefault="00397A87" w:rsidP="00397A87">
      <w:pPr>
        <w:jc w:val="both"/>
        <w:rPr>
          <w:sz w:val="22"/>
          <w:szCs w:val="22"/>
        </w:rPr>
      </w:pPr>
      <w:r w:rsidRPr="00753313">
        <w:rPr>
          <w:sz w:val="22"/>
          <w:szCs w:val="22"/>
        </w:rPr>
        <w:t>The Group’s financial instruments comprise investments, cash at bank and various items such as</w:t>
      </w:r>
      <w:r>
        <w:rPr>
          <w:sz w:val="22"/>
          <w:szCs w:val="22"/>
        </w:rPr>
        <w:t xml:space="preserve"> available for sale assets, other</w:t>
      </w:r>
      <w:r w:rsidRPr="00753313">
        <w:rPr>
          <w:sz w:val="22"/>
          <w:szCs w:val="22"/>
        </w:rPr>
        <w:t xml:space="preserve"> debtors, loans and creditors. The Group has not entered into derivative transactions </w:t>
      </w:r>
      <w:r w:rsidR="00A638C2">
        <w:rPr>
          <w:sz w:val="22"/>
          <w:szCs w:val="22"/>
        </w:rPr>
        <w:t xml:space="preserve">and </w:t>
      </w:r>
      <w:r w:rsidRPr="00753313">
        <w:rPr>
          <w:sz w:val="22"/>
          <w:szCs w:val="22"/>
        </w:rPr>
        <w:t xml:space="preserve">nor does it trade financial instruments as a matter of policy. </w:t>
      </w:r>
    </w:p>
    <w:p w14:paraId="69B9D51D" w14:textId="77777777" w:rsidR="00397A87" w:rsidRPr="00753313" w:rsidRDefault="00397A87" w:rsidP="00397A87">
      <w:pPr>
        <w:jc w:val="both"/>
        <w:rPr>
          <w:sz w:val="22"/>
          <w:szCs w:val="22"/>
        </w:rPr>
      </w:pPr>
    </w:p>
    <w:p w14:paraId="19319D44" w14:textId="77777777" w:rsidR="00397A87" w:rsidRPr="000A0EA8" w:rsidRDefault="00397A87" w:rsidP="00397A87">
      <w:pPr>
        <w:pStyle w:val="Heading7"/>
        <w:rPr>
          <w:sz w:val="22"/>
          <w:szCs w:val="22"/>
        </w:rPr>
      </w:pPr>
      <w:r w:rsidRPr="000A0EA8">
        <w:rPr>
          <w:sz w:val="22"/>
          <w:szCs w:val="22"/>
        </w:rPr>
        <w:t>Credit Risk</w:t>
      </w:r>
    </w:p>
    <w:p w14:paraId="687DBCD0" w14:textId="7B1A038A" w:rsidR="00397A87" w:rsidRPr="000A0EA8" w:rsidRDefault="00397A87" w:rsidP="00397A87">
      <w:pPr>
        <w:jc w:val="both"/>
        <w:rPr>
          <w:sz w:val="22"/>
          <w:szCs w:val="22"/>
        </w:rPr>
      </w:pPr>
      <w:r w:rsidRPr="000A0EA8">
        <w:rPr>
          <w:sz w:val="22"/>
          <w:szCs w:val="22"/>
        </w:rPr>
        <w:t xml:space="preserve">The Group’s credit risk arises primarily from cash at bank, other debtors and the risk the counterparty fails to discharge its obligations. At </w:t>
      </w:r>
      <w:r w:rsidR="000C5039" w:rsidRPr="000A0EA8">
        <w:rPr>
          <w:sz w:val="22"/>
          <w:szCs w:val="22"/>
        </w:rPr>
        <w:t xml:space="preserve">31 December </w:t>
      </w:r>
      <w:r w:rsidR="000A0EA8" w:rsidRPr="000A0EA8">
        <w:rPr>
          <w:sz w:val="22"/>
          <w:szCs w:val="22"/>
        </w:rPr>
        <w:t>2020</w:t>
      </w:r>
      <w:r w:rsidR="00A638C2">
        <w:rPr>
          <w:sz w:val="22"/>
          <w:szCs w:val="22"/>
        </w:rPr>
        <w:t>,</w:t>
      </w:r>
      <w:r w:rsidR="000A0EA8" w:rsidRPr="000A0EA8">
        <w:rPr>
          <w:sz w:val="22"/>
          <w:szCs w:val="22"/>
        </w:rPr>
        <w:t xml:space="preserve"> </w:t>
      </w:r>
      <w:r w:rsidRPr="000A0EA8">
        <w:rPr>
          <w:sz w:val="22"/>
          <w:szCs w:val="22"/>
        </w:rPr>
        <w:t>£</w:t>
      </w:r>
      <w:r w:rsidR="000A0EA8" w:rsidRPr="000A0EA8">
        <w:rPr>
          <w:sz w:val="22"/>
          <w:szCs w:val="22"/>
        </w:rPr>
        <w:t>nil</w:t>
      </w:r>
      <w:r w:rsidRPr="000A0EA8">
        <w:rPr>
          <w:sz w:val="22"/>
          <w:szCs w:val="22"/>
        </w:rPr>
        <w:t xml:space="preserve"> (</w:t>
      </w:r>
      <w:r w:rsidR="000A0EA8" w:rsidRPr="000A0EA8">
        <w:rPr>
          <w:sz w:val="22"/>
          <w:szCs w:val="22"/>
        </w:rPr>
        <w:t>31 December</w:t>
      </w:r>
      <w:r w:rsidR="000C5039" w:rsidRPr="000A0EA8">
        <w:rPr>
          <w:sz w:val="22"/>
          <w:szCs w:val="22"/>
        </w:rPr>
        <w:t xml:space="preserve"> </w:t>
      </w:r>
      <w:r w:rsidR="00985E57" w:rsidRPr="000A0EA8">
        <w:rPr>
          <w:sz w:val="22"/>
          <w:szCs w:val="22"/>
        </w:rPr>
        <w:t>20</w:t>
      </w:r>
      <w:r w:rsidR="00985E57">
        <w:rPr>
          <w:sz w:val="22"/>
          <w:szCs w:val="22"/>
        </w:rPr>
        <w:t>19</w:t>
      </w:r>
      <w:r w:rsidR="00985E57" w:rsidRPr="000A0EA8">
        <w:rPr>
          <w:sz w:val="22"/>
          <w:szCs w:val="22"/>
        </w:rPr>
        <w:t xml:space="preserve"> </w:t>
      </w:r>
      <w:r w:rsidRPr="000A0EA8">
        <w:rPr>
          <w:sz w:val="22"/>
          <w:szCs w:val="22"/>
        </w:rPr>
        <w:t>- £</w:t>
      </w:r>
      <w:r w:rsidR="000A0EA8" w:rsidRPr="000A0EA8">
        <w:rPr>
          <w:sz w:val="22"/>
          <w:szCs w:val="22"/>
        </w:rPr>
        <w:t>2</w:t>
      </w:r>
      <w:r w:rsidR="000C5039" w:rsidRPr="000A0EA8">
        <w:rPr>
          <w:sz w:val="22"/>
          <w:szCs w:val="22"/>
        </w:rPr>
        <w:t>5,000</w:t>
      </w:r>
      <w:r w:rsidRPr="000A0EA8">
        <w:rPr>
          <w:sz w:val="22"/>
          <w:szCs w:val="22"/>
        </w:rPr>
        <w:t xml:space="preserve">) was unpaid for shares in the Company but not impaired. </w:t>
      </w:r>
    </w:p>
    <w:p w14:paraId="7AEE2191" w14:textId="77777777" w:rsidR="00B0215D" w:rsidRPr="008173E0" w:rsidRDefault="00B0215D" w:rsidP="00397A87">
      <w:pPr>
        <w:jc w:val="both"/>
        <w:rPr>
          <w:sz w:val="22"/>
          <w:szCs w:val="22"/>
          <w:highlight w:val="yellow"/>
        </w:rPr>
      </w:pPr>
    </w:p>
    <w:p w14:paraId="3AC1773E" w14:textId="3A55E710" w:rsidR="00397A87" w:rsidRPr="000A0EA8" w:rsidRDefault="00397A87" w:rsidP="00397A87">
      <w:pPr>
        <w:jc w:val="both"/>
        <w:rPr>
          <w:b/>
          <w:sz w:val="22"/>
          <w:szCs w:val="22"/>
        </w:rPr>
      </w:pPr>
      <w:r w:rsidRPr="000A0EA8">
        <w:rPr>
          <w:sz w:val="22"/>
          <w:szCs w:val="22"/>
        </w:rPr>
        <w:t xml:space="preserve">The </w:t>
      </w:r>
      <w:r w:rsidR="003C18F5" w:rsidRPr="000A0EA8">
        <w:rPr>
          <w:sz w:val="22"/>
          <w:szCs w:val="22"/>
        </w:rPr>
        <w:t>C</w:t>
      </w:r>
      <w:r w:rsidRPr="000A0EA8">
        <w:rPr>
          <w:sz w:val="22"/>
          <w:szCs w:val="22"/>
        </w:rPr>
        <w:t>ompany’s credit risk primarily arises from inter</w:t>
      </w:r>
      <w:r w:rsidR="003C18F5" w:rsidRPr="000A0EA8">
        <w:rPr>
          <w:sz w:val="22"/>
          <w:szCs w:val="22"/>
        </w:rPr>
        <w:t>-</w:t>
      </w:r>
      <w:r w:rsidRPr="000A0EA8">
        <w:rPr>
          <w:sz w:val="22"/>
          <w:szCs w:val="22"/>
        </w:rPr>
        <w:t xml:space="preserve">company debtors, which are considered to form part of the </w:t>
      </w:r>
      <w:r w:rsidR="003C18F5" w:rsidRPr="000A0EA8">
        <w:rPr>
          <w:sz w:val="22"/>
          <w:szCs w:val="22"/>
        </w:rPr>
        <w:t>C</w:t>
      </w:r>
      <w:r w:rsidRPr="000A0EA8">
        <w:rPr>
          <w:sz w:val="22"/>
          <w:szCs w:val="22"/>
        </w:rPr>
        <w:t xml:space="preserve">ompany’s investment in the subsidiaries (see </w:t>
      </w:r>
      <w:r w:rsidR="005353EA" w:rsidRPr="009A085B">
        <w:rPr>
          <w:sz w:val="22"/>
          <w:szCs w:val="22"/>
        </w:rPr>
        <w:t>N</w:t>
      </w:r>
      <w:r w:rsidRPr="009A085B">
        <w:rPr>
          <w:sz w:val="22"/>
          <w:szCs w:val="22"/>
        </w:rPr>
        <w:t xml:space="preserve">ote </w:t>
      </w:r>
      <w:r w:rsidR="00533364" w:rsidRPr="009A085B">
        <w:rPr>
          <w:sz w:val="22"/>
          <w:szCs w:val="22"/>
        </w:rPr>
        <w:t>8</w:t>
      </w:r>
      <w:r w:rsidR="003C18F5" w:rsidRPr="009A085B">
        <w:rPr>
          <w:sz w:val="22"/>
          <w:szCs w:val="22"/>
        </w:rPr>
        <w:t xml:space="preserve"> to</w:t>
      </w:r>
      <w:r w:rsidR="003C18F5" w:rsidRPr="000A0EA8">
        <w:rPr>
          <w:sz w:val="22"/>
          <w:szCs w:val="22"/>
        </w:rPr>
        <w:t xml:space="preserve"> the Financial Statements</w:t>
      </w:r>
      <w:r w:rsidRPr="000A0EA8">
        <w:rPr>
          <w:sz w:val="22"/>
          <w:szCs w:val="22"/>
        </w:rPr>
        <w:t>) and cash at bank and other debtors, as per the Group. Should the subsidiaries’ exploration activities not be successful, it is possible that these debtors may become irrecoverable.</w:t>
      </w:r>
    </w:p>
    <w:p w14:paraId="1FAFDDF5" w14:textId="77777777" w:rsidR="00560A28" w:rsidRDefault="00397A87" w:rsidP="00560A28">
      <w:pPr>
        <w:jc w:val="both"/>
        <w:rPr>
          <w:sz w:val="22"/>
          <w:szCs w:val="22"/>
        </w:rPr>
      </w:pPr>
      <w:r w:rsidRPr="008173E0">
        <w:rPr>
          <w:sz w:val="22"/>
          <w:szCs w:val="22"/>
          <w:highlight w:val="yellow"/>
        </w:rPr>
        <w:t xml:space="preserve"> </w:t>
      </w:r>
    </w:p>
    <w:p w14:paraId="78766487" w14:textId="77777777" w:rsidR="00397A87" w:rsidRPr="000A0EA8" w:rsidRDefault="00397A87" w:rsidP="00397A87">
      <w:pPr>
        <w:pStyle w:val="Heading7"/>
        <w:rPr>
          <w:sz w:val="22"/>
          <w:szCs w:val="22"/>
        </w:rPr>
      </w:pPr>
      <w:r w:rsidRPr="000A0EA8">
        <w:rPr>
          <w:sz w:val="22"/>
          <w:szCs w:val="22"/>
        </w:rPr>
        <w:t>Liquidity Risk</w:t>
      </w:r>
    </w:p>
    <w:p w14:paraId="7B910E34" w14:textId="77777777" w:rsidR="00397A87" w:rsidRPr="000A0EA8" w:rsidRDefault="00397A87" w:rsidP="00397A87">
      <w:pPr>
        <w:jc w:val="both"/>
        <w:rPr>
          <w:b/>
          <w:sz w:val="22"/>
          <w:szCs w:val="22"/>
        </w:rPr>
      </w:pPr>
      <w:r w:rsidRPr="000A0EA8">
        <w:rPr>
          <w:sz w:val="22"/>
          <w:szCs w:val="22"/>
        </w:rPr>
        <w:t>Liquidity risk arises from the management of cash funds and working capital. The risk is that the Group will fail to meet its financial obligations as they fall due. The Group operates within the constraints of available funds and cash flow projections are produced and regularly reviewed by management.</w:t>
      </w:r>
    </w:p>
    <w:p w14:paraId="06DAD110" w14:textId="694F97A7" w:rsidR="00397A87" w:rsidRDefault="00397A87" w:rsidP="00397A87">
      <w:pPr>
        <w:jc w:val="both"/>
        <w:rPr>
          <w:b/>
          <w:sz w:val="22"/>
          <w:szCs w:val="22"/>
          <w:highlight w:val="yellow"/>
        </w:rPr>
      </w:pPr>
    </w:p>
    <w:p w14:paraId="2D79D7FB" w14:textId="365F8AC1" w:rsidR="00D37AA7" w:rsidRDefault="00D37AA7" w:rsidP="00397A87">
      <w:pPr>
        <w:jc w:val="both"/>
        <w:rPr>
          <w:b/>
          <w:sz w:val="22"/>
          <w:szCs w:val="22"/>
          <w:highlight w:val="yellow"/>
        </w:rPr>
      </w:pPr>
    </w:p>
    <w:p w14:paraId="0A5AEE66" w14:textId="5D788230" w:rsidR="00D37AA7" w:rsidRDefault="00D37AA7" w:rsidP="00397A87">
      <w:pPr>
        <w:jc w:val="both"/>
        <w:rPr>
          <w:b/>
          <w:sz w:val="22"/>
          <w:szCs w:val="22"/>
          <w:highlight w:val="yellow"/>
        </w:rPr>
      </w:pPr>
    </w:p>
    <w:p w14:paraId="7327620C" w14:textId="77777777" w:rsidR="00D37AA7" w:rsidRDefault="00D37AA7" w:rsidP="00397A87">
      <w:pPr>
        <w:jc w:val="both"/>
        <w:rPr>
          <w:b/>
          <w:sz w:val="22"/>
          <w:szCs w:val="22"/>
          <w:highlight w:val="yellow"/>
        </w:rPr>
      </w:pPr>
    </w:p>
    <w:p w14:paraId="6C2614F4" w14:textId="77777777" w:rsidR="00A638C2" w:rsidRPr="008173E0" w:rsidRDefault="00A638C2" w:rsidP="00397A87">
      <w:pPr>
        <w:jc w:val="both"/>
        <w:rPr>
          <w:b/>
          <w:sz w:val="22"/>
          <w:szCs w:val="22"/>
          <w:highlight w:val="yellow"/>
        </w:rPr>
      </w:pPr>
    </w:p>
    <w:p w14:paraId="47F457A9" w14:textId="77777777" w:rsidR="00A638C2" w:rsidRPr="008173E0" w:rsidRDefault="00A638C2" w:rsidP="00A638C2">
      <w:pPr>
        <w:rPr>
          <w:highlight w:val="yellow"/>
        </w:rPr>
      </w:pPr>
      <w:r w:rsidRPr="00753313">
        <w:rPr>
          <w:b/>
          <w:sz w:val="22"/>
          <w:szCs w:val="22"/>
        </w:rPr>
        <w:t>FINANCIAL INSTRUMENTS</w:t>
      </w:r>
      <w:r>
        <w:rPr>
          <w:b/>
          <w:sz w:val="22"/>
          <w:szCs w:val="22"/>
        </w:rPr>
        <w:t>, continued</w:t>
      </w:r>
    </w:p>
    <w:p w14:paraId="5E4ECAB7" w14:textId="77777777" w:rsidR="00A638C2" w:rsidRDefault="00A638C2" w:rsidP="00397A87">
      <w:pPr>
        <w:pStyle w:val="Heading7"/>
        <w:rPr>
          <w:bCs w:val="0"/>
          <w:sz w:val="22"/>
          <w:szCs w:val="22"/>
        </w:rPr>
      </w:pPr>
    </w:p>
    <w:p w14:paraId="13930325" w14:textId="0FC3C5C5" w:rsidR="00397A87" w:rsidRPr="000A0EA8" w:rsidRDefault="00397A87" w:rsidP="00397A87">
      <w:pPr>
        <w:pStyle w:val="Heading7"/>
        <w:rPr>
          <w:bCs w:val="0"/>
          <w:sz w:val="22"/>
          <w:szCs w:val="22"/>
        </w:rPr>
      </w:pPr>
      <w:r w:rsidRPr="000A0EA8">
        <w:rPr>
          <w:bCs w:val="0"/>
          <w:sz w:val="22"/>
          <w:szCs w:val="22"/>
        </w:rPr>
        <w:t>Interest rate risk profile of financial assets</w:t>
      </w:r>
    </w:p>
    <w:p w14:paraId="4B91BF91" w14:textId="77777777" w:rsidR="00397A87" w:rsidRPr="000A0EA8" w:rsidRDefault="00397A87" w:rsidP="00397A87">
      <w:pPr>
        <w:jc w:val="both"/>
        <w:rPr>
          <w:b/>
          <w:sz w:val="22"/>
          <w:szCs w:val="22"/>
        </w:rPr>
      </w:pPr>
      <w:r w:rsidRPr="000A0EA8">
        <w:rPr>
          <w:sz w:val="22"/>
          <w:szCs w:val="22"/>
        </w:rPr>
        <w:t>The only financial assets (other than short term debtors) are cash at bank and in hand, which comprises money at call. The interest earned in the year was negligible. The directors believe the fair value of the financial instruments is not materially different to the book value.</w:t>
      </w:r>
    </w:p>
    <w:p w14:paraId="0F36391B" w14:textId="77777777" w:rsidR="00F57225" w:rsidRDefault="00F57225" w:rsidP="00397A87">
      <w:pPr>
        <w:jc w:val="both"/>
        <w:rPr>
          <w:b/>
          <w:sz w:val="22"/>
          <w:szCs w:val="22"/>
        </w:rPr>
      </w:pPr>
    </w:p>
    <w:p w14:paraId="0AC0E19E" w14:textId="48F8E356" w:rsidR="00397A87" w:rsidRPr="000A0EA8" w:rsidRDefault="00397A87" w:rsidP="00397A87">
      <w:pPr>
        <w:jc w:val="both"/>
        <w:rPr>
          <w:b/>
          <w:sz w:val="22"/>
          <w:szCs w:val="22"/>
        </w:rPr>
      </w:pPr>
      <w:r w:rsidRPr="000A0EA8">
        <w:rPr>
          <w:b/>
          <w:sz w:val="22"/>
          <w:szCs w:val="22"/>
        </w:rPr>
        <w:t>Foreign currency risk</w:t>
      </w:r>
    </w:p>
    <w:p w14:paraId="15553EFD" w14:textId="32735024" w:rsidR="00397A87" w:rsidRPr="000A0EA8" w:rsidRDefault="00397A87" w:rsidP="00397A87">
      <w:pPr>
        <w:pStyle w:val="Heading8"/>
        <w:jc w:val="both"/>
        <w:rPr>
          <w:b w:val="0"/>
          <w:bCs w:val="0"/>
          <w:sz w:val="22"/>
          <w:szCs w:val="22"/>
        </w:rPr>
      </w:pPr>
      <w:r w:rsidRPr="000A0EA8">
        <w:rPr>
          <w:b w:val="0"/>
          <w:bCs w:val="0"/>
          <w:sz w:val="22"/>
          <w:szCs w:val="22"/>
        </w:rPr>
        <w:t xml:space="preserve">The Group has Australian and United States subsidiaries, which can affect the Group’s sterling denominated reported results as a consequence of movements in the </w:t>
      </w:r>
      <w:r w:rsidR="000A0EA8" w:rsidRPr="000A0EA8">
        <w:rPr>
          <w:b w:val="0"/>
          <w:bCs w:val="0"/>
          <w:sz w:val="22"/>
          <w:szCs w:val="22"/>
        </w:rPr>
        <w:t>S</w:t>
      </w:r>
      <w:r w:rsidRPr="000A0EA8">
        <w:rPr>
          <w:b w:val="0"/>
          <w:bCs w:val="0"/>
          <w:sz w:val="22"/>
          <w:szCs w:val="22"/>
        </w:rPr>
        <w:t>terling/Australian dollar/US dollar exchange rates. The Group also incurs costs denominated in foreign currencies which gives rise to short term exchange risk. The Group does not currently hedge against these exposures as they are deemed immaterial and there is no material exposure as at the</w:t>
      </w:r>
      <w:r w:rsidR="003C18F5" w:rsidRPr="000A0EA8">
        <w:rPr>
          <w:b w:val="0"/>
          <w:bCs w:val="0"/>
          <w:sz w:val="22"/>
          <w:szCs w:val="22"/>
        </w:rPr>
        <w:t xml:space="preserve"> </w:t>
      </w:r>
      <w:r w:rsidR="000A0EA8" w:rsidRPr="000A0EA8">
        <w:rPr>
          <w:b w:val="0"/>
          <w:bCs w:val="0"/>
          <w:sz w:val="22"/>
          <w:szCs w:val="22"/>
        </w:rPr>
        <w:t>year</w:t>
      </w:r>
      <w:r w:rsidR="00A638C2">
        <w:rPr>
          <w:b w:val="0"/>
          <w:bCs w:val="0"/>
          <w:sz w:val="22"/>
          <w:szCs w:val="22"/>
        </w:rPr>
        <w:t>-</w:t>
      </w:r>
      <w:r w:rsidRPr="000A0EA8">
        <w:rPr>
          <w:b w:val="0"/>
          <w:bCs w:val="0"/>
          <w:sz w:val="22"/>
          <w:szCs w:val="22"/>
        </w:rPr>
        <w:t>end (</w:t>
      </w:r>
      <w:r w:rsidR="000D28CE" w:rsidRPr="000A0EA8">
        <w:rPr>
          <w:b w:val="0"/>
          <w:bCs w:val="0"/>
          <w:sz w:val="22"/>
          <w:szCs w:val="22"/>
        </w:rPr>
        <w:t xml:space="preserve">at </w:t>
      </w:r>
      <w:r w:rsidR="000A0EA8" w:rsidRPr="000A0EA8">
        <w:rPr>
          <w:b w:val="0"/>
          <w:bCs w:val="0"/>
          <w:sz w:val="22"/>
          <w:szCs w:val="22"/>
        </w:rPr>
        <w:t>31 December</w:t>
      </w:r>
      <w:r w:rsidR="000D28CE" w:rsidRPr="000A0EA8">
        <w:rPr>
          <w:b w:val="0"/>
          <w:bCs w:val="0"/>
          <w:sz w:val="22"/>
          <w:szCs w:val="22"/>
        </w:rPr>
        <w:t xml:space="preserve"> </w:t>
      </w:r>
      <w:r w:rsidR="00985E57" w:rsidRPr="000A0EA8">
        <w:rPr>
          <w:b w:val="0"/>
          <w:bCs w:val="0"/>
          <w:sz w:val="22"/>
          <w:szCs w:val="22"/>
        </w:rPr>
        <w:t>20</w:t>
      </w:r>
      <w:r w:rsidR="00985E57">
        <w:rPr>
          <w:b w:val="0"/>
          <w:bCs w:val="0"/>
          <w:sz w:val="22"/>
          <w:szCs w:val="22"/>
        </w:rPr>
        <w:t>19</w:t>
      </w:r>
      <w:r w:rsidR="00985E57" w:rsidRPr="000A0EA8">
        <w:rPr>
          <w:b w:val="0"/>
          <w:bCs w:val="0"/>
          <w:sz w:val="22"/>
          <w:szCs w:val="22"/>
        </w:rPr>
        <w:t xml:space="preserve"> </w:t>
      </w:r>
      <w:r w:rsidRPr="000A0EA8">
        <w:rPr>
          <w:b w:val="0"/>
          <w:bCs w:val="0"/>
          <w:sz w:val="22"/>
          <w:szCs w:val="22"/>
        </w:rPr>
        <w:t xml:space="preserve">- £nil). </w:t>
      </w:r>
    </w:p>
    <w:p w14:paraId="42247A50" w14:textId="77777777" w:rsidR="00CE5CCC" w:rsidRDefault="00CE5CCC" w:rsidP="00397A87">
      <w:pPr>
        <w:jc w:val="both"/>
        <w:rPr>
          <w:b/>
          <w:sz w:val="22"/>
          <w:szCs w:val="22"/>
        </w:rPr>
      </w:pPr>
    </w:p>
    <w:p w14:paraId="714C7574" w14:textId="2D9EDA2B" w:rsidR="00397A87" w:rsidRPr="000A0EA8" w:rsidRDefault="00397A87" w:rsidP="00397A87">
      <w:pPr>
        <w:jc w:val="both"/>
        <w:rPr>
          <w:b/>
          <w:sz w:val="22"/>
          <w:szCs w:val="22"/>
        </w:rPr>
      </w:pPr>
      <w:r w:rsidRPr="000A0EA8">
        <w:rPr>
          <w:b/>
          <w:sz w:val="22"/>
          <w:szCs w:val="22"/>
        </w:rPr>
        <w:t xml:space="preserve">Market risk </w:t>
      </w:r>
    </w:p>
    <w:p w14:paraId="266C9A03" w14:textId="61E20AFF" w:rsidR="00397A87" w:rsidRPr="000A0EA8" w:rsidRDefault="00397A87" w:rsidP="00397A87">
      <w:pPr>
        <w:pStyle w:val="Heading8"/>
        <w:jc w:val="both"/>
        <w:rPr>
          <w:sz w:val="22"/>
          <w:szCs w:val="22"/>
        </w:rPr>
      </w:pPr>
      <w:r w:rsidRPr="000A0EA8">
        <w:rPr>
          <w:b w:val="0"/>
          <w:bCs w:val="0"/>
          <w:sz w:val="22"/>
          <w:szCs w:val="22"/>
        </w:rPr>
        <w:t xml:space="preserve">The Group is also exposed to market risk arising from </w:t>
      </w:r>
      <w:r w:rsidR="000A0EA8" w:rsidRPr="000A0EA8">
        <w:rPr>
          <w:b w:val="0"/>
          <w:bCs w:val="0"/>
          <w:sz w:val="22"/>
          <w:szCs w:val="22"/>
        </w:rPr>
        <w:t>un</w:t>
      </w:r>
      <w:r w:rsidRPr="000A0EA8">
        <w:rPr>
          <w:b w:val="0"/>
          <w:bCs w:val="0"/>
          <w:sz w:val="22"/>
          <w:szCs w:val="22"/>
        </w:rPr>
        <w:t xml:space="preserve">listed investments which are stated at their fair value. </w:t>
      </w:r>
    </w:p>
    <w:p w14:paraId="0686048C" w14:textId="514DE331" w:rsidR="007623F0" w:rsidRPr="008173E0" w:rsidRDefault="007623F0">
      <w:pPr>
        <w:jc w:val="both"/>
        <w:rPr>
          <w:sz w:val="22"/>
          <w:szCs w:val="22"/>
          <w:highlight w:val="yellow"/>
        </w:rPr>
      </w:pPr>
    </w:p>
    <w:p w14:paraId="20CFDA3F" w14:textId="1824C63D" w:rsidR="00961D5E" w:rsidRPr="00F4257D" w:rsidRDefault="00961D5E" w:rsidP="00961D5E">
      <w:pPr>
        <w:jc w:val="both"/>
        <w:textAlignment w:val="center"/>
        <w:rPr>
          <w:b/>
          <w:bCs/>
          <w:sz w:val="22"/>
          <w:szCs w:val="22"/>
        </w:rPr>
      </w:pPr>
      <w:r w:rsidRPr="00F4257D">
        <w:rPr>
          <w:b/>
          <w:bCs/>
          <w:sz w:val="22"/>
          <w:szCs w:val="22"/>
        </w:rPr>
        <w:t>KEY PERFORMANCE INDICATORS (KPIs)</w:t>
      </w:r>
    </w:p>
    <w:p w14:paraId="60F4760E" w14:textId="77777777" w:rsidR="00961D5E" w:rsidRPr="008173E0" w:rsidRDefault="00961D5E" w:rsidP="00961D5E">
      <w:pPr>
        <w:pStyle w:val="PlainText"/>
        <w:jc w:val="both"/>
        <w:rPr>
          <w:highlight w:val="yellow"/>
        </w:rPr>
      </w:pPr>
    </w:p>
    <w:p w14:paraId="1D61E8C1" w14:textId="77777777" w:rsidR="00961D5E" w:rsidRPr="008173E0" w:rsidRDefault="00961D5E" w:rsidP="00961D5E">
      <w:pPr>
        <w:pStyle w:val="Heading8"/>
        <w:jc w:val="both"/>
        <w:rPr>
          <w:b w:val="0"/>
          <w:bCs w:val="0"/>
          <w:sz w:val="22"/>
          <w:szCs w:val="22"/>
          <w:highlight w:val="yellow"/>
        </w:rPr>
      </w:pPr>
      <w:r w:rsidRPr="001D0113">
        <w:rPr>
          <w:b w:val="0"/>
          <w:bCs w:val="0"/>
          <w:sz w:val="22"/>
          <w:szCs w:val="22"/>
        </w:rPr>
        <w:t>The financial statements of a natural resource investing company can provide a moment in time snapshot of the financial health of the Company but do not provide a reliable guide to the performance of the Company or its Board.</w:t>
      </w:r>
    </w:p>
    <w:p w14:paraId="502AFCA5" w14:textId="77777777" w:rsidR="00961D5E" w:rsidRPr="008173E0" w:rsidRDefault="00961D5E" w:rsidP="00961D5E">
      <w:pPr>
        <w:pStyle w:val="Heading8"/>
        <w:jc w:val="both"/>
        <w:rPr>
          <w:b w:val="0"/>
          <w:bCs w:val="0"/>
          <w:sz w:val="22"/>
          <w:szCs w:val="22"/>
          <w:highlight w:val="yellow"/>
        </w:rPr>
      </w:pPr>
    </w:p>
    <w:p w14:paraId="1C2B1930" w14:textId="6FAE0291" w:rsidR="00961D5E" w:rsidRPr="001D0113" w:rsidRDefault="00961D5E" w:rsidP="00961D5E">
      <w:pPr>
        <w:pStyle w:val="Heading8"/>
        <w:jc w:val="both"/>
        <w:rPr>
          <w:b w:val="0"/>
          <w:bCs w:val="0"/>
          <w:sz w:val="22"/>
          <w:szCs w:val="22"/>
        </w:rPr>
      </w:pPr>
      <w:r w:rsidRPr="001D0113">
        <w:rPr>
          <w:b w:val="0"/>
          <w:bCs w:val="0"/>
          <w:sz w:val="22"/>
          <w:szCs w:val="22"/>
        </w:rPr>
        <w:t xml:space="preserve">At this stage in the Company’s development the </w:t>
      </w:r>
      <w:r w:rsidR="003E7221">
        <w:rPr>
          <w:b w:val="0"/>
          <w:bCs w:val="0"/>
          <w:sz w:val="22"/>
          <w:szCs w:val="22"/>
        </w:rPr>
        <w:t>D</w:t>
      </w:r>
      <w:r w:rsidRPr="001D0113">
        <w:rPr>
          <w:b w:val="0"/>
          <w:bCs w:val="0"/>
          <w:sz w:val="22"/>
          <w:szCs w:val="22"/>
        </w:rPr>
        <w:t>irectors regularly monitor key performance indicators associated with funding risk, being primarily projected cash flows associated with general administrative expenses and projected cash flows on a project by project basis. This year</w:t>
      </w:r>
      <w:r w:rsidR="00A638C2">
        <w:rPr>
          <w:b w:val="0"/>
          <w:bCs w:val="0"/>
          <w:sz w:val="22"/>
          <w:szCs w:val="22"/>
        </w:rPr>
        <w:t>,</w:t>
      </w:r>
      <w:r w:rsidRPr="001D0113">
        <w:rPr>
          <w:b w:val="0"/>
          <w:bCs w:val="0"/>
          <w:sz w:val="22"/>
          <w:szCs w:val="22"/>
        </w:rPr>
        <w:t xml:space="preserve"> the Company has been able to raise the funds as needed to finance its activities. </w:t>
      </w:r>
    </w:p>
    <w:p w14:paraId="3C7218B6" w14:textId="77777777" w:rsidR="00961D5E" w:rsidRPr="008173E0" w:rsidRDefault="00961D5E" w:rsidP="00961D5E">
      <w:pPr>
        <w:pStyle w:val="Heading8"/>
        <w:jc w:val="both"/>
        <w:rPr>
          <w:b w:val="0"/>
          <w:bCs w:val="0"/>
          <w:sz w:val="22"/>
          <w:szCs w:val="22"/>
          <w:highlight w:val="yellow"/>
        </w:rPr>
      </w:pPr>
    </w:p>
    <w:p w14:paraId="002AC288" w14:textId="0212CD61" w:rsidR="00961D5E" w:rsidRPr="00F4257D" w:rsidRDefault="00961D5E" w:rsidP="00961D5E">
      <w:pPr>
        <w:pStyle w:val="Heading8"/>
        <w:jc w:val="both"/>
        <w:rPr>
          <w:b w:val="0"/>
          <w:bCs w:val="0"/>
          <w:sz w:val="22"/>
          <w:szCs w:val="22"/>
        </w:rPr>
      </w:pPr>
      <w:r w:rsidRPr="00F4257D">
        <w:rPr>
          <w:b w:val="0"/>
          <w:bCs w:val="0"/>
          <w:sz w:val="22"/>
          <w:szCs w:val="22"/>
        </w:rPr>
        <w:t xml:space="preserve">KPIs are not appropriate as a means of assessing the value creation of a company which is involved in natural resource investment and which currently has no turnover. The Board considers that the detailed information in the Business Review in the Strategic Report is the </w:t>
      </w:r>
      <w:r w:rsidR="00F4257D">
        <w:rPr>
          <w:b w:val="0"/>
          <w:bCs w:val="0"/>
          <w:sz w:val="22"/>
          <w:szCs w:val="22"/>
        </w:rPr>
        <w:t>most appropriate</w:t>
      </w:r>
      <w:r w:rsidR="00F4257D" w:rsidRPr="00F4257D">
        <w:rPr>
          <w:b w:val="0"/>
          <w:bCs w:val="0"/>
          <w:sz w:val="22"/>
          <w:szCs w:val="22"/>
        </w:rPr>
        <w:t xml:space="preserve"> </w:t>
      </w:r>
      <w:r w:rsidRPr="00F4257D">
        <w:rPr>
          <w:b w:val="0"/>
          <w:bCs w:val="0"/>
          <w:sz w:val="22"/>
          <w:szCs w:val="22"/>
        </w:rPr>
        <w:t>guide to the Group’s performance during the year.</w:t>
      </w:r>
    </w:p>
    <w:p w14:paraId="2399261A" w14:textId="0A4D8C49" w:rsidR="00961D5E" w:rsidRDefault="00961D5E" w:rsidP="00397A87">
      <w:pPr>
        <w:jc w:val="both"/>
        <w:rPr>
          <w:b/>
          <w:sz w:val="22"/>
          <w:szCs w:val="22"/>
          <w:highlight w:val="yellow"/>
        </w:rPr>
      </w:pPr>
    </w:p>
    <w:p w14:paraId="0C61E766" w14:textId="55A85DC3" w:rsidR="0088781C" w:rsidRPr="000D2933" w:rsidRDefault="0088781C" w:rsidP="0088781C">
      <w:pPr>
        <w:jc w:val="both"/>
        <w:rPr>
          <w:sz w:val="22"/>
          <w:szCs w:val="22"/>
        </w:rPr>
      </w:pPr>
      <w:r>
        <w:rPr>
          <w:b/>
          <w:sz w:val="22"/>
          <w:szCs w:val="22"/>
        </w:rPr>
        <w:t>SECTION 172(1) STATEMENT</w:t>
      </w:r>
    </w:p>
    <w:p w14:paraId="5C0B8517" w14:textId="40FDA284" w:rsidR="0088781C" w:rsidRDefault="0088781C" w:rsidP="00397A87">
      <w:pPr>
        <w:jc w:val="both"/>
        <w:rPr>
          <w:b/>
          <w:sz w:val="22"/>
          <w:szCs w:val="22"/>
          <w:highlight w:val="yellow"/>
        </w:rPr>
      </w:pPr>
    </w:p>
    <w:p w14:paraId="5D506FA7" w14:textId="1293B153" w:rsidR="0088781C" w:rsidRDefault="0088781C" w:rsidP="0088781C">
      <w:pPr>
        <w:pStyle w:val="Heading8"/>
        <w:jc w:val="both"/>
        <w:rPr>
          <w:b w:val="0"/>
          <w:bCs w:val="0"/>
          <w:sz w:val="22"/>
          <w:szCs w:val="22"/>
        </w:rPr>
      </w:pPr>
      <w:r>
        <w:rPr>
          <w:b w:val="0"/>
          <w:bCs w:val="0"/>
          <w:sz w:val="22"/>
          <w:szCs w:val="22"/>
        </w:rPr>
        <w:t xml:space="preserve">The </w:t>
      </w:r>
      <w:r w:rsidR="003E7221">
        <w:rPr>
          <w:b w:val="0"/>
          <w:bCs w:val="0"/>
          <w:sz w:val="22"/>
          <w:szCs w:val="22"/>
        </w:rPr>
        <w:t>D</w:t>
      </w:r>
      <w:r>
        <w:rPr>
          <w:b w:val="0"/>
          <w:bCs w:val="0"/>
          <w:sz w:val="22"/>
          <w:szCs w:val="22"/>
        </w:rPr>
        <w:t>irectors have acted in a way that they considered, in good faith, to be most likely to promote the success of MetalNRG plc (the ‘Company’) for the benefit of its members, and in doing so had regard, amongst other matters to:</w:t>
      </w:r>
    </w:p>
    <w:p w14:paraId="46A21C1F" w14:textId="541DB01F" w:rsidR="0088781C" w:rsidRPr="000D6BA5" w:rsidRDefault="0088781C" w:rsidP="000D6BA5">
      <w:pPr>
        <w:pStyle w:val="Heading8"/>
        <w:jc w:val="both"/>
        <w:rPr>
          <w:b w:val="0"/>
          <w:bCs w:val="0"/>
          <w:sz w:val="22"/>
          <w:szCs w:val="22"/>
        </w:rPr>
      </w:pPr>
    </w:p>
    <w:p w14:paraId="11FA6D75" w14:textId="36A32DF9" w:rsidR="0088781C" w:rsidRPr="000D6BA5" w:rsidRDefault="0088781C" w:rsidP="000D6BA5">
      <w:pPr>
        <w:pStyle w:val="Heading8"/>
        <w:numPr>
          <w:ilvl w:val="0"/>
          <w:numId w:val="26"/>
        </w:numPr>
        <w:jc w:val="both"/>
        <w:rPr>
          <w:b w:val="0"/>
          <w:bCs w:val="0"/>
          <w:sz w:val="22"/>
          <w:szCs w:val="22"/>
        </w:rPr>
      </w:pPr>
      <w:r>
        <w:rPr>
          <w:b w:val="0"/>
          <w:bCs w:val="0"/>
          <w:sz w:val="22"/>
          <w:szCs w:val="22"/>
        </w:rPr>
        <w:t>t</w:t>
      </w:r>
      <w:r w:rsidRPr="000D6BA5">
        <w:rPr>
          <w:b w:val="0"/>
          <w:bCs w:val="0"/>
          <w:sz w:val="22"/>
          <w:szCs w:val="22"/>
        </w:rPr>
        <w:t>he likely consequences of any decision in the long term;</w:t>
      </w:r>
    </w:p>
    <w:p w14:paraId="3676FC34" w14:textId="2AC4A3E7" w:rsidR="0088781C" w:rsidRDefault="0088781C" w:rsidP="0088781C">
      <w:pPr>
        <w:pStyle w:val="Heading8"/>
        <w:numPr>
          <w:ilvl w:val="0"/>
          <w:numId w:val="26"/>
        </w:numPr>
        <w:jc w:val="both"/>
        <w:rPr>
          <w:b w:val="0"/>
          <w:bCs w:val="0"/>
          <w:sz w:val="22"/>
          <w:szCs w:val="22"/>
        </w:rPr>
      </w:pPr>
      <w:r>
        <w:rPr>
          <w:b w:val="0"/>
          <w:bCs w:val="0"/>
          <w:sz w:val="22"/>
          <w:szCs w:val="22"/>
        </w:rPr>
        <w:t>t</w:t>
      </w:r>
      <w:r w:rsidRPr="000D6BA5">
        <w:rPr>
          <w:b w:val="0"/>
          <w:bCs w:val="0"/>
          <w:sz w:val="22"/>
          <w:szCs w:val="22"/>
        </w:rPr>
        <w:t xml:space="preserve">o the extent the </w:t>
      </w:r>
      <w:r>
        <w:rPr>
          <w:b w:val="0"/>
          <w:bCs w:val="0"/>
          <w:sz w:val="22"/>
          <w:szCs w:val="22"/>
        </w:rPr>
        <w:t>Company has employees, the interests of the Company’s employees;</w:t>
      </w:r>
    </w:p>
    <w:p w14:paraId="54D0A5B1" w14:textId="34E06305" w:rsidR="0088781C" w:rsidRPr="000D6BA5" w:rsidRDefault="0088781C" w:rsidP="000D6BA5">
      <w:pPr>
        <w:pStyle w:val="Heading8"/>
        <w:numPr>
          <w:ilvl w:val="0"/>
          <w:numId w:val="26"/>
        </w:numPr>
        <w:jc w:val="both"/>
        <w:rPr>
          <w:b w:val="0"/>
          <w:bCs w:val="0"/>
          <w:sz w:val="22"/>
          <w:szCs w:val="22"/>
        </w:rPr>
      </w:pPr>
      <w:r w:rsidRPr="000D6BA5">
        <w:rPr>
          <w:b w:val="0"/>
          <w:bCs w:val="0"/>
          <w:sz w:val="22"/>
          <w:szCs w:val="22"/>
        </w:rPr>
        <w:t>the need to foster the Company’s business relationships with suppliers, customers and others;</w:t>
      </w:r>
    </w:p>
    <w:p w14:paraId="1F438079" w14:textId="1840EA36" w:rsidR="0088781C" w:rsidRPr="000D6BA5" w:rsidRDefault="0088781C" w:rsidP="000D6BA5">
      <w:pPr>
        <w:pStyle w:val="Heading8"/>
        <w:numPr>
          <w:ilvl w:val="0"/>
          <w:numId w:val="26"/>
        </w:numPr>
        <w:jc w:val="both"/>
        <w:rPr>
          <w:b w:val="0"/>
          <w:bCs w:val="0"/>
          <w:sz w:val="22"/>
          <w:szCs w:val="22"/>
        </w:rPr>
      </w:pPr>
      <w:r w:rsidRPr="000D6BA5">
        <w:rPr>
          <w:b w:val="0"/>
          <w:bCs w:val="0"/>
          <w:sz w:val="22"/>
          <w:szCs w:val="22"/>
        </w:rPr>
        <w:t>the impact of the Company’s operations on the community and the environment;</w:t>
      </w:r>
    </w:p>
    <w:p w14:paraId="0D65E287" w14:textId="30055F50" w:rsidR="0088781C" w:rsidRPr="000D6BA5" w:rsidRDefault="0088781C" w:rsidP="000D6BA5">
      <w:pPr>
        <w:pStyle w:val="Heading8"/>
        <w:numPr>
          <w:ilvl w:val="0"/>
          <w:numId w:val="26"/>
        </w:numPr>
        <w:jc w:val="both"/>
        <w:rPr>
          <w:b w:val="0"/>
          <w:bCs w:val="0"/>
          <w:sz w:val="22"/>
          <w:szCs w:val="22"/>
        </w:rPr>
      </w:pPr>
      <w:r w:rsidRPr="000D6BA5">
        <w:rPr>
          <w:b w:val="0"/>
          <w:bCs w:val="0"/>
          <w:sz w:val="22"/>
          <w:szCs w:val="22"/>
        </w:rPr>
        <w:t>the desirability of the Company’s maintaining a reputation for high standards of business conduct;</w:t>
      </w:r>
    </w:p>
    <w:p w14:paraId="592650AF" w14:textId="037840DE" w:rsidR="0088781C" w:rsidRPr="000D6BA5" w:rsidRDefault="0088781C" w:rsidP="000D6BA5">
      <w:pPr>
        <w:pStyle w:val="Heading8"/>
        <w:numPr>
          <w:ilvl w:val="0"/>
          <w:numId w:val="26"/>
        </w:numPr>
        <w:jc w:val="both"/>
        <w:rPr>
          <w:b w:val="0"/>
          <w:bCs w:val="0"/>
          <w:sz w:val="22"/>
          <w:szCs w:val="22"/>
        </w:rPr>
      </w:pPr>
      <w:r w:rsidRPr="000D6BA5">
        <w:rPr>
          <w:b w:val="0"/>
          <w:bCs w:val="0"/>
          <w:sz w:val="22"/>
          <w:szCs w:val="22"/>
        </w:rPr>
        <w:t>and to act fairly between members of the Company</w:t>
      </w:r>
    </w:p>
    <w:p w14:paraId="10509BFA" w14:textId="7729E077" w:rsidR="0088781C" w:rsidRDefault="0088781C" w:rsidP="000D6BA5">
      <w:pPr>
        <w:pStyle w:val="Heading8"/>
        <w:jc w:val="both"/>
        <w:rPr>
          <w:b w:val="0"/>
          <w:bCs w:val="0"/>
          <w:sz w:val="22"/>
          <w:szCs w:val="22"/>
        </w:rPr>
      </w:pPr>
    </w:p>
    <w:p w14:paraId="1C951C42" w14:textId="40822FF1" w:rsidR="000D6BA5" w:rsidRPr="00987AEC" w:rsidRDefault="000D6BA5" w:rsidP="00987AEC">
      <w:pPr>
        <w:pStyle w:val="Heading8"/>
        <w:jc w:val="both"/>
        <w:rPr>
          <w:b w:val="0"/>
          <w:bCs w:val="0"/>
          <w:sz w:val="22"/>
          <w:szCs w:val="22"/>
        </w:rPr>
      </w:pPr>
      <w:r w:rsidRPr="00987AEC">
        <w:rPr>
          <w:b w:val="0"/>
          <w:bCs w:val="0"/>
          <w:sz w:val="22"/>
          <w:szCs w:val="22"/>
        </w:rPr>
        <w:t xml:space="preserve">The </w:t>
      </w:r>
      <w:r w:rsidR="003E7221">
        <w:rPr>
          <w:b w:val="0"/>
          <w:bCs w:val="0"/>
          <w:sz w:val="22"/>
          <w:szCs w:val="22"/>
        </w:rPr>
        <w:t>D</w:t>
      </w:r>
      <w:r w:rsidR="00987AEC" w:rsidRPr="00987AEC">
        <w:rPr>
          <w:b w:val="0"/>
          <w:bCs w:val="0"/>
          <w:sz w:val="22"/>
          <w:szCs w:val="22"/>
        </w:rPr>
        <w:t>irectors also took into account the views and interests of a wider set of stakeholders, including our regulator, the Government and non-government organisations.</w:t>
      </w:r>
    </w:p>
    <w:p w14:paraId="577938EF" w14:textId="6089FE77" w:rsidR="00987AEC" w:rsidRPr="00987AEC" w:rsidRDefault="00987AEC" w:rsidP="00987AEC">
      <w:pPr>
        <w:pStyle w:val="Heading8"/>
        <w:jc w:val="both"/>
        <w:rPr>
          <w:b w:val="0"/>
          <w:bCs w:val="0"/>
          <w:sz w:val="22"/>
          <w:szCs w:val="22"/>
        </w:rPr>
      </w:pPr>
    </w:p>
    <w:p w14:paraId="00BFE3A6" w14:textId="3DB7E5ED" w:rsidR="00987AEC" w:rsidRDefault="00987AEC" w:rsidP="00987AEC">
      <w:pPr>
        <w:pStyle w:val="Heading8"/>
        <w:jc w:val="both"/>
        <w:rPr>
          <w:b w:val="0"/>
          <w:bCs w:val="0"/>
          <w:sz w:val="22"/>
          <w:szCs w:val="22"/>
        </w:rPr>
      </w:pPr>
      <w:r w:rsidRPr="00987AEC">
        <w:rPr>
          <w:b w:val="0"/>
          <w:bCs w:val="0"/>
          <w:sz w:val="22"/>
          <w:szCs w:val="22"/>
        </w:rPr>
        <w:t>Considering the broad</w:t>
      </w:r>
      <w:r>
        <w:rPr>
          <w:b w:val="0"/>
          <w:bCs w:val="0"/>
          <w:sz w:val="22"/>
          <w:szCs w:val="22"/>
        </w:rPr>
        <w:t xml:space="preserve"> </w:t>
      </w:r>
      <w:r w:rsidRPr="00987AEC">
        <w:rPr>
          <w:b w:val="0"/>
          <w:bCs w:val="0"/>
          <w:sz w:val="22"/>
          <w:szCs w:val="22"/>
        </w:rPr>
        <w:t>range of interests</w:t>
      </w:r>
      <w:r>
        <w:rPr>
          <w:b w:val="0"/>
          <w:bCs w:val="0"/>
          <w:sz w:val="22"/>
          <w:szCs w:val="22"/>
        </w:rPr>
        <w:t xml:space="preserve"> is an important part of the way the Board makes decisions; however, in balancing those different perspectives it won’t always be possible to deliver everyone’s desired outcome.</w:t>
      </w:r>
    </w:p>
    <w:p w14:paraId="52FC9621" w14:textId="7476DE3D" w:rsidR="00987AEC" w:rsidRDefault="00987AEC" w:rsidP="00987AEC"/>
    <w:p w14:paraId="0D7C48C8" w14:textId="77777777" w:rsidR="00987AEC" w:rsidRPr="00987AEC" w:rsidRDefault="00987AEC" w:rsidP="00987AEC">
      <w:pPr>
        <w:pStyle w:val="Heading8"/>
        <w:jc w:val="both"/>
        <w:rPr>
          <w:b w:val="0"/>
          <w:bCs w:val="0"/>
          <w:i/>
          <w:iCs/>
          <w:sz w:val="22"/>
          <w:szCs w:val="22"/>
        </w:rPr>
      </w:pPr>
      <w:r w:rsidRPr="00987AEC">
        <w:rPr>
          <w:b w:val="0"/>
          <w:bCs w:val="0"/>
          <w:i/>
          <w:iCs/>
          <w:sz w:val="22"/>
          <w:szCs w:val="22"/>
        </w:rPr>
        <w:t>How does the Board engage with stakeholders?</w:t>
      </w:r>
    </w:p>
    <w:p w14:paraId="7400D840" w14:textId="77777777" w:rsidR="00987AEC" w:rsidRPr="00E2610B" w:rsidRDefault="00987AEC" w:rsidP="00987AEC">
      <w:pPr>
        <w:pStyle w:val="Heading8"/>
        <w:jc w:val="both"/>
        <w:rPr>
          <w:b w:val="0"/>
          <w:bCs w:val="0"/>
          <w:sz w:val="22"/>
          <w:szCs w:val="22"/>
        </w:rPr>
      </w:pPr>
      <w:r w:rsidRPr="00E2610B">
        <w:rPr>
          <w:b w:val="0"/>
          <w:bCs w:val="0"/>
          <w:sz w:val="22"/>
          <w:szCs w:val="22"/>
        </w:rPr>
        <w:t>The Board will sometimes engage directly with certain stakeholders on certain issues, but the size and distribution of our stakeholders means that stakeholder engagement often takes place at an operational level.</w:t>
      </w:r>
    </w:p>
    <w:p w14:paraId="0F38B4C9" w14:textId="77777777" w:rsidR="00987AEC" w:rsidRDefault="00987AEC" w:rsidP="00987AEC"/>
    <w:p w14:paraId="4A6FDBA4" w14:textId="77777777" w:rsidR="00987AEC" w:rsidRDefault="00987AEC" w:rsidP="00987AEC">
      <w:pPr>
        <w:jc w:val="both"/>
        <w:rPr>
          <w:b/>
          <w:sz w:val="22"/>
          <w:szCs w:val="22"/>
        </w:rPr>
      </w:pPr>
    </w:p>
    <w:p w14:paraId="2796F5A2" w14:textId="663E9F5B" w:rsidR="00987AEC" w:rsidRPr="000D2933" w:rsidRDefault="00987AEC" w:rsidP="00987AEC">
      <w:pPr>
        <w:jc w:val="both"/>
        <w:rPr>
          <w:sz w:val="22"/>
          <w:szCs w:val="22"/>
        </w:rPr>
      </w:pPr>
      <w:r>
        <w:rPr>
          <w:b/>
          <w:sz w:val="22"/>
          <w:szCs w:val="22"/>
        </w:rPr>
        <w:t>SECTION 172(1) STATEMENT, continued</w:t>
      </w:r>
    </w:p>
    <w:p w14:paraId="410C7661" w14:textId="1626383D" w:rsidR="00987AEC" w:rsidRPr="00987AEC" w:rsidRDefault="00987AEC" w:rsidP="00987AEC">
      <w:pPr>
        <w:pStyle w:val="Heading8"/>
        <w:jc w:val="both"/>
        <w:rPr>
          <w:b w:val="0"/>
          <w:bCs w:val="0"/>
          <w:sz w:val="22"/>
          <w:szCs w:val="22"/>
        </w:rPr>
      </w:pPr>
    </w:p>
    <w:p w14:paraId="53483D32" w14:textId="5CB9E68E" w:rsidR="00987AEC" w:rsidRPr="00987AEC" w:rsidRDefault="00987AEC" w:rsidP="00987AEC">
      <w:pPr>
        <w:pStyle w:val="Heading8"/>
        <w:jc w:val="both"/>
        <w:rPr>
          <w:b w:val="0"/>
          <w:bCs w:val="0"/>
          <w:sz w:val="22"/>
          <w:szCs w:val="22"/>
        </w:rPr>
      </w:pPr>
      <w:r w:rsidRPr="00987AEC">
        <w:rPr>
          <w:b w:val="0"/>
          <w:bCs w:val="0"/>
          <w:sz w:val="22"/>
          <w:szCs w:val="22"/>
        </w:rPr>
        <w:t>In addition, to ensure a more efficient and effective approach, certain stakeholder engagement is le</w:t>
      </w:r>
      <w:r w:rsidR="003E7221">
        <w:rPr>
          <w:b w:val="0"/>
          <w:bCs w:val="0"/>
          <w:sz w:val="22"/>
          <w:szCs w:val="22"/>
        </w:rPr>
        <w:t>d</w:t>
      </w:r>
      <w:r w:rsidRPr="00987AEC">
        <w:rPr>
          <w:b w:val="0"/>
          <w:bCs w:val="0"/>
          <w:sz w:val="22"/>
          <w:szCs w:val="22"/>
        </w:rPr>
        <w:t xml:space="preserve"> at Group level, in particular where matters are of group-wide significance or have the potential to impact the reputation of the Group.</w:t>
      </w:r>
    </w:p>
    <w:p w14:paraId="1434DE00" w14:textId="0B7464B1" w:rsidR="00987AEC" w:rsidRDefault="00987AEC" w:rsidP="00987AEC">
      <w:pPr>
        <w:pStyle w:val="Heading8"/>
        <w:jc w:val="both"/>
        <w:rPr>
          <w:b w:val="0"/>
          <w:bCs w:val="0"/>
          <w:sz w:val="22"/>
          <w:szCs w:val="22"/>
        </w:rPr>
      </w:pPr>
    </w:p>
    <w:p w14:paraId="0B478CBB" w14:textId="50032458" w:rsidR="00987AEC" w:rsidRPr="007E1F87" w:rsidRDefault="00987AEC" w:rsidP="007E1F87">
      <w:pPr>
        <w:pStyle w:val="Heading8"/>
        <w:jc w:val="both"/>
        <w:rPr>
          <w:b w:val="0"/>
          <w:bCs w:val="0"/>
          <w:sz w:val="22"/>
          <w:szCs w:val="22"/>
        </w:rPr>
      </w:pPr>
      <w:r w:rsidRPr="007E1F87">
        <w:rPr>
          <w:b w:val="0"/>
          <w:bCs w:val="0"/>
          <w:sz w:val="22"/>
          <w:szCs w:val="22"/>
        </w:rPr>
        <w:t>The Board considers and discusses information from across the organisation to help it understand the impact</w:t>
      </w:r>
      <w:r w:rsidR="003C52B4" w:rsidRPr="007E1F87">
        <w:rPr>
          <w:b w:val="0"/>
          <w:bCs w:val="0"/>
          <w:sz w:val="22"/>
          <w:szCs w:val="22"/>
        </w:rPr>
        <w:t xml:space="preserve"> of its operations, and the interests and views of our key stakeholders. It also reviews strategy, financial and operational performance, as well as information covering areas such as key risks, and legal and regulatory compliance. This information is provided to the Board through reports sent in advance of each board meeting, and through in-person presentations.</w:t>
      </w:r>
    </w:p>
    <w:p w14:paraId="28E63957" w14:textId="2332881D" w:rsidR="003C52B4" w:rsidRPr="007E1F87" w:rsidRDefault="003C52B4" w:rsidP="007E1F87">
      <w:pPr>
        <w:pStyle w:val="Heading8"/>
        <w:jc w:val="both"/>
        <w:rPr>
          <w:b w:val="0"/>
          <w:bCs w:val="0"/>
          <w:sz w:val="22"/>
          <w:szCs w:val="22"/>
        </w:rPr>
      </w:pPr>
    </w:p>
    <w:p w14:paraId="649C7B47" w14:textId="1EA80022" w:rsidR="003C52B4" w:rsidRPr="007E1F87" w:rsidRDefault="003C52B4" w:rsidP="007E1F87">
      <w:pPr>
        <w:pStyle w:val="Heading8"/>
        <w:jc w:val="both"/>
        <w:rPr>
          <w:b w:val="0"/>
          <w:bCs w:val="0"/>
          <w:sz w:val="22"/>
          <w:szCs w:val="22"/>
        </w:rPr>
      </w:pPr>
      <w:r w:rsidRPr="007E1F87">
        <w:rPr>
          <w:b w:val="0"/>
          <w:bCs w:val="0"/>
          <w:sz w:val="22"/>
          <w:szCs w:val="22"/>
        </w:rPr>
        <w:t>As a result of these activities, the Board has an overview of engagement with stakeholders, and other relevant factors, which enables the directors to comply with their legal duty under section 172 of the Companies Act 2006.</w:t>
      </w:r>
    </w:p>
    <w:p w14:paraId="35C6EE7A" w14:textId="2BB7892D" w:rsidR="003C52B4" w:rsidRPr="007E1F87" w:rsidRDefault="003C52B4" w:rsidP="007E1F87">
      <w:pPr>
        <w:pStyle w:val="Heading8"/>
        <w:jc w:val="both"/>
        <w:rPr>
          <w:b w:val="0"/>
          <w:bCs w:val="0"/>
          <w:sz w:val="22"/>
          <w:szCs w:val="22"/>
        </w:rPr>
      </w:pPr>
    </w:p>
    <w:p w14:paraId="330DA1D7" w14:textId="4414751B" w:rsidR="0088781C" w:rsidRPr="000D6BA5" w:rsidRDefault="003C52B4" w:rsidP="000D6BA5">
      <w:pPr>
        <w:pStyle w:val="Heading8"/>
        <w:jc w:val="both"/>
        <w:rPr>
          <w:b w:val="0"/>
          <w:bCs w:val="0"/>
          <w:sz w:val="22"/>
          <w:szCs w:val="22"/>
        </w:rPr>
      </w:pPr>
      <w:r w:rsidRPr="007E1F87">
        <w:rPr>
          <w:b w:val="0"/>
          <w:bCs w:val="0"/>
          <w:sz w:val="22"/>
          <w:szCs w:val="22"/>
        </w:rPr>
        <w:t xml:space="preserve">The purpose of MetalNRG plc is to </w:t>
      </w:r>
      <w:r w:rsidR="007E1F87">
        <w:rPr>
          <w:b w:val="0"/>
          <w:bCs w:val="0"/>
          <w:sz w:val="22"/>
          <w:szCs w:val="22"/>
        </w:rPr>
        <w:t xml:space="preserve">act as a </w:t>
      </w:r>
      <w:r w:rsidR="007E1F87" w:rsidRPr="007E1F87">
        <w:rPr>
          <w:b w:val="0"/>
          <w:bCs w:val="0"/>
          <w:sz w:val="22"/>
          <w:szCs w:val="22"/>
        </w:rPr>
        <w:t>natural resource investing company</w:t>
      </w:r>
      <w:r w:rsidR="007E1F87">
        <w:rPr>
          <w:b w:val="0"/>
          <w:bCs w:val="0"/>
          <w:sz w:val="22"/>
          <w:szCs w:val="22"/>
        </w:rPr>
        <w:t>. Due to the nature of the Company, no decisions were made by the Directors during the reporting period which required them to have regard to the matters set out in section 172 of the Companies Act 2006.</w:t>
      </w:r>
    </w:p>
    <w:p w14:paraId="6ED1F527" w14:textId="77777777" w:rsidR="0088781C" w:rsidRPr="008173E0" w:rsidRDefault="0088781C" w:rsidP="00397A87">
      <w:pPr>
        <w:jc w:val="both"/>
        <w:rPr>
          <w:b/>
          <w:sz w:val="22"/>
          <w:szCs w:val="22"/>
          <w:highlight w:val="yellow"/>
        </w:rPr>
      </w:pPr>
    </w:p>
    <w:p w14:paraId="77AAB372" w14:textId="27866B5A" w:rsidR="00397A87" w:rsidRPr="000D2933" w:rsidRDefault="00397A87" w:rsidP="00397A87">
      <w:pPr>
        <w:jc w:val="both"/>
        <w:rPr>
          <w:sz w:val="22"/>
          <w:szCs w:val="22"/>
        </w:rPr>
      </w:pPr>
      <w:r w:rsidRPr="000D2933">
        <w:rPr>
          <w:b/>
          <w:sz w:val="22"/>
          <w:szCs w:val="22"/>
        </w:rPr>
        <w:t>CAPITAL MANAGEMENT</w:t>
      </w:r>
    </w:p>
    <w:p w14:paraId="6AB31A24" w14:textId="77777777" w:rsidR="00397A87" w:rsidRPr="000D2933" w:rsidRDefault="00397A87" w:rsidP="00397A87">
      <w:pPr>
        <w:jc w:val="both"/>
        <w:rPr>
          <w:sz w:val="22"/>
          <w:szCs w:val="22"/>
        </w:rPr>
      </w:pPr>
    </w:p>
    <w:p w14:paraId="73FECF7C" w14:textId="4BA4223A" w:rsidR="00397A87" w:rsidRPr="00753313" w:rsidRDefault="00397A87" w:rsidP="00397A87">
      <w:pPr>
        <w:jc w:val="both"/>
        <w:rPr>
          <w:b/>
          <w:sz w:val="22"/>
          <w:szCs w:val="22"/>
        </w:rPr>
      </w:pPr>
      <w:r w:rsidRPr="000D2933">
        <w:rPr>
          <w:sz w:val="22"/>
          <w:szCs w:val="22"/>
        </w:rPr>
        <w:t>The</w:t>
      </w:r>
      <w:r w:rsidR="003C18F5" w:rsidRPr="000D2933">
        <w:rPr>
          <w:sz w:val="22"/>
          <w:szCs w:val="22"/>
        </w:rPr>
        <w:t xml:space="preserve"> Company’s</w:t>
      </w:r>
      <w:r w:rsidRPr="000D2933">
        <w:rPr>
          <w:sz w:val="22"/>
          <w:szCs w:val="22"/>
        </w:rPr>
        <w:t xml:space="preserve"> objective when managing capital is to safeguard the</w:t>
      </w:r>
      <w:r w:rsidR="00B0215D" w:rsidRPr="000D2933">
        <w:rPr>
          <w:sz w:val="22"/>
          <w:szCs w:val="22"/>
        </w:rPr>
        <w:t xml:space="preserve"> </w:t>
      </w:r>
      <w:r w:rsidR="003C18F5" w:rsidRPr="000D2933">
        <w:rPr>
          <w:sz w:val="22"/>
          <w:szCs w:val="22"/>
        </w:rPr>
        <w:t>Group</w:t>
      </w:r>
      <w:r w:rsidRPr="000D2933">
        <w:rPr>
          <w:sz w:val="22"/>
          <w:szCs w:val="22"/>
        </w:rPr>
        <w:t xml:space="preserve">’s ability to continue as a going concern and develop its mining and exploration activities to provide returns for shareholders. The Group’s funding comprises equity and debt. The </w:t>
      </w:r>
      <w:r w:rsidR="003E7221">
        <w:rPr>
          <w:sz w:val="22"/>
          <w:szCs w:val="22"/>
        </w:rPr>
        <w:t>D</w:t>
      </w:r>
      <w:r w:rsidRPr="000D2933">
        <w:rPr>
          <w:sz w:val="22"/>
          <w:szCs w:val="22"/>
        </w:rPr>
        <w:t xml:space="preserve">irectors consider the Company’s capital and reserves to be capital. When considering the future capital requirements of the Group and the potential to fund specific project development via debt, the </w:t>
      </w:r>
      <w:r w:rsidR="003E7221">
        <w:rPr>
          <w:sz w:val="22"/>
          <w:szCs w:val="22"/>
        </w:rPr>
        <w:t>D</w:t>
      </w:r>
      <w:r w:rsidRPr="000D2933">
        <w:rPr>
          <w:sz w:val="22"/>
          <w:szCs w:val="22"/>
        </w:rPr>
        <w:t>irectors consider the risk characteristics of all the underlying assets in assessing the optimal capital structure.</w:t>
      </w:r>
    </w:p>
    <w:p w14:paraId="44B45B44" w14:textId="77777777" w:rsidR="004F07C8" w:rsidRPr="00A8640A" w:rsidRDefault="004F07C8">
      <w:pPr>
        <w:jc w:val="both"/>
        <w:rPr>
          <w:b/>
          <w:sz w:val="22"/>
          <w:szCs w:val="22"/>
        </w:rPr>
      </w:pPr>
    </w:p>
    <w:p w14:paraId="5E6914B2" w14:textId="77777777" w:rsidR="007623F0" w:rsidRPr="00A8640A" w:rsidRDefault="007623F0">
      <w:pPr>
        <w:jc w:val="both"/>
        <w:rPr>
          <w:b/>
          <w:sz w:val="22"/>
          <w:szCs w:val="22"/>
        </w:rPr>
      </w:pPr>
      <w:r w:rsidRPr="00A8640A">
        <w:rPr>
          <w:b/>
          <w:sz w:val="22"/>
          <w:szCs w:val="22"/>
        </w:rPr>
        <w:t xml:space="preserve">Approved by the Board of Directors </w:t>
      </w:r>
    </w:p>
    <w:p w14:paraId="004BE675" w14:textId="77777777" w:rsidR="007623F0" w:rsidRPr="00A8640A" w:rsidRDefault="007623F0">
      <w:pPr>
        <w:jc w:val="both"/>
        <w:rPr>
          <w:b/>
          <w:sz w:val="22"/>
          <w:szCs w:val="22"/>
        </w:rPr>
      </w:pPr>
      <w:r w:rsidRPr="00A8640A">
        <w:rPr>
          <w:b/>
          <w:sz w:val="22"/>
          <w:szCs w:val="22"/>
        </w:rPr>
        <w:t>and signed on behalf of the Board</w:t>
      </w:r>
    </w:p>
    <w:p w14:paraId="7AD4B84B" w14:textId="77777777" w:rsidR="007623F0" w:rsidRPr="00A8640A" w:rsidRDefault="007623F0">
      <w:pPr>
        <w:jc w:val="both"/>
        <w:rPr>
          <w:b/>
          <w:sz w:val="22"/>
          <w:szCs w:val="22"/>
        </w:rPr>
      </w:pPr>
    </w:p>
    <w:p w14:paraId="4DAF1261" w14:textId="2A3F5515" w:rsidR="007623F0" w:rsidRDefault="007623F0">
      <w:pPr>
        <w:jc w:val="both"/>
        <w:rPr>
          <w:b/>
          <w:sz w:val="22"/>
          <w:szCs w:val="22"/>
        </w:rPr>
      </w:pPr>
    </w:p>
    <w:p w14:paraId="5AAFD6BA" w14:textId="77777777" w:rsidR="009A1EF7" w:rsidRPr="00A8640A" w:rsidRDefault="009A1EF7">
      <w:pPr>
        <w:jc w:val="both"/>
        <w:rPr>
          <w:b/>
          <w:sz w:val="22"/>
          <w:szCs w:val="22"/>
        </w:rPr>
      </w:pPr>
    </w:p>
    <w:p w14:paraId="6B4A5491" w14:textId="77777777" w:rsidR="006A17C4" w:rsidRDefault="006A17C4">
      <w:pPr>
        <w:jc w:val="both"/>
        <w:rPr>
          <w:b/>
          <w:sz w:val="22"/>
          <w:szCs w:val="22"/>
        </w:rPr>
      </w:pPr>
    </w:p>
    <w:p w14:paraId="2FD03CD2" w14:textId="2CCCD6A4" w:rsidR="007623F0" w:rsidRPr="00C51220" w:rsidRDefault="004F07C8">
      <w:pPr>
        <w:jc w:val="both"/>
        <w:rPr>
          <w:b/>
          <w:sz w:val="22"/>
          <w:szCs w:val="22"/>
          <w:highlight w:val="yellow"/>
        </w:rPr>
      </w:pPr>
      <w:r>
        <w:rPr>
          <w:b/>
          <w:sz w:val="22"/>
          <w:szCs w:val="22"/>
        </w:rPr>
        <w:t>Rolf Gerritsen</w:t>
      </w:r>
      <w:r w:rsidR="007623F0" w:rsidRPr="00C51220">
        <w:rPr>
          <w:b/>
          <w:sz w:val="22"/>
          <w:szCs w:val="22"/>
          <w:highlight w:val="yellow"/>
        </w:rPr>
        <w:t xml:space="preserve"> </w:t>
      </w:r>
    </w:p>
    <w:p w14:paraId="62BA118A" w14:textId="7D677DFB" w:rsidR="007623F0" w:rsidRPr="006A17C4" w:rsidRDefault="007623F0">
      <w:pPr>
        <w:rPr>
          <w:b/>
          <w:sz w:val="22"/>
          <w:szCs w:val="22"/>
        </w:rPr>
      </w:pPr>
      <w:r w:rsidRPr="006A17C4">
        <w:rPr>
          <w:b/>
          <w:sz w:val="22"/>
          <w:szCs w:val="22"/>
        </w:rPr>
        <w:t xml:space="preserve">Director </w:t>
      </w:r>
      <w:r w:rsidR="00900D8F">
        <w:rPr>
          <w:b/>
          <w:sz w:val="22"/>
          <w:szCs w:val="22"/>
        </w:rPr>
        <w:t>and Chief Executive Officer</w:t>
      </w:r>
      <w:r w:rsidRPr="006A17C4">
        <w:rPr>
          <w:b/>
          <w:sz w:val="22"/>
          <w:szCs w:val="22"/>
        </w:rPr>
        <w:t xml:space="preserve"> </w:t>
      </w:r>
    </w:p>
    <w:p w14:paraId="67BCA573" w14:textId="2505A845" w:rsidR="001E3BD1" w:rsidRPr="00391EEE" w:rsidRDefault="000309B3" w:rsidP="00961D5E">
      <w:pPr>
        <w:pStyle w:val="BodyText3"/>
        <w:rPr>
          <w:b w:val="0"/>
          <w:bCs/>
          <w:sz w:val="32"/>
        </w:rPr>
        <w:sectPr w:rsidR="001E3BD1" w:rsidRPr="00391EEE" w:rsidSect="002E4AA5">
          <w:headerReference w:type="default" r:id="rId16"/>
          <w:headerReference w:type="first" r:id="rId17"/>
          <w:pgSz w:w="11909" w:h="16834" w:code="9"/>
          <w:pgMar w:top="567" w:right="936" w:bottom="720" w:left="936" w:header="706" w:footer="706" w:gutter="0"/>
          <w:cols w:space="720"/>
          <w:titlePg/>
        </w:sectPr>
      </w:pPr>
      <w:r w:rsidRPr="006845FB">
        <w:rPr>
          <w:sz w:val="22"/>
          <w:szCs w:val="22"/>
        </w:rPr>
        <w:t>28</w:t>
      </w:r>
      <w:r w:rsidR="00BF56B7" w:rsidRPr="006845FB">
        <w:rPr>
          <w:sz w:val="22"/>
          <w:szCs w:val="22"/>
        </w:rPr>
        <w:t xml:space="preserve"> </w:t>
      </w:r>
      <w:r w:rsidR="00A638C2" w:rsidRPr="006845FB">
        <w:rPr>
          <w:sz w:val="22"/>
          <w:szCs w:val="22"/>
        </w:rPr>
        <w:t xml:space="preserve">April </w:t>
      </w:r>
      <w:r w:rsidR="00661079" w:rsidRPr="006845FB">
        <w:rPr>
          <w:sz w:val="22"/>
          <w:szCs w:val="22"/>
        </w:rPr>
        <w:t>202</w:t>
      </w:r>
      <w:r w:rsidR="008173E0" w:rsidRPr="006845FB">
        <w:rPr>
          <w:sz w:val="22"/>
          <w:szCs w:val="22"/>
        </w:rPr>
        <w:t>1</w:t>
      </w:r>
      <w:r w:rsidR="007623F0" w:rsidRPr="00391EEE">
        <w:rPr>
          <w:bCs/>
          <w:sz w:val="32"/>
        </w:rPr>
        <w:br w:type="page"/>
      </w:r>
    </w:p>
    <w:p w14:paraId="4EFEF284" w14:textId="3259BF02" w:rsidR="00D75F30" w:rsidRPr="00D75F30" w:rsidRDefault="00D75F30" w:rsidP="00D75F30">
      <w:pPr>
        <w:jc w:val="center"/>
        <w:rPr>
          <w:b/>
          <w:bCs/>
          <w:sz w:val="22"/>
          <w:szCs w:val="22"/>
        </w:rPr>
      </w:pPr>
      <w:r w:rsidRPr="00D75F30">
        <w:rPr>
          <w:b/>
          <w:bCs/>
          <w:sz w:val="22"/>
          <w:szCs w:val="22"/>
        </w:rPr>
        <w:t>DIRECTORS’ REPORT</w:t>
      </w:r>
    </w:p>
    <w:p w14:paraId="1C234C83" w14:textId="77777777" w:rsidR="00D75F30" w:rsidRDefault="00D75F30" w:rsidP="003D7ABE">
      <w:pPr>
        <w:jc w:val="both"/>
        <w:rPr>
          <w:sz w:val="22"/>
          <w:szCs w:val="22"/>
        </w:rPr>
      </w:pPr>
    </w:p>
    <w:p w14:paraId="2C8F7D8F" w14:textId="6B03DE4C" w:rsidR="003D7ABE" w:rsidRPr="003D7ABE" w:rsidRDefault="003D7ABE" w:rsidP="003D7ABE">
      <w:pPr>
        <w:jc w:val="both"/>
        <w:rPr>
          <w:sz w:val="22"/>
          <w:szCs w:val="22"/>
        </w:rPr>
      </w:pPr>
      <w:r w:rsidRPr="003D7ABE">
        <w:rPr>
          <w:sz w:val="22"/>
          <w:szCs w:val="22"/>
        </w:rPr>
        <w:t xml:space="preserve">The </w:t>
      </w:r>
      <w:r w:rsidR="00C16588">
        <w:rPr>
          <w:sz w:val="22"/>
          <w:szCs w:val="22"/>
        </w:rPr>
        <w:t>D</w:t>
      </w:r>
      <w:r w:rsidRPr="003D7ABE">
        <w:rPr>
          <w:sz w:val="22"/>
          <w:szCs w:val="22"/>
        </w:rPr>
        <w:t xml:space="preserve">irectors are pleased to submit their </w:t>
      </w:r>
      <w:r w:rsidR="008173E0">
        <w:rPr>
          <w:sz w:val="22"/>
          <w:szCs w:val="22"/>
        </w:rPr>
        <w:t>Annual</w:t>
      </w:r>
      <w:r w:rsidRPr="003D7ABE">
        <w:rPr>
          <w:sz w:val="22"/>
          <w:szCs w:val="22"/>
        </w:rPr>
        <w:t xml:space="preserve"> Report and audited financial statements for MetalNRG</w:t>
      </w:r>
      <w:r w:rsidR="003C18F5">
        <w:rPr>
          <w:sz w:val="22"/>
          <w:szCs w:val="22"/>
        </w:rPr>
        <w:t xml:space="preserve"> plc</w:t>
      </w:r>
      <w:r w:rsidRPr="003D7ABE">
        <w:rPr>
          <w:sz w:val="22"/>
          <w:szCs w:val="22"/>
        </w:rPr>
        <w:t xml:space="preserve"> (the “Company” and collectively with its subsidiaries the “Group”) for the </w:t>
      </w:r>
      <w:r w:rsidR="008173E0">
        <w:rPr>
          <w:sz w:val="22"/>
          <w:szCs w:val="22"/>
        </w:rPr>
        <w:t xml:space="preserve">year </w:t>
      </w:r>
      <w:r w:rsidRPr="003D7ABE">
        <w:rPr>
          <w:sz w:val="22"/>
          <w:szCs w:val="22"/>
        </w:rPr>
        <w:t>ended 31 December 20</w:t>
      </w:r>
      <w:r w:rsidR="008173E0">
        <w:rPr>
          <w:sz w:val="22"/>
          <w:szCs w:val="22"/>
        </w:rPr>
        <w:t>20</w:t>
      </w:r>
      <w:r w:rsidRPr="003D7ABE">
        <w:rPr>
          <w:sz w:val="22"/>
          <w:szCs w:val="22"/>
        </w:rPr>
        <w:t>.</w:t>
      </w:r>
    </w:p>
    <w:p w14:paraId="69875BF7" w14:textId="77777777" w:rsidR="003D7ABE" w:rsidRDefault="003D7ABE" w:rsidP="003D7ABE">
      <w:pPr>
        <w:jc w:val="both"/>
        <w:rPr>
          <w:sz w:val="22"/>
          <w:szCs w:val="22"/>
        </w:rPr>
      </w:pPr>
    </w:p>
    <w:p w14:paraId="17D0948B" w14:textId="4532E25F" w:rsidR="003D7ABE" w:rsidRPr="003D7ABE" w:rsidRDefault="003D7ABE" w:rsidP="003D7ABE">
      <w:pPr>
        <w:jc w:val="both"/>
        <w:rPr>
          <w:sz w:val="22"/>
          <w:szCs w:val="22"/>
        </w:rPr>
      </w:pPr>
      <w:r w:rsidRPr="003D7ABE">
        <w:rPr>
          <w:sz w:val="22"/>
          <w:szCs w:val="22"/>
        </w:rPr>
        <w:t xml:space="preserve">The Strategic Report set out </w:t>
      </w:r>
      <w:r w:rsidRPr="00566450">
        <w:rPr>
          <w:sz w:val="22"/>
          <w:szCs w:val="22"/>
        </w:rPr>
        <w:t xml:space="preserve">on </w:t>
      </w:r>
      <w:r w:rsidRPr="00A128AC">
        <w:rPr>
          <w:sz w:val="22"/>
          <w:szCs w:val="22"/>
        </w:rPr>
        <w:t xml:space="preserve">pages </w:t>
      </w:r>
      <w:r w:rsidR="00B8431F" w:rsidRPr="00A128AC">
        <w:rPr>
          <w:sz w:val="22"/>
          <w:szCs w:val="22"/>
        </w:rPr>
        <w:t>4</w:t>
      </w:r>
      <w:r w:rsidRPr="00A128AC">
        <w:rPr>
          <w:sz w:val="22"/>
          <w:szCs w:val="22"/>
        </w:rPr>
        <w:t xml:space="preserve"> to </w:t>
      </w:r>
      <w:r w:rsidR="00857EDF">
        <w:rPr>
          <w:sz w:val="22"/>
          <w:szCs w:val="22"/>
        </w:rPr>
        <w:t>7</w:t>
      </w:r>
      <w:r w:rsidRPr="00A128AC">
        <w:rPr>
          <w:sz w:val="22"/>
          <w:szCs w:val="22"/>
        </w:rPr>
        <w:t xml:space="preserve"> contains</w:t>
      </w:r>
      <w:r w:rsidRPr="003D7ABE">
        <w:rPr>
          <w:sz w:val="22"/>
          <w:szCs w:val="22"/>
        </w:rPr>
        <w:t xml:space="preserve"> details of the Group’s principal activities and includes an Operational Review which provides detailed information on the development of the Group’s businesses during the </w:t>
      </w:r>
      <w:r w:rsidR="008173E0">
        <w:rPr>
          <w:sz w:val="22"/>
          <w:szCs w:val="22"/>
        </w:rPr>
        <w:t>year</w:t>
      </w:r>
      <w:r w:rsidRPr="003D7ABE">
        <w:rPr>
          <w:sz w:val="22"/>
          <w:szCs w:val="22"/>
        </w:rPr>
        <w:t xml:space="preserve"> and which provided indications of likely future developments and events that have occurred after the Balance Sheet date. The Strategic Report also contains details </w:t>
      </w:r>
      <w:r w:rsidR="00547C36">
        <w:rPr>
          <w:sz w:val="22"/>
          <w:szCs w:val="22"/>
        </w:rPr>
        <w:t>of</w:t>
      </w:r>
      <w:r w:rsidR="005353EA">
        <w:rPr>
          <w:sz w:val="22"/>
          <w:szCs w:val="22"/>
        </w:rPr>
        <w:t xml:space="preserve"> </w:t>
      </w:r>
      <w:r w:rsidR="005353EA" w:rsidRPr="003D7ABE">
        <w:rPr>
          <w:sz w:val="22"/>
          <w:szCs w:val="22"/>
        </w:rPr>
        <w:t>Risks and Uncertainties</w:t>
      </w:r>
      <w:r w:rsidR="005353EA">
        <w:rPr>
          <w:sz w:val="22"/>
          <w:szCs w:val="22"/>
        </w:rPr>
        <w:t>,</w:t>
      </w:r>
      <w:r w:rsidR="005353EA" w:rsidRPr="003D7ABE">
        <w:rPr>
          <w:sz w:val="22"/>
          <w:szCs w:val="22"/>
        </w:rPr>
        <w:t xml:space="preserve"> set out </w:t>
      </w:r>
      <w:r w:rsidR="003C18F5" w:rsidRPr="003D7ABE">
        <w:rPr>
          <w:sz w:val="22"/>
          <w:szCs w:val="22"/>
        </w:rPr>
        <w:t xml:space="preserve">on </w:t>
      </w:r>
      <w:r w:rsidR="003C18F5" w:rsidRPr="00A128AC">
        <w:rPr>
          <w:sz w:val="22"/>
          <w:szCs w:val="22"/>
        </w:rPr>
        <w:t xml:space="preserve">pages </w:t>
      </w:r>
      <w:r w:rsidR="00B8431F" w:rsidRPr="00A128AC">
        <w:rPr>
          <w:sz w:val="22"/>
          <w:szCs w:val="22"/>
        </w:rPr>
        <w:t>5</w:t>
      </w:r>
      <w:r w:rsidR="003C18F5" w:rsidRPr="00A128AC">
        <w:rPr>
          <w:sz w:val="22"/>
          <w:szCs w:val="22"/>
        </w:rPr>
        <w:t xml:space="preserve"> to </w:t>
      </w:r>
      <w:r w:rsidR="00B8431F" w:rsidRPr="00A128AC">
        <w:rPr>
          <w:sz w:val="22"/>
          <w:szCs w:val="22"/>
        </w:rPr>
        <w:t>6</w:t>
      </w:r>
      <w:r w:rsidR="005353EA" w:rsidRPr="00566450">
        <w:rPr>
          <w:sz w:val="22"/>
          <w:szCs w:val="22"/>
        </w:rPr>
        <w:t xml:space="preserve">, </w:t>
      </w:r>
      <w:r w:rsidRPr="00566450">
        <w:rPr>
          <w:sz w:val="22"/>
          <w:szCs w:val="22"/>
        </w:rPr>
        <w:t>of the Group’s exposure to risks and uncertainties</w:t>
      </w:r>
      <w:r w:rsidR="003C18F5" w:rsidRPr="00566450">
        <w:rPr>
          <w:sz w:val="22"/>
          <w:szCs w:val="22"/>
        </w:rPr>
        <w:t xml:space="preserve"> and </w:t>
      </w:r>
      <w:r w:rsidRPr="00566450">
        <w:rPr>
          <w:sz w:val="22"/>
          <w:szCs w:val="22"/>
        </w:rPr>
        <w:t>the Company’s risk management</w:t>
      </w:r>
      <w:r w:rsidR="003C18F5" w:rsidRPr="00566450">
        <w:rPr>
          <w:sz w:val="22"/>
          <w:szCs w:val="22"/>
        </w:rPr>
        <w:t>.</w:t>
      </w:r>
      <w:r w:rsidRPr="003D7ABE">
        <w:rPr>
          <w:sz w:val="22"/>
          <w:szCs w:val="22"/>
        </w:rPr>
        <w:t xml:space="preserve"> </w:t>
      </w:r>
    </w:p>
    <w:p w14:paraId="1585A08B" w14:textId="77777777" w:rsidR="003D7ABE" w:rsidRDefault="003D7ABE" w:rsidP="003D7ABE">
      <w:pPr>
        <w:jc w:val="both"/>
        <w:rPr>
          <w:sz w:val="22"/>
          <w:szCs w:val="22"/>
        </w:rPr>
      </w:pPr>
    </w:p>
    <w:p w14:paraId="37DF57D0" w14:textId="301169E4" w:rsidR="003D7ABE" w:rsidRPr="003D7ABE" w:rsidRDefault="003D7ABE" w:rsidP="003D7ABE">
      <w:pPr>
        <w:jc w:val="both"/>
        <w:rPr>
          <w:sz w:val="22"/>
          <w:szCs w:val="22"/>
        </w:rPr>
      </w:pPr>
      <w:r w:rsidRPr="003D7ABE">
        <w:rPr>
          <w:sz w:val="22"/>
          <w:szCs w:val="22"/>
        </w:rPr>
        <w:t xml:space="preserve">This Directors’ Report includes the information required to be included under the Companies Act </w:t>
      </w:r>
      <w:r w:rsidR="00B84636">
        <w:rPr>
          <w:sz w:val="22"/>
          <w:szCs w:val="22"/>
        </w:rPr>
        <w:t xml:space="preserve">2006 </w:t>
      </w:r>
      <w:r w:rsidRPr="003D7ABE">
        <w:rPr>
          <w:sz w:val="22"/>
          <w:szCs w:val="22"/>
        </w:rPr>
        <w:t xml:space="preserve">or, where provided elsewhere, an appropriate cross-reference is given. The Corporate Governance Statement, approved by the Board, is provided </w:t>
      </w:r>
      <w:r w:rsidRPr="00566450">
        <w:rPr>
          <w:sz w:val="22"/>
          <w:szCs w:val="22"/>
        </w:rPr>
        <w:t xml:space="preserve">on </w:t>
      </w:r>
      <w:r w:rsidRPr="00A128AC">
        <w:rPr>
          <w:sz w:val="22"/>
          <w:szCs w:val="22"/>
        </w:rPr>
        <w:t xml:space="preserve">pages </w:t>
      </w:r>
      <w:r w:rsidR="00B8431F" w:rsidRPr="00A128AC">
        <w:rPr>
          <w:sz w:val="22"/>
          <w:szCs w:val="22"/>
        </w:rPr>
        <w:t>1</w:t>
      </w:r>
      <w:r w:rsidR="007752DC">
        <w:rPr>
          <w:sz w:val="22"/>
          <w:szCs w:val="22"/>
        </w:rPr>
        <w:t>4</w:t>
      </w:r>
      <w:r w:rsidRPr="00A128AC">
        <w:rPr>
          <w:sz w:val="22"/>
          <w:szCs w:val="22"/>
        </w:rPr>
        <w:t xml:space="preserve"> to </w:t>
      </w:r>
      <w:r w:rsidR="00B8431F" w:rsidRPr="00A128AC">
        <w:rPr>
          <w:sz w:val="22"/>
          <w:szCs w:val="22"/>
        </w:rPr>
        <w:t>1</w:t>
      </w:r>
      <w:r w:rsidR="007752DC">
        <w:rPr>
          <w:sz w:val="22"/>
          <w:szCs w:val="22"/>
        </w:rPr>
        <w:t>8</w:t>
      </w:r>
      <w:r w:rsidRPr="00A128AC">
        <w:rPr>
          <w:sz w:val="22"/>
          <w:szCs w:val="22"/>
        </w:rPr>
        <w:t xml:space="preserve"> and</w:t>
      </w:r>
      <w:r w:rsidRPr="003D7ABE">
        <w:rPr>
          <w:sz w:val="22"/>
          <w:szCs w:val="22"/>
        </w:rPr>
        <w:t xml:space="preserve"> is incorporated by reference herein.</w:t>
      </w:r>
    </w:p>
    <w:p w14:paraId="79B75A07" w14:textId="5A3C7DC4" w:rsidR="007623F0" w:rsidRDefault="007623F0">
      <w:pPr>
        <w:jc w:val="both"/>
        <w:rPr>
          <w:sz w:val="22"/>
          <w:szCs w:val="22"/>
        </w:rPr>
      </w:pPr>
    </w:p>
    <w:p w14:paraId="773E95F3" w14:textId="2B5E70CF" w:rsidR="003D7ABE" w:rsidRDefault="003D7ABE" w:rsidP="003D7ABE">
      <w:pPr>
        <w:jc w:val="both"/>
        <w:rPr>
          <w:b/>
          <w:sz w:val="22"/>
          <w:szCs w:val="22"/>
        </w:rPr>
      </w:pPr>
      <w:r w:rsidRPr="003D7ABE">
        <w:rPr>
          <w:b/>
          <w:sz w:val="22"/>
          <w:szCs w:val="22"/>
        </w:rPr>
        <w:t>G</w:t>
      </w:r>
      <w:r>
        <w:rPr>
          <w:b/>
          <w:sz w:val="22"/>
          <w:szCs w:val="22"/>
        </w:rPr>
        <w:t>OING CONCERN</w:t>
      </w:r>
    </w:p>
    <w:p w14:paraId="611A7EC7" w14:textId="77777777" w:rsidR="003D7ABE" w:rsidRDefault="003D7ABE" w:rsidP="003D7ABE">
      <w:pPr>
        <w:jc w:val="both"/>
        <w:rPr>
          <w:rFonts w:ascii="Arial" w:hAnsi="Arial" w:cs="Arial"/>
          <w:bCs/>
        </w:rPr>
      </w:pPr>
    </w:p>
    <w:p w14:paraId="58C83211" w14:textId="11179514" w:rsidR="003D7ABE" w:rsidRPr="003D7ABE" w:rsidRDefault="003D7ABE" w:rsidP="003D7ABE">
      <w:pPr>
        <w:jc w:val="both"/>
        <w:rPr>
          <w:sz w:val="22"/>
          <w:szCs w:val="22"/>
        </w:rPr>
      </w:pPr>
      <w:r w:rsidRPr="003D7ABE">
        <w:rPr>
          <w:sz w:val="22"/>
          <w:szCs w:val="22"/>
        </w:rPr>
        <w:t xml:space="preserve">In common with many other </w:t>
      </w:r>
      <w:r w:rsidR="006C06D7" w:rsidRPr="00900D8F">
        <w:rPr>
          <w:sz w:val="22"/>
          <w:szCs w:val="22"/>
        </w:rPr>
        <w:t xml:space="preserve">mineral </w:t>
      </w:r>
      <w:r w:rsidRPr="003D7ABE">
        <w:rPr>
          <w:sz w:val="22"/>
          <w:szCs w:val="22"/>
        </w:rPr>
        <w:t>exploration companies, the Company raises finance for its exploration and appraisal activities in tranches as and when required. When any of the Group’s projects move to the development stage specific project financing is required.</w:t>
      </w:r>
    </w:p>
    <w:p w14:paraId="00EB596F" w14:textId="77777777" w:rsidR="003D7ABE" w:rsidRDefault="003D7ABE" w:rsidP="003D7ABE">
      <w:pPr>
        <w:jc w:val="both"/>
        <w:rPr>
          <w:sz w:val="22"/>
          <w:szCs w:val="22"/>
        </w:rPr>
      </w:pPr>
    </w:p>
    <w:p w14:paraId="1335ADB1" w14:textId="1136B75A" w:rsidR="003D7ABE" w:rsidRPr="003D7ABE" w:rsidRDefault="003D7ABE" w:rsidP="003D7ABE">
      <w:pPr>
        <w:jc w:val="both"/>
        <w:rPr>
          <w:sz w:val="22"/>
          <w:szCs w:val="22"/>
        </w:rPr>
      </w:pPr>
      <w:r w:rsidRPr="003D7ABE">
        <w:rPr>
          <w:sz w:val="22"/>
          <w:szCs w:val="22"/>
        </w:rPr>
        <w:t xml:space="preserve">The </w:t>
      </w:r>
      <w:r w:rsidR="00C16588">
        <w:rPr>
          <w:sz w:val="22"/>
          <w:szCs w:val="22"/>
        </w:rPr>
        <w:t>D</w:t>
      </w:r>
      <w:r w:rsidRPr="003D7ABE">
        <w:rPr>
          <w:sz w:val="22"/>
          <w:szCs w:val="22"/>
        </w:rPr>
        <w:t xml:space="preserve">irectors prepare budgets that extend beyond the period </w:t>
      </w:r>
      <w:r w:rsidRPr="00900D8F">
        <w:rPr>
          <w:sz w:val="22"/>
          <w:szCs w:val="22"/>
        </w:rPr>
        <w:t>of 18</w:t>
      </w:r>
      <w:r w:rsidR="00900D8F" w:rsidRPr="00900D8F">
        <w:rPr>
          <w:sz w:val="22"/>
          <w:szCs w:val="22"/>
        </w:rPr>
        <w:t xml:space="preserve"> months</w:t>
      </w:r>
      <w:r w:rsidRPr="00900D8F">
        <w:rPr>
          <w:sz w:val="22"/>
          <w:szCs w:val="22"/>
        </w:rPr>
        <w:t xml:space="preserve"> from the</w:t>
      </w:r>
      <w:r w:rsidRPr="003D7ABE">
        <w:rPr>
          <w:sz w:val="22"/>
          <w:szCs w:val="22"/>
        </w:rPr>
        <w:t xml:space="preserve"> date of this Directors’ Report.  Taking into account the Company’s cash resources at the </w:t>
      </w:r>
      <w:r w:rsidR="003C18F5">
        <w:rPr>
          <w:sz w:val="22"/>
          <w:szCs w:val="22"/>
        </w:rPr>
        <w:t>period</w:t>
      </w:r>
      <w:r w:rsidRPr="003D7ABE">
        <w:rPr>
          <w:sz w:val="22"/>
          <w:szCs w:val="22"/>
        </w:rPr>
        <w:t xml:space="preserve">-end, these projections include the proceeds of further fund-raisings that may be required within the next 12 months to meet the Group’s overheads and planned project expenditure and maintain the Company and its subsidiaries as going concerns.  Although the Company has been successful in raising funding in the past, there is no guarantee that it will be able to raise sufficient funding in the future. This represents a material uncertainty related to events or conditions which may cast significant doubt on the Company’s and the Group’s ability to continue as going concerns and accordingly the Company and the Group may be unable to realise their assets and discharge their liabilities in the normal course of business.  Nevertheless, the directors are confident that that they will be able to secure additional funding when required to meet further exploration costs for the foreseeable future as well as its corporate overheads and the directors therefore believe that the going concern basis is appropriate for the preparation of the Group’s financial statements. </w:t>
      </w:r>
    </w:p>
    <w:p w14:paraId="5DB1B9A5" w14:textId="01F86AEB" w:rsidR="003D7ABE" w:rsidRDefault="003D7ABE">
      <w:pPr>
        <w:jc w:val="both"/>
        <w:rPr>
          <w:sz w:val="22"/>
          <w:szCs w:val="22"/>
        </w:rPr>
      </w:pPr>
    </w:p>
    <w:p w14:paraId="1EA1C966" w14:textId="227C2376" w:rsidR="003D7ABE" w:rsidRPr="003D7ABE" w:rsidRDefault="003D7ABE" w:rsidP="003D7ABE">
      <w:pPr>
        <w:jc w:val="both"/>
        <w:rPr>
          <w:b/>
          <w:sz w:val="22"/>
          <w:szCs w:val="22"/>
        </w:rPr>
      </w:pPr>
      <w:r w:rsidRPr="003D7ABE">
        <w:rPr>
          <w:b/>
          <w:sz w:val="22"/>
          <w:szCs w:val="22"/>
        </w:rPr>
        <w:t xml:space="preserve">RISKS AND </w:t>
      </w:r>
      <w:r>
        <w:rPr>
          <w:b/>
          <w:sz w:val="22"/>
          <w:szCs w:val="22"/>
        </w:rPr>
        <w:t>UNCERTAINTIES AND FINANCIAL INSTRUMENTS</w:t>
      </w:r>
      <w:r w:rsidRPr="003D7ABE">
        <w:rPr>
          <w:b/>
          <w:sz w:val="22"/>
          <w:szCs w:val="22"/>
        </w:rPr>
        <w:t xml:space="preserve"> </w:t>
      </w:r>
    </w:p>
    <w:p w14:paraId="3B7D5C6B" w14:textId="77777777" w:rsidR="003D7ABE" w:rsidRDefault="003D7ABE" w:rsidP="003D7ABE">
      <w:pPr>
        <w:jc w:val="both"/>
        <w:rPr>
          <w:sz w:val="22"/>
          <w:szCs w:val="22"/>
        </w:rPr>
      </w:pPr>
    </w:p>
    <w:p w14:paraId="3FB8189C" w14:textId="1CF07236" w:rsidR="003D7ABE" w:rsidRPr="003D7ABE" w:rsidRDefault="003D7ABE" w:rsidP="003D7ABE">
      <w:pPr>
        <w:jc w:val="both"/>
        <w:rPr>
          <w:sz w:val="22"/>
          <w:szCs w:val="22"/>
        </w:rPr>
      </w:pPr>
      <w:r w:rsidRPr="003D7ABE">
        <w:rPr>
          <w:sz w:val="22"/>
          <w:szCs w:val="22"/>
        </w:rPr>
        <w:t xml:space="preserve">The business of mineral exploration, evaluation and development has inherent risks. The Company’s exposure to risks is explained in </w:t>
      </w:r>
      <w:bookmarkStart w:id="0" w:name="_Hlk31900606"/>
      <w:r w:rsidRPr="003D7ABE">
        <w:rPr>
          <w:sz w:val="22"/>
          <w:szCs w:val="22"/>
        </w:rPr>
        <w:t xml:space="preserve">Risks and Uncertainties in the Strategic Report set out </w:t>
      </w:r>
      <w:r w:rsidRPr="00566450">
        <w:rPr>
          <w:sz w:val="22"/>
          <w:szCs w:val="22"/>
        </w:rPr>
        <w:t xml:space="preserve">on </w:t>
      </w:r>
      <w:r w:rsidRPr="00A128AC">
        <w:rPr>
          <w:sz w:val="22"/>
          <w:szCs w:val="22"/>
        </w:rPr>
        <w:t xml:space="preserve">pages </w:t>
      </w:r>
      <w:r w:rsidR="004226EA" w:rsidRPr="00A128AC">
        <w:rPr>
          <w:sz w:val="22"/>
          <w:szCs w:val="22"/>
        </w:rPr>
        <w:t>5</w:t>
      </w:r>
      <w:r w:rsidRPr="00A128AC">
        <w:rPr>
          <w:sz w:val="22"/>
          <w:szCs w:val="22"/>
        </w:rPr>
        <w:t xml:space="preserve"> to </w:t>
      </w:r>
      <w:r w:rsidR="004226EA" w:rsidRPr="00A128AC">
        <w:rPr>
          <w:sz w:val="22"/>
          <w:szCs w:val="22"/>
        </w:rPr>
        <w:t>6</w:t>
      </w:r>
      <w:r w:rsidRPr="00566450">
        <w:rPr>
          <w:sz w:val="22"/>
          <w:szCs w:val="22"/>
        </w:rPr>
        <w:t xml:space="preserve"> </w:t>
      </w:r>
      <w:bookmarkEnd w:id="0"/>
      <w:r w:rsidRPr="00566450">
        <w:rPr>
          <w:sz w:val="22"/>
          <w:szCs w:val="22"/>
        </w:rPr>
        <w:t>together</w:t>
      </w:r>
      <w:r w:rsidRPr="003D7ABE">
        <w:rPr>
          <w:sz w:val="22"/>
          <w:szCs w:val="22"/>
        </w:rPr>
        <w:t xml:space="preserve"> with the policies of the Board for the review and management of those risks</w:t>
      </w:r>
      <w:r>
        <w:rPr>
          <w:sz w:val="22"/>
          <w:szCs w:val="22"/>
        </w:rPr>
        <w:t>.</w:t>
      </w:r>
    </w:p>
    <w:p w14:paraId="5388BA2B" w14:textId="77777777" w:rsidR="003D7ABE" w:rsidRDefault="003D7ABE" w:rsidP="003D7ABE">
      <w:pPr>
        <w:jc w:val="both"/>
        <w:rPr>
          <w:sz w:val="22"/>
          <w:szCs w:val="22"/>
        </w:rPr>
      </w:pPr>
    </w:p>
    <w:p w14:paraId="70E001B5" w14:textId="4A9B167C" w:rsidR="003D7ABE" w:rsidRPr="003D7ABE" w:rsidRDefault="003D7ABE" w:rsidP="003D7ABE">
      <w:pPr>
        <w:jc w:val="both"/>
        <w:rPr>
          <w:b/>
          <w:sz w:val="22"/>
          <w:szCs w:val="22"/>
        </w:rPr>
      </w:pPr>
      <w:r>
        <w:rPr>
          <w:b/>
          <w:sz w:val="22"/>
          <w:szCs w:val="22"/>
        </w:rPr>
        <w:t>THE GROUP’S PERFORMA</w:t>
      </w:r>
      <w:r w:rsidR="00BF56B7">
        <w:rPr>
          <w:b/>
          <w:sz w:val="22"/>
          <w:szCs w:val="22"/>
        </w:rPr>
        <w:t>N</w:t>
      </w:r>
      <w:r>
        <w:rPr>
          <w:b/>
          <w:sz w:val="22"/>
          <w:szCs w:val="22"/>
        </w:rPr>
        <w:t>CE AND FUTURE DEVELOPMENTS</w:t>
      </w:r>
      <w:r w:rsidRPr="003D7ABE">
        <w:rPr>
          <w:b/>
          <w:sz w:val="22"/>
          <w:szCs w:val="22"/>
        </w:rPr>
        <w:t xml:space="preserve"> </w:t>
      </w:r>
    </w:p>
    <w:p w14:paraId="1BD4EAB5" w14:textId="77777777" w:rsidR="003D7ABE" w:rsidRDefault="003D7ABE" w:rsidP="003D7ABE">
      <w:pPr>
        <w:tabs>
          <w:tab w:val="left" w:pos="426"/>
        </w:tabs>
        <w:jc w:val="both"/>
        <w:rPr>
          <w:rFonts w:ascii="Arial" w:hAnsi="Arial" w:cs="Arial"/>
        </w:rPr>
      </w:pPr>
    </w:p>
    <w:p w14:paraId="5CAE6461" w14:textId="2BFA3950" w:rsidR="003D7ABE" w:rsidRPr="003D7ABE" w:rsidRDefault="003D7ABE" w:rsidP="003D7ABE">
      <w:pPr>
        <w:jc w:val="both"/>
        <w:rPr>
          <w:sz w:val="22"/>
          <w:szCs w:val="22"/>
        </w:rPr>
      </w:pPr>
      <w:r w:rsidRPr="003D7ABE">
        <w:rPr>
          <w:sz w:val="22"/>
          <w:szCs w:val="22"/>
        </w:rPr>
        <w:t xml:space="preserve">A review of the Company’s projects and their performance during the financial period and details of future developments and an indication of the outlook for the future, </w:t>
      </w:r>
      <w:r w:rsidR="005353EA">
        <w:rPr>
          <w:sz w:val="22"/>
          <w:szCs w:val="22"/>
        </w:rPr>
        <w:t>are</w:t>
      </w:r>
      <w:r w:rsidRPr="003D7ABE">
        <w:rPr>
          <w:sz w:val="22"/>
          <w:szCs w:val="22"/>
        </w:rPr>
        <w:t xml:space="preserve"> contained in the Strategic Report </w:t>
      </w:r>
      <w:r w:rsidRPr="00566450">
        <w:rPr>
          <w:sz w:val="22"/>
          <w:szCs w:val="22"/>
        </w:rPr>
        <w:t xml:space="preserve">on </w:t>
      </w:r>
      <w:r w:rsidRPr="00A128AC">
        <w:rPr>
          <w:sz w:val="22"/>
          <w:szCs w:val="22"/>
        </w:rPr>
        <w:t xml:space="preserve">pages </w:t>
      </w:r>
      <w:r w:rsidR="00CC1B34" w:rsidRPr="00A128AC">
        <w:rPr>
          <w:sz w:val="22"/>
          <w:szCs w:val="22"/>
        </w:rPr>
        <w:t>4</w:t>
      </w:r>
      <w:r w:rsidRPr="00A128AC">
        <w:rPr>
          <w:sz w:val="22"/>
          <w:szCs w:val="22"/>
        </w:rPr>
        <w:t xml:space="preserve"> to </w:t>
      </w:r>
      <w:r w:rsidR="00A24082">
        <w:rPr>
          <w:sz w:val="22"/>
          <w:szCs w:val="22"/>
        </w:rPr>
        <w:t>7</w:t>
      </w:r>
      <w:r w:rsidRPr="00A128AC">
        <w:rPr>
          <w:sz w:val="22"/>
          <w:szCs w:val="22"/>
        </w:rPr>
        <w:t>.</w:t>
      </w:r>
    </w:p>
    <w:p w14:paraId="322A5F96" w14:textId="1C3E840A" w:rsidR="003D7ABE" w:rsidRDefault="003D7ABE">
      <w:pPr>
        <w:jc w:val="both"/>
        <w:rPr>
          <w:sz w:val="22"/>
          <w:szCs w:val="22"/>
        </w:rPr>
      </w:pPr>
    </w:p>
    <w:p w14:paraId="5FD01B3E" w14:textId="1477B4F9" w:rsidR="003D7ABE" w:rsidRPr="003D7ABE" w:rsidRDefault="003D7ABE" w:rsidP="003D7ABE">
      <w:pPr>
        <w:jc w:val="both"/>
        <w:rPr>
          <w:sz w:val="22"/>
          <w:szCs w:val="22"/>
        </w:rPr>
      </w:pPr>
      <w:r w:rsidRPr="003D7ABE">
        <w:rPr>
          <w:sz w:val="22"/>
          <w:szCs w:val="22"/>
        </w:rPr>
        <w:t xml:space="preserve">The Board will continue with its strategic plans to generate growth in value for shareholders in line with its business model which is explained in the Strategic Report on </w:t>
      </w:r>
      <w:r w:rsidRPr="00A128AC">
        <w:rPr>
          <w:sz w:val="22"/>
          <w:szCs w:val="22"/>
        </w:rPr>
        <w:t xml:space="preserve">pages </w:t>
      </w:r>
      <w:r w:rsidR="00CC1B34" w:rsidRPr="00A128AC">
        <w:rPr>
          <w:sz w:val="22"/>
          <w:szCs w:val="22"/>
        </w:rPr>
        <w:t>4</w:t>
      </w:r>
      <w:r w:rsidRPr="00A128AC">
        <w:rPr>
          <w:sz w:val="22"/>
          <w:szCs w:val="22"/>
        </w:rPr>
        <w:t xml:space="preserve"> to </w:t>
      </w:r>
      <w:r w:rsidR="00A24082">
        <w:rPr>
          <w:sz w:val="22"/>
          <w:szCs w:val="22"/>
        </w:rPr>
        <w:t>7</w:t>
      </w:r>
      <w:r w:rsidRPr="00A128AC">
        <w:rPr>
          <w:sz w:val="22"/>
          <w:szCs w:val="22"/>
        </w:rPr>
        <w:t>.</w:t>
      </w:r>
      <w:r w:rsidRPr="003D7ABE">
        <w:rPr>
          <w:sz w:val="22"/>
          <w:szCs w:val="22"/>
        </w:rPr>
        <w:t xml:space="preserve"> </w:t>
      </w:r>
    </w:p>
    <w:p w14:paraId="255C4502" w14:textId="77777777" w:rsidR="003D7ABE" w:rsidRPr="00A8640A" w:rsidRDefault="003D7ABE">
      <w:pPr>
        <w:jc w:val="both"/>
        <w:rPr>
          <w:sz w:val="22"/>
          <w:szCs w:val="22"/>
        </w:rPr>
      </w:pPr>
    </w:p>
    <w:p w14:paraId="314567DF" w14:textId="6F8ED68F" w:rsidR="003D7ABE" w:rsidRPr="003D7ABE" w:rsidRDefault="003D7ABE" w:rsidP="003D7ABE">
      <w:pPr>
        <w:jc w:val="both"/>
        <w:rPr>
          <w:b/>
          <w:sz w:val="22"/>
          <w:szCs w:val="22"/>
        </w:rPr>
      </w:pPr>
      <w:r w:rsidRPr="003D7ABE">
        <w:rPr>
          <w:b/>
          <w:sz w:val="22"/>
          <w:szCs w:val="22"/>
        </w:rPr>
        <w:t>DIRECTORS</w:t>
      </w:r>
    </w:p>
    <w:p w14:paraId="2B9B9AE8" w14:textId="77777777" w:rsidR="003D7ABE" w:rsidRDefault="003D7ABE" w:rsidP="003D7ABE">
      <w:pPr>
        <w:jc w:val="both"/>
        <w:rPr>
          <w:sz w:val="22"/>
          <w:szCs w:val="22"/>
        </w:rPr>
      </w:pPr>
    </w:p>
    <w:p w14:paraId="4EAE916E" w14:textId="335A55D5" w:rsidR="003D7ABE" w:rsidRPr="003D7ABE" w:rsidRDefault="003D7ABE" w:rsidP="003D7ABE">
      <w:pPr>
        <w:jc w:val="both"/>
        <w:rPr>
          <w:sz w:val="22"/>
          <w:szCs w:val="22"/>
        </w:rPr>
      </w:pPr>
      <w:r w:rsidRPr="003D7ABE">
        <w:rPr>
          <w:sz w:val="22"/>
          <w:szCs w:val="22"/>
        </w:rPr>
        <w:t>The directors of the Company during the period were:</w:t>
      </w:r>
    </w:p>
    <w:p w14:paraId="358E68E1" w14:textId="77777777" w:rsidR="003D7ABE" w:rsidRDefault="003D7ABE" w:rsidP="003D7ABE">
      <w:pPr>
        <w:jc w:val="both"/>
        <w:rPr>
          <w:sz w:val="22"/>
          <w:szCs w:val="22"/>
        </w:rPr>
      </w:pPr>
    </w:p>
    <w:p w14:paraId="1A0E0460" w14:textId="7EC16B70" w:rsidR="003D7ABE" w:rsidRPr="003D7ABE" w:rsidRDefault="003D7ABE" w:rsidP="003D7ABE">
      <w:pPr>
        <w:jc w:val="both"/>
        <w:rPr>
          <w:sz w:val="22"/>
          <w:szCs w:val="22"/>
        </w:rPr>
      </w:pPr>
      <w:r w:rsidRPr="003D7ABE">
        <w:rPr>
          <w:sz w:val="22"/>
          <w:szCs w:val="22"/>
        </w:rPr>
        <w:t>Christopher Peter Latilla-Campbell – Non-</w:t>
      </w:r>
      <w:r w:rsidR="00335006">
        <w:rPr>
          <w:sz w:val="22"/>
          <w:szCs w:val="22"/>
        </w:rPr>
        <w:t>E</w:t>
      </w:r>
      <w:r w:rsidRPr="003D7ABE">
        <w:rPr>
          <w:sz w:val="22"/>
          <w:szCs w:val="22"/>
        </w:rPr>
        <w:t>xecutive Chairman of the Board and Chairman of the Audit Committee</w:t>
      </w:r>
    </w:p>
    <w:p w14:paraId="26CAA16E" w14:textId="77777777" w:rsidR="003D7ABE" w:rsidRPr="003D7ABE" w:rsidRDefault="003D7ABE" w:rsidP="003D7ABE">
      <w:pPr>
        <w:jc w:val="both"/>
        <w:rPr>
          <w:sz w:val="22"/>
          <w:szCs w:val="22"/>
        </w:rPr>
      </w:pPr>
      <w:r w:rsidRPr="003D7ABE">
        <w:rPr>
          <w:sz w:val="22"/>
          <w:szCs w:val="22"/>
        </w:rPr>
        <w:t>Rolf Ad Gerritsen – Chief Executive Officer</w:t>
      </w:r>
    </w:p>
    <w:p w14:paraId="469FC889" w14:textId="5F698BF4" w:rsidR="003D7ABE" w:rsidRPr="003D7ABE" w:rsidRDefault="003D7ABE" w:rsidP="003D7ABE">
      <w:pPr>
        <w:jc w:val="both"/>
        <w:rPr>
          <w:sz w:val="22"/>
          <w:szCs w:val="22"/>
        </w:rPr>
      </w:pPr>
      <w:r w:rsidRPr="003D7ABE">
        <w:rPr>
          <w:sz w:val="22"/>
          <w:szCs w:val="22"/>
        </w:rPr>
        <w:t xml:space="preserve">Pierpaolo Rocco – </w:t>
      </w:r>
      <w:r w:rsidR="00B208D4">
        <w:rPr>
          <w:sz w:val="22"/>
          <w:szCs w:val="22"/>
        </w:rPr>
        <w:t>E</w:t>
      </w:r>
      <w:r w:rsidRPr="003D7ABE">
        <w:rPr>
          <w:sz w:val="22"/>
          <w:szCs w:val="22"/>
        </w:rPr>
        <w:t xml:space="preserve">xecutive </w:t>
      </w:r>
      <w:r w:rsidR="00335006">
        <w:rPr>
          <w:sz w:val="22"/>
          <w:szCs w:val="22"/>
        </w:rPr>
        <w:t>D</w:t>
      </w:r>
      <w:r w:rsidRPr="003D7ABE">
        <w:rPr>
          <w:sz w:val="22"/>
          <w:szCs w:val="22"/>
        </w:rPr>
        <w:t xml:space="preserve">irector, Oil &amp; Gas </w:t>
      </w:r>
    </w:p>
    <w:p w14:paraId="7ADD05DC" w14:textId="3C9F9378" w:rsidR="003D7ABE" w:rsidRPr="003D7ABE" w:rsidRDefault="003D7ABE" w:rsidP="003D7ABE">
      <w:pPr>
        <w:jc w:val="both"/>
        <w:rPr>
          <w:sz w:val="22"/>
          <w:szCs w:val="22"/>
        </w:rPr>
      </w:pPr>
      <w:r w:rsidRPr="003D7ABE">
        <w:rPr>
          <w:sz w:val="22"/>
          <w:szCs w:val="22"/>
        </w:rPr>
        <w:t xml:space="preserve">Christian </w:t>
      </w:r>
      <w:proofErr w:type="spellStart"/>
      <w:r w:rsidRPr="003D7ABE">
        <w:rPr>
          <w:sz w:val="22"/>
          <w:szCs w:val="22"/>
        </w:rPr>
        <w:t>Schaffalitzky</w:t>
      </w:r>
      <w:proofErr w:type="spellEnd"/>
      <w:r w:rsidRPr="003D7ABE">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3D7ABE">
        <w:rPr>
          <w:sz w:val="22"/>
          <w:szCs w:val="22"/>
        </w:rPr>
        <w:t>– Non-</w:t>
      </w:r>
      <w:r w:rsidR="00335006">
        <w:rPr>
          <w:sz w:val="22"/>
          <w:szCs w:val="22"/>
        </w:rPr>
        <w:t>E</w:t>
      </w:r>
      <w:r w:rsidRPr="003D7ABE">
        <w:rPr>
          <w:sz w:val="22"/>
          <w:szCs w:val="22"/>
        </w:rPr>
        <w:t>xecutive director and Chairman of the Remuneration Committee</w:t>
      </w:r>
    </w:p>
    <w:p w14:paraId="0C36BDD0" w14:textId="4EA9BB40" w:rsidR="003D7ABE" w:rsidRPr="003D7ABE" w:rsidRDefault="003D7ABE" w:rsidP="003D7ABE">
      <w:pPr>
        <w:jc w:val="both"/>
        <w:rPr>
          <w:sz w:val="22"/>
          <w:szCs w:val="22"/>
        </w:rPr>
      </w:pPr>
    </w:p>
    <w:p w14:paraId="519716F2" w14:textId="6CF188D1" w:rsidR="003D7ABE" w:rsidRDefault="003D7ABE">
      <w:pPr>
        <w:jc w:val="both"/>
        <w:rPr>
          <w:sz w:val="22"/>
          <w:szCs w:val="22"/>
        </w:rPr>
      </w:pPr>
    </w:p>
    <w:p w14:paraId="0AFEC582" w14:textId="104DC00A" w:rsidR="00D75F30" w:rsidRPr="00D75F30" w:rsidRDefault="00D75F30" w:rsidP="00D75F30">
      <w:pPr>
        <w:pStyle w:val="Heading7"/>
        <w:jc w:val="center"/>
        <w:rPr>
          <w:sz w:val="22"/>
          <w:szCs w:val="22"/>
        </w:rPr>
      </w:pPr>
      <w:r>
        <w:rPr>
          <w:sz w:val="22"/>
          <w:szCs w:val="22"/>
        </w:rPr>
        <w:t>DIRECTORS’ REPORT</w:t>
      </w:r>
      <w:r w:rsidR="00CD4579">
        <w:rPr>
          <w:sz w:val="22"/>
          <w:szCs w:val="22"/>
        </w:rPr>
        <w:t xml:space="preserve"> (</w:t>
      </w:r>
      <w:r>
        <w:rPr>
          <w:sz w:val="22"/>
          <w:szCs w:val="22"/>
        </w:rPr>
        <w:t>continued</w:t>
      </w:r>
      <w:r w:rsidR="00CD4579">
        <w:rPr>
          <w:sz w:val="22"/>
          <w:szCs w:val="22"/>
        </w:rPr>
        <w:t>)</w:t>
      </w:r>
    </w:p>
    <w:p w14:paraId="322F8915" w14:textId="77777777" w:rsidR="00D75F30" w:rsidRDefault="00D75F30" w:rsidP="00264146">
      <w:pPr>
        <w:pStyle w:val="Heading7"/>
        <w:rPr>
          <w:sz w:val="22"/>
          <w:szCs w:val="22"/>
        </w:rPr>
      </w:pPr>
    </w:p>
    <w:p w14:paraId="445CF943" w14:textId="67DD5C6C" w:rsidR="00264146" w:rsidRPr="00264146" w:rsidRDefault="00264146" w:rsidP="00264146">
      <w:pPr>
        <w:pStyle w:val="Heading7"/>
        <w:rPr>
          <w:sz w:val="22"/>
          <w:szCs w:val="22"/>
        </w:rPr>
      </w:pPr>
      <w:r w:rsidRPr="00264146">
        <w:rPr>
          <w:sz w:val="22"/>
          <w:szCs w:val="22"/>
        </w:rPr>
        <w:t xml:space="preserve">ATTENDANCE AT BOARD AND COMMITTEE MEETINGS </w:t>
      </w:r>
    </w:p>
    <w:p w14:paraId="3D99921E" w14:textId="77777777" w:rsidR="00264146" w:rsidRDefault="00264146" w:rsidP="00264146">
      <w:pPr>
        <w:jc w:val="both"/>
        <w:rPr>
          <w:sz w:val="22"/>
          <w:szCs w:val="22"/>
        </w:rPr>
      </w:pPr>
    </w:p>
    <w:p w14:paraId="3DD35A01" w14:textId="2E5880B9" w:rsidR="00264146" w:rsidRPr="00264146" w:rsidRDefault="00264146" w:rsidP="00264146">
      <w:pPr>
        <w:jc w:val="both"/>
        <w:rPr>
          <w:sz w:val="22"/>
          <w:szCs w:val="22"/>
        </w:rPr>
      </w:pPr>
      <w:r w:rsidRPr="00264146">
        <w:rPr>
          <w:sz w:val="22"/>
          <w:szCs w:val="22"/>
        </w:rPr>
        <w:t xml:space="preserve">The Board retains control of the Group with day to day operational control delegated to Rolf Gerritsen, the Chief Executive Officer.  The full Board meets at </w:t>
      </w:r>
      <w:r w:rsidRPr="00622DCD">
        <w:rPr>
          <w:sz w:val="22"/>
          <w:szCs w:val="22"/>
        </w:rPr>
        <w:t xml:space="preserve">least 4 times a year and on other occasions when necessary. During the financial </w:t>
      </w:r>
      <w:r w:rsidR="000B3761" w:rsidRPr="00622DCD">
        <w:rPr>
          <w:sz w:val="22"/>
          <w:szCs w:val="22"/>
        </w:rPr>
        <w:t xml:space="preserve">year </w:t>
      </w:r>
      <w:r w:rsidR="005353EA" w:rsidRPr="00622DCD">
        <w:rPr>
          <w:sz w:val="22"/>
          <w:szCs w:val="22"/>
        </w:rPr>
        <w:t xml:space="preserve">under review </w:t>
      </w:r>
      <w:r w:rsidRPr="00622DCD">
        <w:rPr>
          <w:sz w:val="22"/>
          <w:szCs w:val="22"/>
        </w:rPr>
        <w:t xml:space="preserve">the directors held </w:t>
      </w:r>
      <w:r w:rsidR="00622DCD" w:rsidRPr="00622DCD">
        <w:rPr>
          <w:sz w:val="22"/>
          <w:szCs w:val="22"/>
        </w:rPr>
        <w:t>5</w:t>
      </w:r>
      <w:r w:rsidRPr="00622DCD">
        <w:rPr>
          <w:sz w:val="22"/>
          <w:szCs w:val="22"/>
        </w:rPr>
        <w:t xml:space="preserve"> Board Meetings, </w:t>
      </w:r>
      <w:r w:rsidR="00622DCD" w:rsidRPr="00622DCD">
        <w:rPr>
          <w:sz w:val="22"/>
          <w:szCs w:val="22"/>
        </w:rPr>
        <w:t>4</w:t>
      </w:r>
      <w:r w:rsidRPr="00622DCD">
        <w:rPr>
          <w:sz w:val="22"/>
          <w:szCs w:val="22"/>
        </w:rPr>
        <w:t xml:space="preserve"> of which were held by telephone</w:t>
      </w:r>
      <w:r w:rsidR="00622DCD">
        <w:rPr>
          <w:sz w:val="22"/>
          <w:szCs w:val="22"/>
        </w:rPr>
        <w:t xml:space="preserve"> and video conference</w:t>
      </w:r>
      <w:r w:rsidRPr="00264146">
        <w:rPr>
          <w:sz w:val="22"/>
          <w:szCs w:val="22"/>
        </w:rPr>
        <w:t xml:space="preserve">. </w:t>
      </w:r>
    </w:p>
    <w:p w14:paraId="658A56B2" w14:textId="77777777" w:rsidR="005353EA" w:rsidRDefault="005353EA" w:rsidP="00264146">
      <w:pPr>
        <w:jc w:val="both"/>
        <w:rPr>
          <w:sz w:val="22"/>
          <w:szCs w:val="22"/>
        </w:rPr>
      </w:pPr>
    </w:p>
    <w:p w14:paraId="15F514CB" w14:textId="47875C71" w:rsidR="00264146" w:rsidRPr="00264146" w:rsidRDefault="00264146" w:rsidP="00264146">
      <w:pPr>
        <w:jc w:val="both"/>
        <w:rPr>
          <w:sz w:val="22"/>
          <w:szCs w:val="22"/>
        </w:rPr>
      </w:pPr>
      <w:r w:rsidRPr="00264146">
        <w:rPr>
          <w:sz w:val="22"/>
          <w:szCs w:val="22"/>
        </w:rPr>
        <w:t>A table setting out the directors’ attendance at Board and Committee meetings during the period is set out below.</w:t>
      </w:r>
    </w:p>
    <w:p w14:paraId="762B5BBA" w14:textId="77777777" w:rsidR="00264146" w:rsidRPr="00264146" w:rsidRDefault="00264146" w:rsidP="00264146">
      <w:pPr>
        <w:jc w:val="both"/>
        <w:rPr>
          <w:sz w:val="22"/>
          <w:szCs w:val="22"/>
        </w:rPr>
      </w:pPr>
    </w:p>
    <w:tbl>
      <w:tblPr>
        <w:tblStyle w:val="TableGrid"/>
        <w:tblW w:w="0" w:type="auto"/>
        <w:tblInd w:w="108" w:type="dxa"/>
        <w:tblLook w:val="04A0" w:firstRow="1" w:lastRow="0" w:firstColumn="1" w:lastColumn="0" w:noHBand="0" w:noVBand="1"/>
      </w:tblPr>
      <w:tblGrid>
        <w:gridCol w:w="3148"/>
        <w:gridCol w:w="1023"/>
        <w:gridCol w:w="1142"/>
        <w:gridCol w:w="1082"/>
        <w:gridCol w:w="1083"/>
        <w:gridCol w:w="1082"/>
        <w:gridCol w:w="1083"/>
      </w:tblGrid>
      <w:tr w:rsidR="00AF316F" w:rsidRPr="00264146" w14:paraId="6BBDF84E" w14:textId="24DA80F1" w:rsidTr="00BB0A40">
        <w:trPr>
          <w:trHeight w:val="237"/>
        </w:trPr>
        <w:tc>
          <w:tcPr>
            <w:tcW w:w="3148" w:type="dxa"/>
          </w:tcPr>
          <w:p w14:paraId="786AE04F" w14:textId="77777777" w:rsidR="00AF316F" w:rsidRPr="00264146" w:rsidRDefault="00AF316F" w:rsidP="00C65E06">
            <w:pPr>
              <w:jc w:val="both"/>
              <w:rPr>
                <w:sz w:val="22"/>
                <w:szCs w:val="22"/>
              </w:rPr>
            </w:pPr>
          </w:p>
        </w:tc>
        <w:tc>
          <w:tcPr>
            <w:tcW w:w="2165" w:type="dxa"/>
            <w:gridSpan w:val="2"/>
          </w:tcPr>
          <w:p w14:paraId="372C2CB6" w14:textId="77777777" w:rsidR="00AF316F" w:rsidRPr="00264146" w:rsidRDefault="00AF316F" w:rsidP="00C65E06">
            <w:pPr>
              <w:jc w:val="both"/>
              <w:rPr>
                <w:sz w:val="22"/>
                <w:szCs w:val="22"/>
              </w:rPr>
            </w:pPr>
            <w:r w:rsidRPr="00264146">
              <w:rPr>
                <w:sz w:val="22"/>
                <w:szCs w:val="22"/>
              </w:rPr>
              <w:t>Board Meetings</w:t>
            </w:r>
          </w:p>
        </w:tc>
        <w:tc>
          <w:tcPr>
            <w:tcW w:w="2165" w:type="dxa"/>
            <w:gridSpan w:val="2"/>
          </w:tcPr>
          <w:p w14:paraId="36AF01D1" w14:textId="32B3CB98" w:rsidR="00AF316F" w:rsidRPr="00264146" w:rsidRDefault="00AF316F" w:rsidP="00AF316F">
            <w:pPr>
              <w:rPr>
                <w:sz w:val="22"/>
                <w:szCs w:val="22"/>
              </w:rPr>
            </w:pPr>
            <w:r>
              <w:rPr>
                <w:sz w:val="22"/>
                <w:szCs w:val="22"/>
              </w:rPr>
              <w:t>Audit Committee Meeting</w:t>
            </w:r>
          </w:p>
        </w:tc>
        <w:tc>
          <w:tcPr>
            <w:tcW w:w="2165" w:type="dxa"/>
            <w:gridSpan w:val="2"/>
          </w:tcPr>
          <w:p w14:paraId="6D916E05" w14:textId="14088F81" w:rsidR="00AF316F" w:rsidRPr="00264146" w:rsidRDefault="00AF316F" w:rsidP="00AF316F">
            <w:pPr>
              <w:rPr>
                <w:sz w:val="22"/>
                <w:szCs w:val="22"/>
              </w:rPr>
            </w:pPr>
            <w:r>
              <w:rPr>
                <w:sz w:val="22"/>
                <w:szCs w:val="22"/>
              </w:rPr>
              <w:t>Remuneration Committee Meetings</w:t>
            </w:r>
          </w:p>
        </w:tc>
      </w:tr>
      <w:tr w:rsidR="00AF316F" w:rsidRPr="00264146" w14:paraId="21899127" w14:textId="7F36B92A" w:rsidTr="00BB0A40">
        <w:trPr>
          <w:trHeight w:val="237"/>
        </w:trPr>
        <w:tc>
          <w:tcPr>
            <w:tcW w:w="3148" w:type="dxa"/>
          </w:tcPr>
          <w:p w14:paraId="71EBB8F3" w14:textId="77777777" w:rsidR="00AF316F" w:rsidRPr="00264146" w:rsidRDefault="00AF316F" w:rsidP="00C65E06">
            <w:pPr>
              <w:jc w:val="both"/>
              <w:rPr>
                <w:sz w:val="22"/>
                <w:szCs w:val="22"/>
              </w:rPr>
            </w:pPr>
          </w:p>
        </w:tc>
        <w:tc>
          <w:tcPr>
            <w:tcW w:w="1023" w:type="dxa"/>
          </w:tcPr>
          <w:p w14:paraId="7B2342C7" w14:textId="77777777" w:rsidR="00AF316F" w:rsidRPr="00264146" w:rsidRDefault="00AF316F" w:rsidP="00C65E06">
            <w:pPr>
              <w:jc w:val="both"/>
              <w:rPr>
                <w:sz w:val="22"/>
                <w:szCs w:val="22"/>
              </w:rPr>
            </w:pPr>
            <w:r w:rsidRPr="00264146">
              <w:rPr>
                <w:sz w:val="22"/>
                <w:szCs w:val="22"/>
              </w:rPr>
              <w:t xml:space="preserve">Attended </w:t>
            </w:r>
          </w:p>
        </w:tc>
        <w:tc>
          <w:tcPr>
            <w:tcW w:w="1142" w:type="dxa"/>
          </w:tcPr>
          <w:p w14:paraId="12C5B9EB" w14:textId="77777777" w:rsidR="00AF316F" w:rsidRPr="00264146" w:rsidRDefault="00AF316F" w:rsidP="00C65E06">
            <w:pPr>
              <w:jc w:val="both"/>
              <w:rPr>
                <w:sz w:val="22"/>
                <w:szCs w:val="22"/>
              </w:rPr>
            </w:pPr>
            <w:r w:rsidRPr="00264146">
              <w:rPr>
                <w:sz w:val="22"/>
                <w:szCs w:val="22"/>
              </w:rPr>
              <w:t>Held</w:t>
            </w:r>
          </w:p>
        </w:tc>
        <w:tc>
          <w:tcPr>
            <w:tcW w:w="1082" w:type="dxa"/>
          </w:tcPr>
          <w:p w14:paraId="1A854819" w14:textId="379704D3" w:rsidR="00AF316F" w:rsidRPr="00264146" w:rsidRDefault="00AF316F" w:rsidP="00C65E06">
            <w:pPr>
              <w:jc w:val="both"/>
              <w:rPr>
                <w:sz w:val="22"/>
                <w:szCs w:val="22"/>
              </w:rPr>
            </w:pPr>
            <w:r>
              <w:rPr>
                <w:sz w:val="22"/>
                <w:szCs w:val="22"/>
              </w:rPr>
              <w:t>Attended</w:t>
            </w:r>
          </w:p>
        </w:tc>
        <w:tc>
          <w:tcPr>
            <w:tcW w:w="1083" w:type="dxa"/>
          </w:tcPr>
          <w:p w14:paraId="6832F61A" w14:textId="00272261" w:rsidR="00AF316F" w:rsidRPr="00264146" w:rsidRDefault="00AF316F" w:rsidP="00C65E06">
            <w:pPr>
              <w:jc w:val="both"/>
              <w:rPr>
                <w:sz w:val="22"/>
                <w:szCs w:val="22"/>
              </w:rPr>
            </w:pPr>
            <w:r>
              <w:rPr>
                <w:sz w:val="22"/>
                <w:szCs w:val="22"/>
              </w:rPr>
              <w:t>Held</w:t>
            </w:r>
          </w:p>
        </w:tc>
        <w:tc>
          <w:tcPr>
            <w:tcW w:w="1082" w:type="dxa"/>
          </w:tcPr>
          <w:p w14:paraId="0B5BBCAD" w14:textId="2FB73729" w:rsidR="00AF316F" w:rsidRPr="00264146" w:rsidRDefault="00AF316F" w:rsidP="00C65E06">
            <w:pPr>
              <w:jc w:val="both"/>
              <w:rPr>
                <w:sz w:val="22"/>
                <w:szCs w:val="22"/>
              </w:rPr>
            </w:pPr>
            <w:r>
              <w:rPr>
                <w:sz w:val="22"/>
                <w:szCs w:val="22"/>
              </w:rPr>
              <w:t>Attended</w:t>
            </w:r>
          </w:p>
        </w:tc>
        <w:tc>
          <w:tcPr>
            <w:tcW w:w="1083" w:type="dxa"/>
          </w:tcPr>
          <w:p w14:paraId="716A6A21" w14:textId="5FB01A39" w:rsidR="00AF316F" w:rsidRPr="00264146" w:rsidRDefault="00AF316F" w:rsidP="00C65E06">
            <w:pPr>
              <w:jc w:val="both"/>
              <w:rPr>
                <w:sz w:val="22"/>
                <w:szCs w:val="22"/>
              </w:rPr>
            </w:pPr>
            <w:r>
              <w:rPr>
                <w:sz w:val="22"/>
                <w:szCs w:val="22"/>
              </w:rPr>
              <w:t>Held</w:t>
            </w:r>
          </w:p>
        </w:tc>
      </w:tr>
      <w:tr w:rsidR="00A45E39" w:rsidRPr="00264146" w14:paraId="588C1447" w14:textId="1A766728" w:rsidTr="00BB0A40">
        <w:trPr>
          <w:trHeight w:val="237"/>
        </w:trPr>
        <w:tc>
          <w:tcPr>
            <w:tcW w:w="3148" w:type="dxa"/>
          </w:tcPr>
          <w:p w14:paraId="35924D40" w14:textId="77777777" w:rsidR="00A45E39" w:rsidRPr="00264146" w:rsidRDefault="00A45E39" w:rsidP="00C65E06">
            <w:pPr>
              <w:jc w:val="both"/>
              <w:rPr>
                <w:sz w:val="22"/>
                <w:szCs w:val="22"/>
              </w:rPr>
            </w:pPr>
            <w:r w:rsidRPr="00264146">
              <w:rPr>
                <w:sz w:val="22"/>
                <w:szCs w:val="22"/>
              </w:rPr>
              <w:t>C P Latilla-Campbell</w:t>
            </w:r>
          </w:p>
        </w:tc>
        <w:tc>
          <w:tcPr>
            <w:tcW w:w="1023" w:type="dxa"/>
          </w:tcPr>
          <w:p w14:paraId="48AA600C" w14:textId="48E79CF7" w:rsidR="00A45E39" w:rsidRPr="00622DCD" w:rsidRDefault="00A45E39" w:rsidP="00C65E06">
            <w:pPr>
              <w:jc w:val="both"/>
              <w:rPr>
                <w:sz w:val="22"/>
                <w:szCs w:val="22"/>
              </w:rPr>
            </w:pPr>
            <w:r w:rsidRPr="00622DCD">
              <w:rPr>
                <w:sz w:val="22"/>
                <w:szCs w:val="22"/>
              </w:rPr>
              <w:t>5</w:t>
            </w:r>
          </w:p>
        </w:tc>
        <w:tc>
          <w:tcPr>
            <w:tcW w:w="1142" w:type="dxa"/>
          </w:tcPr>
          <w:p w14:paraId="4B33975B" w14:textId="79A93B1F" w:rsidR="00A45E39" w:rsidRPr="00622DCD" w:rsidRDefault="00A45E39" w:rsidP="00C65E06">
            <w:pPr>
              <w:jc w:val="both"/>
              <w:rPr>
                <w:sz w:val="22"/>
                <w:szCs w:val="22"/>
              </w:rPr>
            </w:pPr>
            <w:r w:rsidRPr="00622DCD">
              <w:rPr>
                <w:sz w:val="22"/>
                <w:szCs w:val="22"/>
              </w:rPr>
              <w:t>5</w:t>
            </w:r>
          </w:p>
        </w:tc>
        <w:tc>
          <w:tcPr>
            <w:tcW w:w="1082" w:type="dxa"/>
          </w:tcPr>
          <w:p w14:paraId="422D270B" w14:textId="7C88C7D5" w:rsidR="00A45E39" w:rsidRPr="000309B3" w:rsidRDefault="0008717D" w:rsidP="00C65E06">
            <w:pPr>
              <w:jc w:val="both"/>
              <w:rPr>
                <w:sz w:val="22"/>
                <w:szCs w:val="22"/>
              </w:rPr>
            </w:pPr>
            <w:r w:rsidRPr="000309B3">
              <w:rPr>
                <w:sz w:val="22"/>
                <w:szCs w:val="22"/>
              </w:rPr>
              <w:t>2</w:t>
            </w:r>
          </w:p>
        </w:tc>
        <w:tc>
          <w:tcPr>
            <w:tcW w:w="1083" w:type="dxa"/>
          </w:tcPr>
          <w:p w14:paraId="67AF399A" w14:textId="26673203" w:rsidR="00A45E39" w:rsidRPr="000309B3" w:rsidRDefault="0008717D" w:rsidP="00C65E06">
            <w:pPr>
              <w:jc w:val="both"/>
              <w:rPr>
                <w:sz w:val="22"/>
                <w:szCs w:val="22"/>
              </w:rPr>
            </w:pPr>
            <w:r w:rsidRPr="000309B3">
              <w:rPr>
                <w:sz w:val="22"/>
                <w:szCs w:val="22"/>
              </w:rPr>
              <w:t>2</w:t>
            </w:r>
          </w:p>
        </w:tc>
        <w:tc>
          <w:tcPr>
            <w:tcW w:w="1082" w:type="dxa"/>
          </w:tcPr>
          <w:p w14:paraId="50664E9F" w14:textId="5E75F604" w:rsidR="00A45E39" w:rsidRPr="009C0464" w:rsidRDefault="00E84ECF" w:rsidP="00C65E06">
            <w:pPr>
              <w:jc w:val="both"/>
              <w:rPr>
                <w:sz w:val="22"/>
                <w:szCs w:val="22"/>
              </w:rPr>
            </w:pPr>
            <w:r w:rsidRPr="009C0464">
              <w:rPr>
                <w:sz w:val="22"/>
                <w:szCs w:val="22"/>
              </w:rPr>
              <w:t>4</w:t>
            </w:r>
          </w:p>
        </w:tc>
        <w:tc>
          <w:tcPr>
            <w:tcW w:w="1083" w:type="dxa"/>
          </w:tcPr>
          <w:p w14:paraId="4B60240D" w14:textId="6E6BDF00" w:rsidR="00A45E39" w:rsidRPr="009C0464" w:rsidRDefault="00E84ECF" w:rsidP="00C65E06">
            <w:pPr>
              <w:jc w:val="both"/>
              <w:rPr>
                <w:sz w:val="22"/>
                <w:szCs w:val="22"/>
              </w:rPr>
            </w:pPr>
            <w:r w:rsidRPr="009C0464">
              <w:rPr>
                <w:sz w:val="22"/>
                <w:szCs w:val="22"/>
              </w:rPr>
              <w:t>4</w:t>
            </w:r>
          </w:p>
        </w:tc>
      </w:tr>
      <w:tr w:rsidR="00A45E39" w:rsidRPr="00264146" w14:paraId="426DBBCC" w14:textId="4253DB3E" w:rsidTr="00BB0A40">
        <w:trPr>
          <w:trHeight w:val="237"/>
        </w:trPr>
        <w:tc>
          <w:tcPr>
            <w:tcW w:w="3148" w:type="dxa"/>
          </w:tcPr>
          <w:p w14:paraId="10F2BEA3" w14:textId="77777777" w:rsidR="00A45E39" w:rsidRPr="00264146" w:rsidRDefault="00A45E39" w:rsidP="00622DCD">
            <w:pPr>
              <w:jc w:val="both"/>
              <w:rPr>
                <w:sz w:val="22"/>
                <w:szCs w:val="22"/>
              </w:rPr>
            </w:pPr>
            <w:r w:rsidRPr="00264146">
              <w:rPr>
                <w:sz w:val="22"/>
                <w:szCs w:val="22"/>
              </w:rPr>
              <w:t>R A Gerritsen</w:t>
            </w:r>
          </w:p>
        </w:tc>
        <w:tc>
          <w:tcPr>
            <w:tcW w:w="1023" w:type="dxa"/>
          </w:tcPr>
          <w:p w14:paraId="4B883AB2" w14:textId="002E51D4" w:rsidR="00A45E39" w:rsidRPr="00622DCD" w:rsidRDefault="00A45E39" w:rsidP="00622DCD">
            <w:pPr>
              <w:jc w:val="both"/>
              <w:rPr>
                <w:sz w:val="22"/>
                <w:szCs w:val="22"/>
              </w:rPr>
            </w:pPr>
            <w:r w:rsidRPr="00622DCD">
              <w:rPr>
                <w:sz w:val="22"/>
                <w:szCs w:val="22"/>
              </w:rPr>
              <w:t>5</w:t>
            </w:r>
          </w:p>
        </w:tc>
        <w:tc>
          <w:tcPr>
            <w:tcW w:w="1142" w:type="dxa"/>
          </w:tcPr>
          <w:p w14:paraId="4440A371" w14:textId="4A352FF5" w:rsidR="00A45E39" w:rsidRPr="00622DCD" w:rsidRDefault="00696BCB" w:rsidP="00622DCD">
            <w:pPr>
              <w:jc w:val="both"/>
              <w:rPr>
                <w:sz w:val="22"/>
                <w:szCs w:val="22"/>
              </w:rPr>
            </w:pPr>
            <w:r>
              <w:rPr>
                <w:sz w:val="22"/>
                <w:szCs w:val="22"/>
              </w:rPr>
              <w:t>5</w:t>
            </w:r>
          </w:p>
        </w:tc>
        <w:tc>
          <w:tcPr>
            <w:tcW w:w="1082" w:type="dxa"/>
          </w:tcPr>
          <w:p w14:paraId="53F69165" w14:textId="22513AAD" w:rsidR="00A45E39" w:rsidRPr="000309B3" w:rsidRDefault="00A45E39" w:rsidP="00622DCD">
            <w:pPr>
              <w:jc w:val="both"/>
              <w:rPr>
                <w:sz w:val="22"/>
                <w:szCs w:val="22"/>
              </w:rPr>
            </w:pPr>
            <w:r w:rsidRPr="000309B3">
              <w:rPr>
                <w:sz w:val="22"/>
                <w:szCs w:val="22"/>
              </w:rPr>
              <w:t>-</w:t>
            </w:r>
          </w:p>
        </w:tc>
        <w:tc>
          <w:tcPr>
            <w:tcW w:w="1083" w:type="dxa"/>
          </w:tcPr>
          <w:p w14:paraId="1B3C719B" w14:textId="2144CF8C" w:rsidR="00A45E39" w:rsidRPr="000309B3" w:rsidRDefault="00A45E39" w:rsidP="00622DCD">
            <w:pPr>
              <w:jc w:val="both"/>
              <w:rPr>
                <w:sz w:val="22"/>
                <w:szCs w:val="22"/>
              </w:rPr>
            </w:pPr>
            <w:r w:rsidRPr="000309B3">
              <w:rPr>
                <w:sz w:val="22"/>
                <w:szCs w:val="22"/>
              </w:rPr>
              <w:t>-</w:t>
            </w:r>
          </w:p>
        </w:tc>
        <w:tc>
          <w:tcPr>
            <w:tcW w:w="1082" w:type="dxa"/>
          </w:tcPr>
          <w:p w14:paraId="7AC64961" w14:textId="18926DDC" w:rsidR="00A45E39" w:rsidRPr="009C0464" w:rsidRDefault="00A45E39" w:rsidP="00622DCD">
            <w:pPr>
              <w:jc w:val="both"/>
              <w:rPr>
                <w:sz w:val="22"/>
                <w:szCs w:val="22"/>
              </w:rPr>
            </w:pPr>
            <w:r w:rsidRPr="009C0464">
              <w:rPr>
                <w:sz w:val="22"/>
                <w:szCs w:val="22"/>
              </w:rPr>
              <w:t>-</w:t>
            </w:r>
          </w:p>
        </w:tc>
        <w:tc>
          <w:tcPr>
            <w:tcW w:w="1083" w:type="dxa"/>
          </w:tcPr>
          <w:p w14:paraId="260EAF2B" w14:textId="7B0A08C6" w:rsidR="00A45E39" w:rsidRPr="009C0464" w:rsidRDefault="00A45E39" w:rsidP="00622DCD">
            <w:pPr>
              <w:jc w:val="both"/>
              <w:rPr>
                <w:sz w:val="22"/>
                <w:szCs w:val="22"/>
              </w:rPr>
            </w:pPr>
            <w:r w:rsidRPr="009C0464">
              <w:rPr>
                <w:sz w:val="22"/>
                <w:szCs w:val="22"/>
              </w:rPr>
              <w:t>-</w:t>
            </w:r>
          </w:p>
        </w:tc>
      </w:tr>
      <w:tr w:rsidR="00A45E39" w:rsidRPr="00264146" w14:paraId="71EFC13A" w14:textId="1C62CFB4" w:rsidTr="00BB0A40">
        <w:trPr>
          <w:trHeight w:val="237"/>
        </w:trPr>
        <w:tc>
          <w:tcPr>
            <w:tcW w:w="3148" w:type="dxa"/>
          </w:tcPr>
          <w:p w14:paraId="06CA6AC3" w14:textId="77777777" w:rsidR="00A45E39" w:rsidRPr="00264146" w:rsidRDefault="00A45E39" w:rsidP="00622DCD">
            <w:pPr>
              <w:jc w:val="both"/>
              <w:rPr>
                <w:sz w:val="22"/>
                <w:szCs w:val="22"/>
              </w:rPr>
            </w:pPr>
            <w:r w:rsidRPr="00264146">
              <w:rPr>
                <w:sz w:val="22"/>
                <w:szCs w:val="22"/>
              </w:rPr>
              <w:t>P Rocco</w:t>
            </w:r>
          </w:p>
        </w:tc>
        <w:tc>
          <w:tcPr>
            <w:tcW w:w="1023" w:type="dxa"/>
          </w:tcPr>
          <w:p w14:paraId="1E6E72AA" w14:textId="0C05D516" w:rsidR="00A45E39" w:rsidRPr="00622DCD" w:rsidRDefault="00A45E39" w:rsidP="00622DCD">
            <w:pPr>
              <w:jc w:val="both"/>
              <w:rPr>
                <w:sz w:val="22"/>
                <w:szCs w:val="22"/>
              </w:rPr>
            </w:pPr>
            <w:r w:rsidRPr="00622DCD">
              <w:rPr>
                <w:sz w:val="22"/>
                <w:szCs w:val="22"/>
              </w:rPr>
              <w:t>5</w:t>
            </w:r>
          </w:p>
        </w:tc>
        <w:tc>
          <w:tcPr>
            <w:tcW w:w="1142" w:type="dxa"/>
          </w:tcPr>
          <w:p w14:paraId="0E31A39A" w14:textId="0AA7A8A7" w:rsidR="00A45E39" w:rsidRPr="00622DCD" w:rsidRDefault="00A45E39" w:rsidP="00622DCD">
            <w:pPr>
              <w:jc w:val="both"/>
              <w:rPr>
                <w:sz w:val="22"/>
                <w:szCs w:val="22"/>
              </w:rPr>
            </w:pPr>
            <w:r w:rsidRPr="00622DCD">
              <w:rPr>
                <w:sz w:val="22"/>
                <w:szCs w:val="22"/>
              </w:rPr>
              <w:t>5</w:t>
            </w:r>
          </w:p>
        </w:tc>
        <w:tc>
          <w:tcPr>
            <w:tcW w:w="1082" w:type="dxa"/>
          </w:tcPr>
          <w:p w14:paraId="148E6ED1" w14:textId="67DAF963" w:rsidR="00A45E39" w:rsidRPr="000309B3" w:rsidRDefault="00A45E39" w:rsidP="00622DCD">
            <w:pPr>
              <w:jc w:val="both"/>
              <w:rPr>
                <w:sz w:val="22"/>
                <w:szCs w:val="22"/>
              </w:rPr>
            </w:pPr>
            <w:r w:rsidRPr="000309B3">
              <w:rPr>
                <w:sz w:val="22"/>
                <w:szCs w:val="22"/>
              </w:rPr>
              <w:t>-</w:t>
            </w:r>
          </w:p>
        </w:tc>
        <w:tc>
          <w:tcPr>
            <w:tcW w:w="1083" w:type="dxa"/>
          </w:tcPr>
          <w:p w14:paraId="1E2238DD" w14:textId="569E2866" w:rsidR="00A45E39" w:rsidRPr="000309B3" w:rsidRDefault="00A45E39" w:rsidP="00622DCD">
            <w:pPr>
              <w:jc w:val="both"/>
              <w:rPr>
                <w:sz w:val="22"/>
                <w:szCs w:val="22"/>
              </w:rPr>
            </w:pPr>
            <w:r w:rsidRPr="000309B3">
              <w:rPr>
                <w:sz w:val="22"/>
                <w:szCs w:val="22"/>
              </w:rPr>
              <w:t>-</w:t>
            </w:r>
          </w:p>
        </w:tc>
        <w:tc>
          <w:tcPr>
            <w:tcW w:w="1082" w:type="dxa"/>
          </w:tcPr>
          <w:p w14:paraId="3A376486" w14:textId="448D47D8" w:rsidR="00A45E39" w:rsidRPr="009C0464" w:rsidRDefault="00A45E39" w:rsidP="00622DCD">
            <w:pPr>
              <w:jc w:val="both"/>
              <w:rPr>
                <w:sz w:val="22"/>
                <w:szCs w:val="22"/>
              </w:rPr>
            </w:pPr>
            <w:r w:rsidRPr="009C0464">
              <w:rPr>
                <w:sz w:val="22"/>
                <w:szCs w:val="22"/>
              </w:rPr>
              <w:t>-</w:t>
            </w:r>
          </w:p>
        </w:tc>
        <w:tc>
          <w:tcPr>
            <w:tcW w:w="1083" w:type="dxa"/>
          </w:tcPr>
          <w:p w14:paraId="15C6E005" w14:textId="4AFF95EE" w:rsidR="00A45E39" w:rsidRPr="009C0464" w:rsidRDefault="00A45E39" w:rsidP="00622DCD">
            <w:pPr>
              <w:jc w:val="both"/>
              <w:rPr>
                <w:sz w:val="22"/>
                <w:szCs w:val="22"/>
              </w:rPr>
            </w:pPr>
            <w:r w:rsidRPr="009C0464">
              <w:rPr>
                <w:sz w:val="22"/>
                <w:szCs w:val="22"/>
              </w:rPr>
              <w:t>-</w:t>
            </w:r>
          </w:p>
        </w:tc>
      </w:tr>
      <w:tr w:rsidR="00A45E39" w:rsidRPr="00264146" w14:paraId="735F976A" w14:textId="098CD911" w:rsidTr="00BB0A40">
        <w:trPr>
          <w:trHeight w:val="237"/>
        </w:trPr>
        <w:tc>
          <w:tcPr>
            <w:tcW w:w="3148" w:type="dxa"/>
          </w:tcPr>
          <w:p w14:paraId="15D4BA92" w14:textId="77777777" w:rsidR="00A45E39" w:rsidRPr="00264146" w:rsidRDefault="00A45E39" w:rsidP="00622DCD">
            <w:pPr>
              <w:jc w:val="both"/>
              <w:rPr>
                <w:sz w:val="22"/>
                <w:szCs w:val="22"/>
              </w:rPr>
            </w:pPr>
            <w:r w:rsidRPr="00264146">
              <w:rPr>
                <w:sz w:val="22"/>
                <w:szCs w:val="22"/>
              </w:rPr>
              <w:t xml:space="preserve">C Schaffalitzky </w:t>
            </w:r>
          </w:p>
        </w:tc>
        <w:tc>
          <w:tcPr>
            <w:tcW w:w="1023" w:type="dxa"/>
          </w:tcPr>
          <w:p w14:paraId="1D06271E" w14:textId="56CC60C5" w:rsidR="00A45E39" w:rsidRPr="00622DCD" w:rsidRDefault="00A45E39" w:rsidP="00622DCD">
            <w:pPr>
              <w:jc w:val="both"/>
              <w:rPr>
                <w:sz w:val="22"/>
                <w:szCs w:val="22"/>
              </w:rPr>
            </w:pPr>
            <w:r w:rsidRPr="00622DCD">
              <w:rPr>
                <w:sz w:val="22"/>
                <w:szCs w:val="22"/>
              </w:rPr>
              <w:t>5</w:t>
            </w:r>
          </w:p>
        </w:tc>
        <w:tc>
          <w:tcPr>
            <w:tcW w:w="1142" w:type="dxa"/>
          </w:tcPr>
          <w:p w14:paraId="10176698" w14:textId="5CFDCB49" w:rsidR="00A45E39" w:rsidRPr="00622DCD" w:rsidRDefault="00A45E39" w:rsidP="00622DCD">
            <w:pPr>
              <w:jc w:val="both"/>
              <w:rPr>
                <w:sz w:val="22"/>
                <w:szCs w:val="22"/>
              </w:rPr>
            </w:pPr>
            <w:r w:rsidRPr="00622DCD">
              <w:rPr>
                <w:sz w:val="22"/>
                <w:szCs w:val="22"/>
              </w:rPr>
              <w:t>5</w:t>
            </w:r>
          </w:p>
        </w:tc>
        <w:tc>
          <w:tcPr>
            <w:tcW w:w="1082" w:type="dxa"/>
          </w:tcPr>
          <w:p w14:paraId="7D3F1775" w14:textId="5FF66BD6" w:rsidR="00A45E39" w:rsidRPr="000309B3" w:rsidRDefault="0008717D" w:rsidP="00622DCD">
            <w:pPr>
              <w:jc w:val="both"/>
              <w:rPr>
                <w:sz w:val="22"/>
                <w:szCs w:val="22"/>
              </w:rPr>
            </w:pPr>
            <w:r w:rsidRPr="000309B3">
              <w:rPr>
                <w:sz w:val="22"/>
                <w:szCs w:val="22"/>
              </w:rPr>
              <w:t>2</w:t>
            </w:r>
          </w:p>
        </w:tc>
        <w:tc>
          <w:tcPr>
            <w:tcW w:w="1083" w:type="dxa"/>
          </w:tcPr>
          <w:p w14:paraId="00CDB8AF" w14:textId="0B93ED47" w:rsidR="00A45E39" w:rsidRPr="000309B3" w:rsidRDefault="0008717D" w:rsidP="00622DCD">
            <w:pPr>
              <w:jc w:val="both"/>
              <w:rPr>
                <w:sz w:val="22"/>
                <w:szCs w:val="22"/>
              </w:rPr>
            </w:pPr>
            <w:r w:rsidRPr="000309B3">
              <w:rPr>
                <w:sz w:val="22"/>
                <w:szCs w:val="22"/>
              </w:rPr>
              <w:t>2</w:t>
            </w:r>
          </w:p>
        </w:tc>
        <w:tc>
          <w:tcPr>
            <w:tcW w:w="1082" w:type="dxa"/>
          </w:tcPr>
          <w:p w14:paraId="063422ED" w14:textId="3B570440" w:rsidR="00A45E39" w:rsidRPr="009C0464" w:rsidRDefault="00E84ECF" w:rsidP="00622DCD">
            <w:pPr>
              <w:jc w:val="both"/>
              <w:rPr>
                <w:sz w:val="22"/>
                <w:szCs w:val="22"/>
              </w:rPr>
            </w:pPr>
            <w:r w:rsidRPr="009C0464">
              <w:rPr>
                <w:sz w:val="22"/>
                <w:szCs w:val="22"/>
              </w:rPr>
              <w:t>4</w:t>
            </w:r>
          </w:p>
        </w:tc>
        <w:tc>
          <w:tcPr>
            <w:tcW w:w="1083" w:type="dxa"/>
          </w:tcPr>
          <w:p w14:paraId="7B700BF5" w14:textId="144AF1D4" w:rsidR="00A45E39" w:rsidRPr="009C0464" w:rsidRDefault="00E84ECF" w:rsidP="00622DCD">
            <w:pPr>
              <w:jc w:val="both"/>
              <w:rPr>
                <w:sz w:val="22"/>
                <w:szCs w:val="22"/>
              </w:rPr>
            </w:pPr>
            <w:r w:rsidRPr="009C0464">
              <w:rPr>
                <w:sz w:val="22"/>
                <w:szCs w:val="22"/>
              </w:rPr>
              <w:t>4</w:t>
            </w:r>
          </w:p>
        </w:tc>
      </w:tr>
    </w:tbl>
    <w:p w14:paraId="2F5DD549" w14:textId="77777777" w:rsidR="005353EA" w:rsidRDefault="005353EA" w:rsidP="00264146">
      <w:pPr>
        <w:jc w:val="both"/>
        <w:rPr>
          <w:rFonts w:ascii="Arial" w:hAnsi="Arial" w:cs="Arial"/>
        </w:rPr>
      </w:pPr>
    </w:p>
    <w:p w14:paraId="6E7BA535" w14:textId="77777777" w:rsidR="00B84636" w:rsidRDefault="00B84636">
      <w:pPr>
        <w:pStyle w:val="Heading7"/>
        <w:rPr>
          <w:sz w:val="22"/>
          <w:szCs w:val="22"/>
        </w:rPr>
      </w:pPr>
    </w:p>
    <w:p w14:paraId="499720BF" w14:textId="7948874E" w:rsidR="007623F0" w:rsidRPr="006A17C4" w:rsidRDefault="007623F0">
      <w:pPr>
        <w:pStyle w:val="Heading7"/>
        <w:rPr>
          <w:sz w:val="22"/>
          <w:szCs w:val="22"/>
        </w:rPr>
      </w:pPr>
      <w:r w:rsidRPr="006A17C4">
        <w:rPr>
          <w:sz w:val="22"/>
          <w:szCs w:val="22"/>
        </w:rPr>
        <w:t>DIRECTORS</w:t>
      </w:r>
      <w:r w:rsidR="00745822">
        <w:rPr>
          <w:sz w:val="22"/>
          <w:szCs w:val="22"/>
        </w:rPr>
        <w:t>’</w:t>
      </w:r>
      <w:r w:rsidR="003D7ABE">
        <w:rPr>
          <w:sz w:val="22"/>
          <w:szCs w:val="22"/>
        </w:rPr>
        <w:t xml:space="preserve"> INTERESTS</w:t>
      </w:r>
    </w:p>
    <w:p w14:paraId="45D021C4" w14:textId="77777777" w:rsidR="007623F0" w:rsidRPr="006A17C4" w:rsidRDefault="007623F0">
      <w:pPr>
        <w:jc w:val="both"/>
        <w:rPr>
          <w:sz w:val="22"/>
          <w:szCs w:val="22"/>
        </w:rPr>
      </w:pPr>
    </w:p>
    <w:p w14:paraId="64C522EF" w14:textId="74657424" w:rsidR="003D7ABE" w:rsidRPr="003D7ABE" w:rsidRDefault="003D7ABE" w:rsidP="003D7ABE">
      <w:pPr>
        <w:jc w:val="both"/>
        <w:rPr>
          <w:sz w:val="22"/>
          <w:szCs w:val="22"/>
        </w:rPr>
      </w:pPr>
      <w:r w:rsidRPr="003D7ABE">
        <w:rPr>
          <w:sz w:val="22"/>
          <w:szCs w:val="22"/>
        </w:rPr>
        <w:t xml:space="preserve">The directors who served during the </w:t>
      </w:r>
      <w:r w:rsidR="00547C36">
        <w:rPr>
          <w:sz w:val="22"/>
          <w:szCs w:val="22"/>
        </w:rPr>
        <w:t>year</w:t>
      </w:r>
      <w:r w:rsidRPr="003D7ABE">
        <w:rPr>
          <w:sz w:val="22"/>
          <w:szCs w:val="22"/>
        </w:rPr>
        <w:t xml:space="preserve"> under review and their beneficial interests </w:t>
      </w:r>
      <w:bookmarkStart w:id="1" w:name="_Hlk31822751"/>
      <w:r w:rsidRPr="003D7ABE">
        <w:rPr>
          <w:sz w:val="22"/>
          <w:szCs w:val="22"/>
        </w:rPr>
        <w:t>(held directly or indirectly, including interests held by spouses, children and associated parties) in the Company’s ordinary shares is set out below:</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1587"/>
        <w:gridCol w:w="1300"/>
        <w:gridCol w:w="1493"/>
        <w:gridCol w:w="1498"/>
        <w:gridCol w:w="1493"/>
      </w:tblGrid>
      <w:tr w:rsidR="001B0572" w:rsidRPr="007B7336" w14:paraId="2544F7A5" w14:textId="77777777" w:rsidTr="00B21E55">
        <w:tc>
          <w:tcPr>
            <w:tcW w:w="2666" w:type="dxa"/>
          </w:tcPr>
          <w:p w14:paraId="5957B5DA" w14:textId="77777777" w:rsidR="00B21E55" w:rsidRPr="007B7336" w:rsidRDefault="00B21E55" w:rsidP="00862439">
            <w:pPr>
              <w:rPr>
                <w:sz w:val="22"/>
                <w:szCs w:val="22"/>
              </w:rPr>
            </w:pPr>
          </w:p>
        </w:tc>
        <w:tc>
          <w:tcPr>
            <w:tcW w:w="1587" w:type="dxa"/>
          </w:tcPr>
          <w:p w14:paraId="14E84C8F" w14:textId="77777777" w:rsidR="00B21E55" w:rsidRPr="007B7336" w:rsidRDefault="00B21E55" w:rsidP="00862439">
            <w:pPr>
              <w:rPr>
                <w:sz w:val="22"/>
                <w:szCs w:val="22"/>
              </w:rPr>
            </w:pPr>
          </w:p>
        </w:tc>
        <w:tc>
          <w:tcPr>
            <w:tcW w:w="5784" w:type="dxa"/>
            <w:gridSpan w:val="4"/>
          </w:tcPr>
          <w:p w14:paraId="2ECDB928" w14:textId="77777777" w:rsidR="00B21E55" w:rsidRPr="007B7336" w:rsidRDefault="00B21E55" w:rsidP="00862439">
            <w:pPr>
              <w:jc w:val="center"/>
              <w:rPr>
                <w:b/>
                <w:bCs/>
                <w:sz w:val="22"/>
                <w:szCs w:val="22"/>
              </w:rPr>
            </w:pPr>
            <w:r w:rsidRPr="007B7336">
              <w:rPr>
                <w:b/>
                <w:bCs/>
                <w:sz w:val="22"/>
                <w:szCs w:val="22"/>
              </w:rPr>
              <w:t>Ordinary Shares of £0.0001 each</w:t>
            </w:r>
          </w:p>
        </w:tc>
      </w:tr>
      <w:tr w:rsidR="001B0572" w:rsidRPr="007B7336" w14:paraId="1D1153E8" w14:textId="77777777" w:rsidTr="00B21E55">
        <w:tc>
          <w:tcPr>
            <w:tcW w:w="2666" w:type="dxa"/>
          </w:tcPr>
          <w:p w14:paraId="61DD2CB0" w14:textId="77777777" w:rsidR="00B21E55" w:rsidRPr="007B7336" w:rsidRDefault="00B21E55" w:rsidP="00862439">
            <w:pPr>
              <w:rPr>
                <w:sz w:val="22"/>
                <w:szCs w:val="22"/>
              </w:rPr>
            </w:pPr>
          </w:p>
        </w:tc>
        <w:tc>
          <w:tcPr>
            <w:tcW w:w="1587" w:type="dxa"/>
          </w:tcPr>
          <w:p w14:paraId="7D083B2B" w14:textId="77777777" w:rsidR="00B21E55" w:rsidRPr="007B7336" w:rsidRDefault="00B21E55" w:rsidP="00862439">
            <w:pPr>
              <w:rPr>
                <w:sz w:val="22"/>
                <w:szCs w:val="22"/>
              </w:rPr>
            </w:pPr>
          </w:p>
        </w:tc>
        <w:tc>
          <w:tcPr>
            <w:tcW w:w="1300" w:type="dxa"/>
          </w:tcPr>
          <w:p w14:paraId="3FD2DBA7" w14:textId="667019FE" w:rsidR="00B21E55" w:rsidRPr="007B7336" w:rsidRDefault="00B21E55" w:rsidP="00862439">
            <w:pPr>
              <w:jc w:val="right"/>
              <w:rPr>
                <w:b/>
                <w:bCs/>
                <w:sz w:val="22"/>
                <w:szCs w:val="22"/>
              </w:rPr>
            </w:pPr>
            <w:r w:rsidRPr="007B7336">
              <w:rPr>
                <w:b/>
                <w:bCs/>
                <w:sz w:val="22"/>
                <w:szCs w:val="22"/>
              </w:rPr>
              <w:t xml:space="preserve">Number of Ordinary Shares at 31 Dec </w:t>
            </w:r>
            <w:r w:rsidR="000019C8" w:rsidRPr="007B7336">
              <w:rPr>
                <w:b/>
                <w:bCs/>
                <w:sz w:val="22"/>
                <w:szCs w:val="22"/>
              </w:rPr>
              <w:t>2020</w:t>
            </w:r>
          </w:p>
        </w:tc>
        <w:tc>
          <w:tcPr>
            <w:tcW w:w="1493" w:type="dxa"/>
          </w:tcPr>
          <w:p w14:paraId="17417966" w14:textId="1D11E5D2" w:rsidR="00B21E55" w:rsidRPr="007B7336" w:rsidRDefault="00B21E55" w:rsidP="00862439">
            <w:pPr>
              <w:jc w:val="right"/>
              <w:rPr>
                <w:b/>
                <w:bCs/>
                <w:sz w:val="22"/>
                <w:szCs w:val="22"/>
              </w:rPr>
            </w:pPr>
            <w:r w:rsidRPr="007B7336">
              <w:rPr>
                <w:b/>
                <w:bCs/>
                <w:sz w:val="22"/>
                <w:szCs w:val="22"/>
              </w:rPr>
              <w:t xml:space="preserve">% of Issued Share Capital at 31 Dec </w:t>
            </w:r>
            <w:r w:rsidR="001B0572" w:rsidRPr="007B7336">
              <w:rPr>
                <w:b/>
                <w:bCs/>
                <w:sz w:val="22"/>
                <w:szCs w:val="22"/>
              </w:rPr>
              <w:t>2020</w:t>
            </w:r>
          </w:p>
        </w:tc>
        <w:tc>
          <w:tcPr>
            <w:tcW w:w="1498" w:type="dxa"/>
          </w:tcPr>
          <w:p w14:paraId="45DB0ED4" w14:textId="54590489" w:rsidR="00B21E55" w:rsidRPr="007B7336" w:rsidRDefault="00B21E55" w:rsidP="00862439">
            <w:pPr>
              <w:jc w:val="right"/>
              <w:rPr>
                <w:sz w:val="22"/>
                <w:szCs w:val="22"/>
              </w:rPr>
            </w:pPr>
            <w:r w:rsidRPr="007B7336">
              <w:rPr>
                <w:sz w:val="22"/>
                <w:szCs w:val="22"/>
              </w:rPr>
              <w:t xml:space="preserve">Number of Ordinary Shares at </w:t>
            </w:r>
            <w:r w:rsidR="001B0572" w:rsidRPr="007B7336">
              <w:rPr>
                <w:sz w:val="22"/>
                <w:szCs w:val="22"/>
              </w:rPr>
              <w:t>31 Dec</w:t>
            </w:r>
            <w:r w:rsidRPr="007B7336">
              <w:rPr>
                <w:sz w:val="22"/>
                <w:szCs w:val="22"/>
              </w:rPr>
              <w:t xml:space="preserve"> 2019</w:t>
            </w:r>
          </w:p>
        </w:tc>
        <w:tc>
          <w:tcPr>
            <w:tcW w:w="1493" w:type="dxa"/>
          </w:tcPr>
          <w:p w14:paraId="7FD4AD82" w14:textId="1B2B2BB8" w:rsidR="00B21E55" w:rsidRPr="007B7336" w:rsidRDefault="00B21E55" w:rsidP="00862439">
            <w:pPr>
              <w:jc w:val="right"/>
              <w:rPr>
                <w:sz w:val="22"/>
                <w:szCs w:val="22"/>
              </w:rPr>
            </w:pPr>
            <w:r w:rsidRPr="007B7336">
              <w:rPr>
                <w:sz w:val="22"/>
                <w:szCs w:val="22"/>
              </w:rPr>
              <w:t xml:space="preserve">% of Issued Share Capital at </w:t>
            </w:r>
            <w:r w:rsidR="001B0572" w:rsidRPr="007B7336">
              <w:rPr>
                <w:sz w:val="22"/>
                <w:szCs w:val="22"/>
              </w:rPr>
              <w:t>31 Dec</w:t>
            </w:r>
            <w:r w:rsidRPr="007B7336">
              <w:rPr>
                <w:sz w:val="22"/>
                <w:szCs w:val="22"/>
              </w:rPr>
              <w:t xml:space="preserve"> 2019</w:t>
            </w:r>
          </w:p>
        </w:tc>
      </w:tr>
      <w:tr w:rsidR="001B0572" w:rsidRPr="007B7336" w14:paraId="5CFC51F7" w14:textId="77777777" w:rsidTr="00B21E55">
        <w:tc>
          <w:tcPr>
            <w:tcW w:w="2666" w:type="dxa"/>
          </w:tcPr>
          <w:p w14:paraId="3CCCB28A" w14:textId="77777777" w:rsidR="00B21E55" w:rsidRPr="007B7336" w:rsidRDefault="00B21E55" w:rsidP="00862439">
            <w:pPr>
              <w:rPr>
                <w:sz w:val="22"/>
                <w:szCs w:val="22"/>
              </w:rPr>
            </w:pPr>
          </w:p>
        </w:tc>
        <w:tc>
          <w:tcPr>
            <w:tcW w:w="1587" w:type="dxa"/>
          </w:tcPr>
          <w:p w14:paraId="13EA2802" w14:textId="77777777" w:rsidR="00B21E55" w:rsidRPr="007B7336" w:rsidRDefault="00B21E55" w:rsidP="00862439">
            <w:pPr>
              <w:rPr>
                <w:sz w:val="22"/>
                <w:szCs w:val="22"/>
              </w:rPr>
            </w:pPr>
          </w:p>
        </w:tc>
        <w:tc>
          <w:tcPr>
            <w:tcW w:w="1300" w:type="dxa"/>
          </w:tcPr>
          <w:p w14:paraId="190DA055" w14:textId="77777777" w:rsidR="00B21E55" w:rsidRPr="007B7336" w:rsidRDefault="00B21E55" w:rsidP="00862439">
            <w:pPr>
              <w:rPr>
                <w:sz w:val="22"/>
                <w:szCs w:val="22"/>
              </w:rPr>
            </w:pPr>
          </w:p>
        </w:tc>
        <w:tc>
          <w:tcPr>
            <w:tcW w:w="1493" w:type="dxa"/>
          </w:tcPr>
          <w:p w14:paraId="3ACC9AEC" w14:textId="77777777" w:rsidR="00B21E55" w:rsidRPr="007B7336" w:rsidRDefault="00B21E55" w:rsidP="00862439">
            <w:pPr>
              <w:rPr>
                <w:sz w:val="22"/>
                <w:szCs w:val="22"/>
              </w:rPr>
            </w:pPr>
          </w:p>
        </w:tc>
        <w:tc>
          <w:tcPr>
            <w:tcW w:w="1498" w:type="dxa"/>
          </w:tcPr>
          <w:p w14:paraId="5660127F" w14:textId="77777777" w:rsidR="00B21E55" w:rsidRPr="007B7336" w:rsidRDefault="00B21E55" w:rsidP="00862439">
            <w:pPr>
              <w:rPr>
                <w:sz w:val="22"/>
                <w:szCs w:val="22"/>
              </w:rPr>
            </w:pPr>
          </w:p>
        </w:tc>
        <w:tc>
          <w:tcPr>
            <w:tcW w:w="1493" w:type="dxa"/>
          </w:tcPr>
          <w:p w14:paraId="3EB265E8" w14:textId="77777777" w:rsidR="00B21E55" w:rsidRPr="007B7336" w:rsidRDefault="00B21E55" w:rsidP="00862439">
            <w:pPr>
              <w:rPr>
                <w:sz w:val="22"/>
                <w:szCs w:val="22"/>
              </w:rPr>
            </w:pPr>
          </w:p>
        </w:tc>
      </w:tr>
      <w:tr w:rsidR="001B0572" w:rsidRPr="007B7336" w14:paraId="702750EA" w14:textId="77777777" w:rsidTr="00B21E55">
        <w:tc>
          <w:tcPr>
            <w:tcW w:w="2666" w:type="dxa"/>
          </w:tcPr>
          <w:p w14:paraId="56E16505" w14:textId="77777777" w:rsidR="00B21E55" w:rsidRPr="007B7336" w:rsidRDefault="00B21E55" w:rsidP="00862439">
            <w:pPr>
              <w:rPr>
                <w:sz w:val="22"/>
                <w:szCs w:val="22"/>
              </w:rPr>
            </w:pPr>
            <w:r w:rsidRPr="007B7336">
              <w:rPr>
                <w:sz w:val="22"/>
                <w:szCs w:val="22"/>
              </w:rPr>
              <w:t>C. P. Latilla-Campbell *</w:t>
            </w:r>
          </w:p>
        </w:tc>
        <w:tc>
          <w:tcPr>
            <w:tcW w:w="1587" w:type="dxa"/>
          </w:tcPr>
          <w:p w14:paraId="1FED4710" w14:textId="77777777" w:rsidR="00B21E55" w:rsidRPr="007B7336" w:rsidRDefault="00B21E55" w:rsidP="00862439">
            <w:pPr>
              <w:rPr>
                <w:sz w:val="22"/>
                <w:szCs w:val="22"/>
              </w:rPr>
            </w:pPr>
          </w:p>
        </w:tc>
        <w:tc>
          <w:tcPr>
            <w:tcW w:w="1300" w:type="dxa"/>
          </w:tcPr>
          <w:p w14:paraId="6CCBE6E9" w14:textId="77777777" w:rsidR="00B21E55" w:rsidRPr="007B7336" w:rsidRDefault="00B21E55" w:rsidP="00862439">
            <w:pPr>
              <w:jc w:val="right"/>
              <w:rPr>
                <w:b/>
                <w:bCs/>
                <w:sz w:val="22"/>
                <w:szCs w:val="22"/>
              </w:rPr>
            </w:pPr>
            <w:r w:rsidRPr="007B7336">
              <w:rPr>
                <w:b/>
                <w:bCs/>
                <w:sz w:val="22"/>
                <w:szCs w:val="22"/>
              </w:rPr>
              <w:t>39,373,775</w:t>
            </w:r>
          </w:p>
        </w:tc>
        <w:tc>
          <w:tcPr>
            <w:tcW w:w="1493" w:type="dxa"/>
          </w:tcPr>
          <w:p w14:paraId="65665807" w14:textId="2AFB7AC7" w:rsidR="00B21E55" w:rsidRPr="007B7336" w:rsidRDefault="001B0572" w:rsidP="00862439">
            <w:pPr>
              <w:jc w:val="right"/>
              <w:rPr>
                <w:b/>
                <w:bCs/>
                <w:sz w:val="22"/>
                <w:szCs w:val="22"/>
              </w:rPr>
            </w:pPr>
            <w:r w:rsidRPr="007B7336">
              <w:rPr>
                <w:b/>
                <w:bCs/>
                <w:sz w:val="22"/>
                <w:szCs w:val="22"/>
              </w:rPr>
              <w:t>10.60</w:t>
            </w:r>
            <w:r w:rsidR="00B21E55" w:rsidRPr="007B7336">
              <w:rPr>
                <w:b/>
                <w:bCs/>
                <w:sz w:val="22"/>
                <w:szCs w:val="22"/>
              </w:rPr>
              <w:t>%</w:t>
            </w:r>
          </w:p>
        </w:tc>
        <w:tc>
          <w:tcPr>
            <w:tcW w:w="1498" w:type="dxa"/>
          </w:tcPr>
          <w:p w14:paraId="224BE73A" w14:textId="1E8942E6" w:rsidR="00B21E55" w:rsidRPr="007B7336" w:rsidRDefault="001B0572" w:rsidP="00862439">
            <w:pPr>
              <w:jc w:val="right"/>
              <w:rPr>
                <w:sz w:val="22"/>
                <w:szCs w:val="22"/>
              </w:rPr>
            </w:pPr>
            <w:r w:rsidRPr="007B7336">
              <w:rPr>
                <w:sz w:val="22"/>
                <w:szCs w:val="22"/>
              </w:rPr>
              <w:t>39,373,775</w:t>
            </w:r>
          </w:p>
        </w:tc>
        <w:tc>
          <w:tcPr>
            <w:tcW w:w="1493" w:type="dxa"/>
          </w:tcPr>
          <w:p w14:paraId="54F25803" w14:textId="57846681" w:rsidR="00B21E55" w:rsidRPr="007B7336" w:rsidRDefault="001B0572" w:rsidP="00862439">
            <w:pPr>
              <w:jc w:val="right"/>
              <w:rPr>
                <w:sz w:val="22"/>
                <w:szCs w:val="22"/>
              </w:rPr>
            </w:pPr>
            <w:r w:rsidRPr="007B7336">
              <w:rPr>
                <w:sz w:val="22"/>
                <w:szCs w:val="22"/>
              </w:rPr>
              <w:t>10.94</w:t>
            </w:r>
            <w:r w:rsidR="00B21E55" w:rsidRPr="007B7336">
              <w:rPr>
                <w:sz w:val="22"/>
                <w:szCs w:val="22"/>
              </w:rPr>
              <w:t>%</w:t>
            </w:r>
          </w:p>
        </w:tc>
      </w:tr>
      <w:tr w:rsidR="001B0572" w:rsidRPr="007B7336" w14:paraId="3B06E070" w14:textId="77777777" w:rsidTr="00B21E55">
        <w:tc>
          <w:tcPr>
            <w:tcW w:w="2666" w:type="dxa"/>
          </w:tcPr>
          <w:p w14:paraId="2F581B71" w14:textId="77777777" w:rsidR="00B21E55" w:rsidRPr="007B7336" w:rsidRDefault="00B21E55" w:rsidP="00862439">
            <w:pPr>
              <w:rPr>
                <w:sz w:val="22"/>
                <w:szCs w:val="22"/>
              </w:rPr>
            </w:pPr>
            <w:r w:rsidRPr="007B7336">
              <w:rPr>
                <w:sz w:val="22"/>
                <w:szCs w:val="22"/>
              </w:rPr>
              <w:t>R. Gerritsen</w:t>
            </w:r>
          </w:p>
        </w:tc>
        <w:tc>
          <w:tcPr>
            <w:tcW w:w="1587" w:type="dxa"/>
          </w:tcPr>
          <w:p w14:paraId="62219065" w14:textId="77777777" w:rsidR="00B21E55" w:rsidRPr="007B7336" w:rsidRDefault="00B21E55" w:rsidP="00862439">
            <w:pPr>
              <w:rPr>
                <w:sz w:val="22"/>
                <w:szCs w:val="22"/>
              </w:rPr>
            </w:pPr>
          </w:p>
        </w:tc>
        <w:tc>
          <w:tcPr>
            <w:tcW w:w="1300" w:type="dxa"/>
          </w:tcPr>
          <w:p w14:paraId="3CAD646F" w14:textId="43BADB73" w:rsidR="00B21E55" w:rsidRPr="007B7336" w:rsidRDefault="001B0572" w:rsidP="00862439">
            <w:pPr>
              <w:jc w:val="right"/>
              <w:rPr>
                <w:b/>
                <w:bCs/>
                <w:sz w:val="22"/>
                <w:szCs w:val="22"/>
              </w:rPr>
            </w:pPr>
            <w:r w:rsidRPr="007B7336">
              <w:rPr>
                <w:b/>
                <w:bCs/>
                <w:sz w:val="22"/>
                <w:szCs w:val="22"/>
              </w:rPr>
              <w:t>14,150,000</w:t>
            </w:r>
          </w:p>
        </w:tc>
        <w:tc>
          <w:tcPr>
            <w:tcW w:w="1493" w:type="dxa"/>
          </w:tcPr>
          <w:p w14:paraId="62F2C5D2" w14:textId="6F1DACE6" w:rsidR="00B21E55" w:rsidRPr="007B7336" w:rsidRDefault="001B0572" w:rsidP="00862439">
            <w:pPr>
              <w:jc w:val="right"/>
              <w:rPr>
                <w:b/>
                <w:bCs/>
                <w:sz w:val="22"/>
                <w:szCs w:val="22"/>
              </w:rPr>
            </w:pPr>
            <w:r w:rsidRPr="007B7336">
              <w:rPr>
                <w:b/>
                <w:bCs/>
                <w:sz w:val="22"/>
                <w:szCs w:val="22"/>
              </w:rPr>
              <w:t>3.81</w:t>
            </w:r>
            <w:r w:rsidR="00B21E55" w:rsidRPr="007B7336">
              <w:rPr>
                <w:b/>
                <w:bCs/>
                <w:sz w:val="22"/>
                <w:szCs w:val="22"/>
              </w:rPr>
              <w:t>%</w:t>
            </w:r>
          </w:p>
        </w:tc>
        <w:tc>
          <w:tcPr>
            <w:tcW w:w="1498" w:type="dxa"/>
          </w:tcPr>
          <w:p w14:paraId="169BFEC8" w14:textId="5424C87C" w:rsidR="00B21E55" w:rsidRPr="007B7336" w:rsidRDefault="001B0572" w:rsidP="00862439">
            <w:pPr>
              <w:jc w:val="right"/>
              <w:rPr>
                <w:sz w:val="22"/>
                <w:szCs w:val="22"/>
              </w:rPr>
            </w:pPr>
            <w:r w:rsidRPr="007B7336">
              <w:rPr>
                <w:sz w:val="22"/>
                <w:szCs w:val="22"/>
              </w:rPr>
              <w:t>9,150,000</w:t>
            </w:r>
          </w:p>
        </w:tc>
        <w:tc>
          <w:tcPr>
            <w:tcW w:w="1493" w:type="dxa"/>
          </w:tcPr>
          <w:p w14:paraId="7989EAF0" w14:textId="4255EBB3" w:rsidR="00B21E55" w:rsidRPr="007B7336" w:rsidRDefault="001B0572" w:rsidP="00862439">
            <w:pPr>
              <w:jc w:val="right"/>
              <w:rPr>
                <w:sz w:val="22"/>
                <w:szCs w:val="22"/>
              </w:rPr>
            </w:pPr>
            <w:r w:rsidRPr="007B7336">
              <w:rPr>
                <w:sz w:val="22"/>
                <w:szCs w:val="22"/>
              </w:rPr>
              <w:t>2.54</w:t>
            </w:r>
            <w:r w:rsidR="00B21E55" w:rsidRPr="007B7336">
              <w:rPr>
                <w:sz w:val="22"/>
                <w:szCs w:val="22"/>
              </w:rPr>
              <w:t>%</w:t>
            </w:r>
          </w:p>
        </w:tc>
      </w:tr>
      <w:tr w:rsidR="001B0572" w:rsidRPr="007B7336" w14:paraId="613E0F86" w14:textId="77777777" w:rsidTr="00B21E55">
        <w:tc>
          <w:tcPr>
            <w:tcW w:w="2666" w:type="dxa"/>
          </w:tcPr>
          <w:p w14:paraId="11DD0E38" w14:textId="77777777" w:rsidR="00B21E55" w:rsidRPr="007B7336" w:rsidRDefault="00B21E55" w:rsidP="00862439">
            <w:pPr>
              <w:rPr>
                <w:sz w:val="22"/>
                <w:szCs w:val="22"/>
              </w:rPr>
            </w:pPr>
            <w:r w:rsidRPr="007B7336">
              <w:rPr>
                <w:sz w:val="22"/>
                <w:szCs w:val="22"/>
              </w:rPr>
              <w:t>P. Rocco</w:t>
            </w:r>
          </w:p>
        </w:tc>
        <w:tc>
          <w:tcPr>
            <w:tcW w:w="1587" w:type="dxa"/>
          </w:tcPr>
          <w:p w14:paraId="6877328A" w14:textId="77777777" w:rsidR="00B21E55" w:rsidRPr="007B7336" w:rsidRDefault="00B21E55" w:rsidP="00862439">
            <w:pPr>
              <w:rPr>
                <w:sz w:val="22"/>
                <w:szCs w:val="22"/>
              </w:rPr>
            </w:pPr>
          </w:p>
        </w:tc>
        <w:tc>
          <w:tcPr>
            <w:tcW w:w="1300" w:type="dxa"/>
          </w:tcPr>
          <w:p w14:paraId="3FDABAD0" w14:textId="3C493B75" w:rsidR="00B21E55" w:rsidRPr="007B7336" w:rsidRDefault="001B0572" w:rsidP="00862439">
            <w:pPr>
              <w:jc w:val="right"/>
              <w:rPr>
                <w:b/>
                <w:bCs/>
                <w:sz w:val="22"/>
                <w:szCs w:val="22"/>
              </w:rPr>
            </w:pPr>
            <w:r w:rsidRPr="007B7336">
              <w:rPr>
                <w:b/>
                <w:bCs/>
                <w:sz w:val="22"/>
                <w:szCs w:val="22"/>
              </w:rPr>
              <w:t>8,288,555</w:t>
            </w:r>
          </w:p>
        </w:tc>
        <w:tc>
          <w:tcPr>
            <w:tcW w:w="1493" w:type="dxa"/>
          </w:tcPr>
          <w:p w14:paraId="453D9FDE" w14:textId="5B697C31" w:rsidR="00B21E55" w:rsidRPr="007B7336" w:rsidRDefault="001B0572" w:rsidP="00862439">
            <w:pPr>
              <w:jc w:val="right"/>
              <w:rPr>
                <w:b/>
                <w:bCs/>
                <w:sz w:val="22"/>
                <w:szCs w:val="22"/>
              </w:rPr>
            </w:pPr>
            <w:r w:rsidRPr="007B7336">
              <w:rPr>
                <w:b/>
                <w:bCs/>
                <w:sz w:val="22"/>
                <w:szCs w:val="22"/>
              </w:rPr>
              <w:t>2.23</w:t>
            </w:r>
            <w:r w:rsidR="00B21E55" w:rsidRPr="007B7336">
              <w:rPr>
                <w:b/>
                <w:bCs/>
                <w:sz w:val="22"/>
                <w:szCs w:val="22"/>
              </w:rPr>
              <w:t>%</w:t>
            </w:r>
          </w:p>
        </w:tc>
        <w:tc>
          <w:tcPr>
            <w:tcW w:w="1498" w:type="dxa"/>
          </w:tcPr>
          <w:p w14:paraId="682AED79" w14:textId="012671EC" w:rsidR="00B21E55" w:rsidRPr="007B7336" w:rsidRDefault="001B0572" w:rsidP="00862439">
            <w:pPr>
              <w:jc w:val="right"/>
              <w:rPr>
                <w:sz w:val="22"/>
                <w:szCs w:val="22"/>
              </w:rPr>
            </w:pPr>
            <w:r w:rsidRPr="007B7336">
              <w:rPr>
                <w:sz w:val="22"/>
                <w:szCs w:val="22"/>
              </w:rPr>
              <w:t>5,555,555</w:t>
            </w:r>
          </w:p>
        </w:tc>
        <w:tc>
          <w:tcPr>
            <w:tcW w:w="1493" w:type="dxa"/>
          </w:tcPr>
          <w:p w14:paraId="51E53564" w14:textId="477C2021" w:rsidR="00B21E55" w:rsidRPr="007B7336" w:rsidRDefault="001B0572" w:rsidP="00862439">
            <w:pPr>
              <w:jc w:val="right"/>
              <w:rPr>
                <w:sz w:val="22"/>
                <w:szCs w:val="22"/>
              </w:rPr>
            </w:pPr>
            <w:r w:rsidRPr="007B7336">
              <w:rPr>
                <w:sz w:val="22"/>
                <w:szCs w:val="22"/>
              </w:rPr>
              <w:t>1.54%</w:t>
            </w:r>
          </w:p>
        </w:tc>
      </w:tr>
      <w:tr w:rsidR="001B0572" w:rsidRPr="007B7336" w14:paraId="0D6F72C8" w14:textId="77777777" w:rsidTr="00B21E55">
        <w:tc>
          <w:tcPr>
            <w:tcW w:w="2666" w:type="dxa"/>
          </w:tcPr>
          <w:p w14:paraId="24E66B7C" w14:textId="77777777" w:rsidR="00B21E55" w:rsidRPr="007B7336" w:rsidRDefault="00B21E55" w:rsidP="00862439">
            <w:pPr>
              <w:rPr>
                <w:sz w:val="22"/>
                <w:szCs w:val="22"/>
              </w:rPr>
            </w:pPr>
            <w:r w:rsidRPr="007B7336">
              <w:rPr>
                <w:sz w:val="22"/>
                <w:szCs w:val="22"/>
              </w:rPr>
              <w:t>C. Schaffalitzky</w:t>
            </w:r>
          </w:p>
        </w:tc>
        <w:tc>
          <w:tcPr>
            <w:tcW w:w="1587" w:type="dxa"/>
          </w:tcPr>
          <w:p w14:paraId="36B64BCA" w14:textId="77777777" w:rsidR="00B21E55" w:rsidRPr="007B7336" w:rsidRDefault="00B21E55" w:rsidP="00862439">
            <w:pPr>
              <w:rPr>
                <w:sz w:val="22"/>
                <w:szCs w:val="22"/>
              </w:rPr>
            </w:pPr>
          </w:p>
        </w:tc>
        <w:tc>
          <w:tcPr>
            <w:tcW w:w="1300" w:type="dxa"/>
          </w:tcPr>
          <w:p w14:paraId="0A8652C3" w14:textId="77777777" w:rsidR="00B21E55" w:rsidRPr="007B7336" w:rsidRDefault="00B21E55" w:rsidP="00862439">
            <w:pPr>
              <w:jc w:val="right"/>
              <w:rPr>
                <w:b/>
                <w:bCs/>
                <w:sz w:val="22"/>
                <w:szCs w:val="22"/>
              </w:rPr>
            </w:pPr>
            <w:r w:rsidRPr="007B7336">
              <w:rPr>
                <w:b/>
                <w:bCs/>
                <w:sz w:val="22"/>
                <w:szCs w:val="22"/>
              </w:rPr>
              <w:t>7,933,333</w:t>
            </w:r>
          </w:p>
        </w:tc>
        <w:tc>
          <w:tcPr>
            <w:tcW w:w="1493" w:type="dxa"/>
          </w:tcPr>
          <w:p w14:paraId="5E21B62A" w14:textId="46858D63" w:rsidR="00B21E55" w:rsidRPr="007B7336" w:rsidRDefault="001B0572" w:rsidP="00862439">
            <w:pPr>
              <w:jc w:val="right"/>
              <w:rPr>
                <w:b/>
                <w:bCs/>
                <w:sz w:val="22"/>
                <w:szCs w:val="22"/>
              </w:rPr>
            </w:pPr>
            <w:r w:rsidRPr="007B7336">
              <w:rPr>
                <w:b/>
                <w:bCs/>
                <w:sz w:val="22"/>
                <w:szCs w:val="22"/>
              </w:rPr>
              <w:t>2.14</w:t>
            </w:r>
            <w:r w:rsidR="00B21E55" w:rsidRPr="007B7336">
              <w:rPr>
                <w:b/>
                <w:bCs/>
                <w:sz w:val="22"/>
                <w:szCs w:val="22"/>
              </w:rPr>
              <w:t>%</w:t>
            </w:r>
          </w:p>
        </w:tc>
        <w:tc>
          <w:tcPr>
            <w:tcW w:w="1498" w:type="dxa"/>
          </w:tcPr>
          <w:p w14:paraId="4E56535B" w14:textId="65821EFF" w:rsidR="00B21E55" w:rsidRPr="007B7336" w:rsidRDefault="001B0572" w:rsidP="00862439">
            <w:pPr>
              <w:jc w:val="right"/>
              <w:rPr>
                <w:sz w:val="22"/>
                <w:szCs w:val="22"/>
              </w:rPr>
            </w:pPr>
            <w:r w:rsidRPr="007B7336">
              <w:rPr>
                <w:sz w:val="22"/>
                <w:szCs w:val="22"/>
              </w:rPr>
              <w:t>7,933,333</w:t>
            </w:r>
          </w:p>
        </w:tc>
        <w:tc>
          <w:tcPr>
            <w:tcW w:w="1493" w:type="dxa"/>
          </w:tcPr>
          <w:p w14:paraId="60C8ABB0" w14:textId="250746CA" w:rsidR="00B21E55" w:rsidRPr="007B7336" w:rsidRDefault="001B0572" w:rsidP="00862439">
            <w:pPr>
              <w:jc w:val="right"/>
              <w:rPr>
                <w:sz w:val="22"/>
                <w:szCs w:val="22"/>
              </w:rPr>
            </w:pPr>
            <w:r w:rsidRPr="007B7336">
              <w:rPr>
                <w:sz w:val="22"/>
                <w:szCs w:val="22"/>
              </w:rPr>
              <w:t>2.21</w:t>
            </w:r>
            <w:r w:rsidR="00B21E55" w:rsidRPr="007B7336">
              <w:rPr>
                <w:sz w:val="22"/>
                <w:szCs w:val="22"/>
              </w:rPr>
              <w:t>%</w:t>
            </w:r>
          </w:p>
        </w:tc>
      </w:tr>
      <w:tr w:rsidR="001B0572" w:rsidRPr="007B7336" w14:paraId="5137430C" w14:textId="77777777" w:rsidTr="00B21E55">
        <w:tc>
          <w:tcPr>
            <w:tcW w:w="2666" w:type="dxa"/>
          </w:tcPr>
          <w:p w14:paraId="07930F18" w14:textId="77777777" w:rsidR="00B21E55" w:rsidRPr="007B7336" w:rsidRDefault="00B21E55" w:rsidP="00862439">
            <w:pPr>
              <w:rPr>
                <w:sz w:val="22"/>
                <w:szCs w:val="22"/>
              </w:rPr>
            </w:pPr>
          </w:p>
        </w:tc>
        <w:tc>
          <w:tcPr>
            <w:tcW w:w="1587" w:type="dxa"/>
          </w:tcPr>
          <w:p w14:paraId="2FB6B42E" w14:textId="77777777" w:rsidR="00B21E55" w:rsidRPr="007B7336" w:rsidRDefault="00B21E55" w:rsidP="00862439">
            <w:pPr>
              <w:rPr>
                <w:sz w:val="22"/>
                <w:szCs w:val="22"/>
              </w:rPr>
            </w:pPr>
          </w:p>
        </w:tc>
        <w:tc>
          <w:tcPr>
            <w:tcW w:w="1300" w:type="dxa"/>
          </w:tcPr>
          <w:p w14:paraId="0F2B25DA" w14:textId="77777777" w:rsidR="00B21E55" w:rsidRPr="007B7336" w:rsidRDefault="00B21E55" w:rsidP="00862439">
            <w:pPr>
              <w:rPr>
                <w:sz w:val="22"/>
                <w:szCs w:val="22"/>
              </w:rPr>
            </w:pPr>
          </w:p>
        </w:tc>
        <w:tc>
          <w:tcPr>
            <w:tcW w:w="1493" w:type="dxa"/>
          </w:tcPr>
          <w:p w14:paraId="0557C735" w14:textId="77777777" w:rsidR="00B21E55" w:rsidRPr="007B7336" w:rsidRDefault="00B21E55" w:rsidP="00862439">
            <w:pPr>
              <w:rPr>
                <w:sz w:val="22"/>
                <w:szCs w:val="22"/>
              </w:rPr>
            </w:pPr>
          </w:p>
        </w:tc>
        <w:tc>
          <w:tcPr>
            <w:tcW w:w="1498" w:type="dxa"/>
          </w:tcPr>
          <w:p w14:paraId="1381F9C6" w14:textId="77777777" w:rsidR="00B21E55" w:rsidRPr="007B7336" w:rsidRDefault="00B21E55" w:rsidP="00862439">
            <w:pPr>
              <w:rPr>
                <w:sz w:val="22"/>
                <w:szCs w:val="22"/>
              </w:rPr>
            </w:pPr>
          </w:p>
        </w:tc>
        <w:tc>
          <w:tcPr>
            <w:tcW w:w="1493" w:type="dxa"/>
          </w:tcPr>
          <w:p w14:paraId="7C57D946" w14:textId="77777777" w:rsidR="00B21E55" w:rsidRPr="007B7336" w:rsidRDefault="00B21E55" w:rsidP="00862439">
            <w:pPr>
              <w:rPr>
                <w:sz w:val="22"/>
                <w:szCs w:val="22"/>
              </w:rPr>
            </w:pPr>
          </w:p>
        </w:tc>
      </w:tr>
    </w:tbl>
    <w:p w14:paraId="5D769630" w14:textId="7F186047" w:rsidR="00D42214" w:rsidRPr="007B7336" w:rsidRDefault="00CC6107" w:rsidP="001A42B8">
      <w:pPr>
        <w:jc w:val="both"/>
        <w:rPr>
          <w:sz w:val="22"/>
          <w:szCs w:val="22"/>
        </w:rPr>
      </w:pPr>
      <w:r w:rsidRPr="007B7336">
        <w:rPr>
          <w:sz w:val="22"/>
          <w:szCs w:val="22"/>
        </w:rPr>
        <w:t xml:space="preserve">* </w:t>
      </w:r>
      <w:r w:rsidR="001A42B8" w:rsidRPr="007B7336">
        <w:rPr>
          <w:sz w:val="22"/>
          <w:szCs w:val="22"/>
        </w:rPr>
        <w:t xml:space="preserve">Christopher </w:t>
      </w:r>
      <w:proofErr w:type="spellStart"/>
      <w:r w:rsidR="001A42B8" w:rsidRPr="007B7336">
        <w:rPr>
          <w:sz w:val="22"/>
          <w:szCs w:val="22"/>
        </w:rPr>
        <w:t>Latilla</w:t>
      </w:r>
      <w:proofErr w:type="spellEnd"/>
      <w:r w:rsidR="001A42B8" w:rsidRPr="007B7336">
        <w:rPr>
          <w:sz w:val="22"/>
          <w:szCs w:val="22"/>
        </w:rPr>
        <w:t xml:space="preserve">-Campbell’s interests includes 24,750,000 </w:t>
      </w:r>
      <w:r w:rsidR="004E1872" w:rsidRPr="007B7336">
        <w:rPr>
          <w:sz w:val="22"/>
          <w:szCs w:val="22"/>
        </w:rPr>
        <w:t xml:space="preserve">ordinary </w:t>
      </w:r>
      <w:r w:rsidR="001A42B8" w:rsidRPr="007B7336">
        <w:rPr>
          <w:sz w:val="22"/>
          <w:szCs w:val="22"/>
        </w:rPr>
        <w:t>shares held by Buchanan Trading Inc, in whose shares he is deemed to be interested, as he is a potential beneficiary of a discretionary trust which controls it.</w:t>
      </w:r>
      <w:r w:rsidR="001B0572" w:rsidRPr="007B7336">
        <w:rPr>
          <w:sz w:val="22"/>
          <w:szCs w:val="22"/>
        </w:rPr>
        <w:t xml:space="preserve"> </w:t>
      </w:r>
    </w:p>
    <w:p w14:paraId="4B92E6F0" w14:textId="2A475165" w:rsidR="009073DC" w:rsidRDefault="009073DC" w:rsidP="001A42B8">
      <w:pPr>
        <w:jc w:val="both"/>
        <w:rPr>
          <w:sz w:val="22"/>
          <w:szCs w:val="22"/>
        </w:rPr>
      </w:pPr>
    </w:p>
    <w:p w14:paraId="0D0A4F9C" w14:textId="46FE11EF" w:rsidR="00A45E39" w:rsidRDefault="00A45E39" w:rsidP="001A42B8">
      <w:pPr>
        <w:jc w:val="both"/>
        <w:rPr>
          <w:sz w:val="22"/>
          <w:szCs w:val="22"/>
        </w:rPr>
      </w:pPr>
      <w:r>
        <w:rPr>
          <w:color w:val="000000"/>
          <w:sz w:val="22"/>
          <w:szCs w:val="22"/>
        </w:rPr>
        <w:t>Gervaise Heddle, who resigned as a director of the Company on 23 September 2019, holds, and held at 31 December 2020, 18,846,967 ordinary shares (5.07%) in the Company (December 2019: 18,846,967 (5.24%)).</w:t>
      </w:r>
    </w:p>
    <w:p w14:paraId="1C37B27D" w14:textId="439AA67D" w:rsidR="00A45E39" w:rsidRDefault="00A45E39" w:rsidP="001A42B8">
      <w:pPr>
        <w:jc w:val="both"/>
        <w:rPr>
          <w:sz w:val="22"/>
          <w:szCs w:val="22"/>
        </w:rPr>
      </w:pPr>
    </w:p>
    <w:p w14:paraId="1EF1D9F6" w14:textId="3F436FF5" w:rsidR="00C621A0" w:rsidRDefault="00C621A0" w:rsidP="001A42B8">
      <w:pPr>
        <w:jc w:val="both"/>
        <w:rPr>
          <w:sz w:val="22"/>
          <w:szCs w:val="22"/>
        </w:rPr>
      </w:pPr>
    </w:p>
    <w:p w14:paraId="192AEFAF" w14:textId="1F39D2B6" w:rsidR="00C621A0" w:rsidRDefault="00C621A0" w:rsidP="001A42B8">
      <w:pPr>
        <w:jc w:val="both"/>
        <w:rPr>
          <w:sz w:val="22"/>
          <w:szCs w:val="22"/>
        </w:rPr>
      </w:pPr>
    </w:p>
    <w:p w14:paraId="08554432" w14:textId="4A25EEDB" w:rsidR="00C621A0" w:rsidRDefault="00C621A0" w:rsidP="001A42B8">
      <w:pPr>
        <w:jc w:val="both"/>
        <w:rPr>
          <w:sz w:val="22"/>
          <w:szCs w:val="22"/>
        </w:rPr>
      </w:pPr>
    </w:p>
    <w:p w14:paraId="2C492658" w14:textId="0D50CF32" w:rsidR="00C621A0" w:rsidRDefault="00C621A0" w:rsidP="001A42B8">
      <w:pPr>
        <w:jc w:val="both"/>
        <w:rPr>
          <w:sz w:val="22"/>
          <w:szCs w:val="22"/>
        </w:rPr>
      </w:pPr>
    </w:p>
    <w:p w14:paraId="702960BE" w14:textId="7E713FF9" w:rsidR="00C621A0" w:rsidRDefault="00C621A0" w:rsidP="001A42B8">
      <w:pPr>
        <w:jc w:val="both"/>
        <w:rPr>
          <w:sz w:val="22"/>
          <w:szCs w:val="22"/>
        </w:rPr>
      </w:pPr>
    </w:p>
    <w:p w14:paraId="59B02379" w14:textId="554DC813" w:rsidR="00C621A0" w:rsidRDefault="00C621A0" w:rsidP="001A42B8">
      <w:pPr>
        <w:jc w:val="both"/>
        <w:rPr>
          <w:sz w:val="22"/>
          <w:szCs w:val="22"/>
        </w:rPr>
      </w:pPr>
    </w:p>
    <w:p w14:paraId="2401690E" w14:textId="652803FE" w:rsidR="00C621A0" w:rsidRDefault="00C621A0" w:rsidP="001A42B8">
      <w:pPr>
        <w:jc w:val="both"/>
        <w:rPr>
          <w:sz w:val="22"/>
          <w:szCs w:val="22"/>
        </w:rPr>
      </w:pPr>
    </w:p>
    <w:p w14:paraId="4B2E132B" w14:textId="41A2480A" w:rsidR="00C621A0" w:rsidRDefault="00C621A0" w:rsidP="001A42B8">
      <w:pPr>
        <w:jc w:val="both"/>
        <w:rPr>
          <w:sz w:val="22"/>
          <w:szCs w:val="22"/>
        </w:rPr>
      </w:pPr>
    </w:p>
    <w:p w14:paraId="09B2854C" w14:textId="20B06A09" w:rsidR="00C621A0" w:rsidRDefault="00C621A0" w:rsidP="001A42B8">
      <w:pPr>
        <w:jc w:val="both"/>
        <w:rPr>
          <w:sz w:val="22"/>
          <w:szCs w:val="22"/>
        </w:rPr>
      </w:pPr>
    </w:p>
    <w:p w14:paraId="2AE0A24E" w14:textId="06BF454F" w:rsidR="00C621A0" w:rsidRDefault="00C621A0" w:rsidP="001A42B8">
      <w:pPr>
        <w:jc w:val="both"/>
        <w:rPr>
          <w:sz w:val="22"/>
          <w:szCs w:val="22"/>
        </w:rPr>
      </w:pPr>
    </w:p>
    <w:p w14:paraId="72D2994D" w14:textId="14500241" w:rsidR="00C621A0" w:rsidRDefault="00C621A0" w:rsidP="001A42B8">
      <w:pPr>
        <w:jc w:val="both"/>
        <w:rPr>
          <w:sz w:val="22"/>
          <w:szCs w:val="22"/>
        </w:rPr>
      </w:pPr>
    </w:p>
    <w:p w14:paraId="5C734503" w14:textId="77777777" w:rsidR="00C621A0" w:rsidRPr="007B7336" w:rsidRDefault="00C621A0" w:rsidP="001A42B8">
      <w:pPr>
        <w:jc w:val="both"/>
        <w:rPr>
          <w:sz w:val="22"/>
          <w:szCs w:val="22"/>
        </w:rPr>
      </w:pPr>
    </w:p>
    <w:p w14:paraId="6A7FBDBC" w14:textId="77777777" w:rsidR="00CD4579" w:rsidRPr="00D75F30" w:rsidRDefault="00CD4579" w:rsidP="00CD4579">
      <w:pPr>
        <w:pStyle w:val="Heading7"/>
        <w:jc w:val="center"/>
        <w:rPr>
          <w:sz w:val="22"/>
          <w:szCs w:val="22"/>
        </w:rPr>
      </w:pPr>
      <w:r>
        <w:rPr>
          <w:sz w:val="22"/>
          <w:szCs w:val="22"/>
        </w:rPr>
        <w:t>DIRECTORS’ REPORT (continued)</w:t>
      </w:r>
    </w:p>
    <w:p w14:paraId="04083BD9" w14:textId="77777777" w:rsidR="00CD4579" w:rsidRDefault="00CD4579" w:rsidP="00C621A0">
      <w:pPr>
        <w:pStyle w:val="Heading7"/>
        <w:rPr>
          <w:sz w:val="22"/>
          <w:szCs w:val="22"/>
        </w:rPr>
      </w:pPr>
    </w:p>
    <w:p w14:paraId="5713A2EF" w14:textId="505911AF" w:rsidR="00C621A0" w:rsidRPr="006A17C4" w:rsidRDefault="00C621A0" w:rsidP="00C621A0">
      <w:pPr>
        <w:pStyle w:val="Heading7"/>
        <w:rPr>
          <w:sz w:val="22"/>
          <w:szCs w:val="22"/>
        </w:rPr>
      </w:pPr>
      <w:r w:rsidRPr="006A17C4">
        <w:rPr>
          <w:sz w:val="22"/>
          <w:szCs w:val="22"/>
        </w:rPr>
        <w:t>DIRECTORS</w:t>
      </w:r>
      <w:r>
        <w:rPr>
          <w:sz w:val="22"/>
          <w:szCs w:val="22"/>
        </w:rPr>
        <w:t>’ INTERESTS, continued</w:t>
      </w:r>
    </w:p>
    <w:p w14:paraId="02782AEE" w14:textId="77777777" w:rsidR="00C621A0" w:rsidRDefault="00C621A0" w:rsidP="001A42B8">
      <w:pPr>
        <w:jc w:val="both"/>
        <w:rPr>
          <w:sz w:val="22"/>
          <w:szCs w:val="22"/>
        </w:rPr>
      </w:pPr>
    </w:p>
    <w:p w14:paraId="43E81161" w14:textId="0ADA3E98" w:rsidR="002624EA" w:rsidRPr="007B7336" w:rsidRDefault="000019C8" w:rsidP="001A42B8">
      <w:pPr>
        <w:jc w:val="both"/>
        <w:rPr>
          <w:sz w:val="22"/>
          <w:szCs w:val="22"/>
        </w:rPr>
      </w:pPr>
      <w:r w:rsidRPr="007B7336">
        <w:rPr>
          <w:sz w:val="22"/>
          <w:szCs w:val="22"/>
        </w:rPr>
        <w:t>B</w:t>
      </w:r>
      <w:r w:rsidR="002624EA" w:rsidRPr="007B7336">
        <w:rPr>
          <w:sz w:val="22"/>
          <w:szCs w:val="22"/>
        </w:rPr>
        <w:t xml:space="preserve">etween 31 December </w:t>
      </w:r>
      <w:r w:rsidRPr="007B7336">
        <w:rPr>
          <w:sz w:val="22"/>
          <w:szCs w:val="22"/>
        </w:rPr>
        <w:t xml:space="preserve">2020 </w:t>
      </w:r>
      <w:r w:rsidR="002624EA" w:rsidRPr="007B7336">
        <w:rPr>
          <w:sz w:val="22"/>
          <w:szCs w:val="22"/>
        </w:rPr>
        <w:t>and the date of this report</w:t>
      </w:r>
      <w:r w:rsidRPr="007B7336">
        <w:rPr>
          <w:sz w:val="22"/>
          <w:szCs w:val="22"/>
        </w:rPr>
        <w:t xml:space="preserve"> the </w:t>
      </w:r>
      <w:r w:rsidR="003372AF">
        <w:rPr>
          <w:sz w:val="22"/>
          <w:szCs w:val="22"/>
        </w:rPr>
        <w:t>D</w:t>
      </w:r>
      <w:r w:rsidRPr="007B7336">
        <w:rPr>
          <w:sz w:val="22"/>
          <w:szCs w:val="22"/>
        </w:rPr>
        <w:t>irectors’ interests in shares in the Company increased as set out in the table below:</w:t>
      </w:r>
    </w:p>
    <w:p w14:paraId="0EFFB9F9" w14:textId="038E3963" w:rsidR="000019C8" w:rsidRPr="00A322F1" w:rsidRDefault="000019C8" w:rsidP="001A42B8">
      <w:pPr>
        <w:jc w:val="both"/>
        <w:rPr>
          <w:sz w:val="22"/>
          <w:szCs w:val="22"/>
        </w:rPr>
      </w:pP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1418"/>
        <w:gridCol w:w="1701"/>
        <w:gridCol w:w="1498"/>
        <w:gridCol w:w="1497"/>
      </w:tblGrid>
      <w:tr w:rsidR="00B84636" w:rsidRPr="007B7336" w14:paraId="5D326446" w14:textId="77777777" w:rsidTr="00C621A0">
        <w:tc>
          <w:tcPr>
            <w:tcW w:w="2268" w:type="dxa"/>
          </w:tcPr>
          <w:p w14:paraId="142B3D8D" w14:textId="77777777" w:rsidR="000019C8" w:rsidRPr="00A322F1" w:rsidRDefault="000019C8" w:rsidP="007B7336">
            <w:pPr>
              <w:rPr>
                <w:sz w:val="22"/>
                <w:szCs w:val="22"/>
              </w:rPr>
            </w:pPr>
          </w:p>
        </w:tc>
        <w:tc>
          <w:tcPr>
            <w:tcW w:w="1701" w:type="dxa"/>
          </w:tcPr>
          <w:p w14:paraId="59E4F7A1" w14:textId="77777777" w:rsidR="000019C8" w:rsidRPr="000B3761" w:rsidRDefault="000019C8" w:rsidP="007B7336">
            <w:pPr>
              <w:jc w:val="center"/>
              <w:rPr>
                <w:sz w:val="22"/>
                <w:szCs w:val="22"/>
              </w:rPr>
            </w:pPr>
          </w:p>
        </w:tc>
        <w:tc>
          <w:tcPr>
            <w:tcW w:w="6114" w:type="dxa"/>
            <w:gridSpan w:val="4"/>
          </w:tcPr>
          <w:p w14:paraId="3FFCB82D" w14:textId="77777777" w:rsidR="000019C8" w:rsidRPr="00A322F1" w:rsidRDefault="000019C8" w:rsidP="007B7336">
            <w:pPr>
              <w:jc w:val="center"/>
              <w:rPr>
                <w:b/>
                <w:bCs/>
                <w:sz w:val="22"/>
                <w:szCs w:val="22"/>
              </w:rPr>
            </w:pPr>
            <w:r w:rsidRPr="00A322F1">
              <w:rPr>
                <w:b/>
                <w:bCs/>
                <w:sz w:val="22"/>
                <w:szCs w:val="22"/>
              </w:rPr>
              <w:t>Ordinary Shares of £0.0001 each</w:t>
            </w:r>
          </w:p>
        </w:tc>
      </w:tr>
      <w:tr w:rsidR="00B84636" w:rsidRPr="007B7336" w14:paraId="4637904D" w14:textId="77777777" w:rsidTr="00C621A0">
        <w:tc>
          <w:tcPr>
            <w:tcW w:w="2268" w:type="dxa"/>
          </w:tcPr>
          <w:p w14:paraId="713DA7AB" w14:textId="77777777" w:rsidR="007B7336" w:rsidRPr="00A322F1" w:rsidRDefault="007B7336" w:rsidP="007B7336">
            <w:pPr>
              <w:rPr>
                <w:sz w:val="22"/>
                <w:szCs w:val="22"/>
              </w:rPr>
            </w:pPr>
          </w:p>
        </w:tc>
        <w:tc>
          <w:tcPr>
            <w:tcW w:w="1701" w:type="dxa"/>
          </w:tcPr>
          <w:p w14:paraId="65564DF2" w14:textId="47D10F3C" w:rsidR="007B7336" w:rsidRPr="00A322F1" w:rsidRDefault="00B84636" w:rsidP="00C621A0">
            <w:pPr>
              <w:jc w:val="right"/>
              <w:rPr>
                <w:sz w:val="22"/>
                <w:szCs w:val="22"/>
              </w:rPr>
            </w:pPr>
            <w:r>
              <w:rPr>
                <w:b/>
                <w:bCs/>
                <w:sz w:val="22"/>
                <w:szCs w:val="22"/>
              </w:rPr>
              <w:t>Shares issued pursuant to the  c</w:t>
            </w:r>
            <w:r w:rsidR="007B7336" w:rsidRPr="00A322F1">
              <w:rPr>
                <w:b/>
                <w:bCs/>
                <w:sz w:val="22"/>
                <w:szCs w:val="22"/>
              </w:rPr>
              <w:t>onversion of Warrants</w:t>
            </w:r>
          </w:p>
        </w:tc>
        <w:tc>
          <w:tcPr>
            <w:tcW w:w="1418" w:type="dxa"/>
          </w:tcPr>
          <w:p w14:paraId="3AF91C73" w14:textId="3A424CBC" w:rsidR="007B7336" w:rsidRPr="00A322F1" w:rsidRDefault="00B84636" w:rsidP="007B7336">
            <w:pPr>
              <w:jc w:val="right"/>
              <w:rPr>
                <w:b/>
                <w:bCs/>
                <w:sz w:val="22"/>
                <w:szCs w:val="22"/>
              </w:rPr>
            </w:pPr>
            <w:r>
              <w:rPr>
                <w:b/>
                <w:bCs/>
                <w:sz w:val="22"/>
                <w:szCs w:val="22"/>
              </w:rPr>
              <w:t xml:space="preserve">Shares issued pursuant to </w:t>
            </w:r>
            <w:r w:rsidR="007B7336" w:rsidRPr="00A322F1">
              <w:rPr>
                <w:b/>
                <w:bCs/>
                <w:sz w:val="22"/>
                <w:szCs w:val="22"/>
              </w:rPr>
              <w:t>Director</w:t>
            </w:r>
            <w:r>
              <w:rPr>
                <w:b/>
                <w:bCs/>
                <w:sz w:val="22"/>
                <w:szCs w:val="22"/>
              </w:rPr>
              <w:t>s’</w:t>
            </w:r>
            <w:r w:rsidR="007B7336" w:rsidRPr="00A322F1">
              <w:rPr>
                <w:b/>
                <w:bCs/>
                <w:sz w:val="22"/>
                <w:szCs w:val="22"/>
              </w:rPr>
              <w:t xml:space="preserve"> Advance</w:t>
            </w:r>
            <w:r>
              <w:rPr>
                <w:b/>
                <w:bCs/>
                <w:sz w:val="22"/>
                <w:szCs w:val="22"/>
              </w:rPr>
              <w:t>s</w:t>
            </w:r>
          </w:p>
        </w:tc>
        <w:tc>
          <w:tcPr>
            <w:tcW w:w="1701" w:type="dxa"/>
          </w:tcPr>
          <w:p w14:paraId="01C531F6" w14:textId="1C869D45" w:rsidR="007B7336" w:rsidRPr="00A322F1" w:rsidRDefault="00B84636" w:rsidP="007B7336">
            <w:pPr>
              <w:jc w:val="right"/>
              <w:rPr>
                <w:b/>
                <w:bCs/>
                <w:sz w:val="22"/>
                <w:szCs w:val="22"/>
              </w:rPr>
            </w:pPr>
            <w:r>
              <w:rPr>
                <w:b/>
                <w:bCs/>
                <w:sz w:val="22"/>
                <w:szCs w:val="22"/>
              </w:rPr>
              <w:t>Shares issued pursuant to the c</w:t>
            </w:r>
            <w:r w:rsidR="007B7336" w:rsidRPr="00A322F1">
              <w:rPr>
                <w:b/>
                <w:bCs/>
                <w:sz w:val="22"/>
                <w:szCs w:val="22"/>
              </w:rPr>
              <w:t>onversion of CLNs</w:t>
            </w:r>
            <w:r>
              <w:rPr>
                <w:b/>
                <w:bCs/>
                <w:sz w:val="22"/>
                <w:szCs w:val="22"/>
              </w:rPr>
              <w:t>*</w:t>
            </w:r>
          </w:p>
        </w:tc>
        <w:tc>
          <w:tcPr>
            <w:tcW w:w="1498" w:type="dxa"/>
          </w:tcPr>
          <w:p w14:paraId="051A571A" w14:textId="734C12CA" w:rsidR="007B7336" w:rsidRPr="00A322F1" w:rsidRDefault="007B7336" w:rsidP="007B7336">
            <w:pPr>
              <w:jc w:val="right"/>
              <w:rPr>
                <w:b/>
                <w:bCs/>
                <w:sz w:val="22"/>
                <w:szCs w:val="22"/>
              </w:rPr>
            </w:pPr>
            <w:r w:rsidRPr="00A322F1">
              <w:rPr>
                <w:b/>
                <w:bCs/>
                <w:sz w:val="22"/>
                <w:szCs w:val="22"/>
              </w:rPr>
              <w:t xml:space="preserve">Bonus </w:t>
            </w:r>
            <w:r w:rsidR="007E7886">
              <w:rPr>
                <w:b/>
                <w:bCs/>
                <w:sz w:val="22"/>
                <w:szCs w:val="22"/>
              </w:rPr>
              <w:t>s</w:t>
            </w:r>
            <w:r w:rsidRPr="00A322F1">
              <w:rPr>
                <w:b/>
                <w:bCs/>
                <w:sz w:val="22"/>
                <w:szCs w:val="22"/>
              </w:rPr>
              <w:t>hares</w:t>
            </w:r>
          </w:p>
        </w:tc>
        <w:tc>
          <w:tcPr>
            <w:tcW w:w="1497" w:type="dxa"/>
          </w:tcPr>
          <w:p w14:paraId="5E8C44C8" w14:textId="0B9B7004" w:rsidR="007B7336" w:rsidRPr="00A322F1" w:rsidRDefault="007B7336" w:rsidP="007B7336">
            <w:pPr>
              <w:jc w:val="right"/>
              <w:rPr>
                <w:b/>
                <w:bCs/>
                <w:sz w:val="22"/>
                <w:szCs w:val="22"/>
              </w:rPr>
            </w:pPr>
            <w:r w:rsidRPr="00A322F1">
              <w:rPr>
                <w:b/>
                <w:bCs/>
                <w:sz w:val="22"/>
                <w:szCs w:val="22"/>
              </w:rPr>
              <w:t>Total shares issued since 31 Dec 2020</w:t>
            </w:r>
          </w:p>
        </w:tc>
      </w:tr>
      <w:tr w:rsidR="00B84636" w:rsidRPr="007B7336" w14:paraId="56FB2613" w14:textId="77777777" w:rsidTr="00C621A0">
        <w:tc>
          <w:tcPr>
            <w:tcW w:w="2268" w:type="dxa"/>
          </w:tcPr>
          <w:p w14:paraId="5CA7BADA" w14:textId="77777777" w:rsidR="007B7336" w:rsidRPr="00A322F1" w:rsidRDefault="007B7336" w:rsidP="007B7336">
            <w:pPr>
              <w:rPr>
                <w:sz w:val="22"/>
                <w:szCs w:val="22"/>
              </w:rPr>
            </w:pPr>
          </w:p>
        </w:tc>
        <w:tc>
          <w:tcPr>
            <w:tcW w:w="1701" w:type="dxa"/>
          </w:tcPr>
          <w:p w14:paraId="29B83814" w14:textId="77777777" w:rsidR="007B7336" w:rsidRPr="00A322F1" w:rsidRDefault="007B7336" w:rsidP="00A322F1">
            <w:pPr>
              <w:jc w:val="right"/>
              <w:rPr>
                <w:sz w:val="22"/>
                <w:szCs w:val="22"/>
              </w:rPr>
            </w:pPr>
          </w:p>
        </w:tc>
        <w:tc>
          <w:tcPr>
            <w:tcW w:w="1418" w:type="dxa"/>
          </w:tcPr>
          <w:p w14:paraId="1B4C2CE9" w14:textId="77777777" w:rsidR="007B7336" w:rsidRPr="00A322F1" w:rsidRDefault="007B7336" w:rsidP="00A322F1">
            <w:pPr>
              <w:jc w:val="right"/>
              <w:rPr>
                <w:sz w:val="22"/>
                <w:szCs w:val="22"/>
              </w:rPr>
            </w:pPr>
          </w:p>
        </w:tc>
        <w:tc>
          <w:tcPr>
            <w:tcW w:w="1701" w:type="dxa"/>
          </w:tcPr>
          <w:p w14:paraId="5463B1B9" w14:textId="77777777" w:rsidR="007B7336" w:rsidRPr="00A322F1" w:rsidRDefault="007B7336" w:rsidP="00A322F1">
            <w:pPr>
              <w:jc w:val="right"/>
              <w:rPr>
                <w:sz w:val="22"/>
                <w:szCs w:val="22"/>
              </w:rPr>
            </w:pPr>
          </w:p>
        </w:tc>
        <w:tc>
          <w:tcPr>
            <w:tcW w:w="1498" w:type="dxa"/>
          </w:tcPr>
          <w:p w14:paraId="0FA5E033" w14:textId="77777777" w:rsidR="007B7336" w:rsidRPr="00A322F1" w:rsidRDefault="007B7336" w:rsidP="00A322F1">
            <w:pPr>
              <w:jc w:val="right"/>
              <w:rPr>
                <w:sz w:val="22"/>
                <w:szCs w:val="22"/>
              </w:rPr>
            </w:pPr>
          </w:p>
        </w:tc>
        <w:tc>
          <w:tcPr>
            <w:tcW w:w="1497" w:type="dxa"/>
          </w:tcPr>
          <w:p w14:paraId="6996BDC5" w14:textId="77777777" w:rsidR="007B7336" w:rsidRPr="00A322F1" w:rsidRDefault="007B7336" w:rsidP="00A322F1">
            <w:pPr>
              <w:jc w:val="right"/>
              <w:rPr>
                <w:sz w:val="22"/>
                <w:szCs w:val="22"/>
              </w:rPr>
            </w:pPr>
          </w:p>
        </w:tc>
      </w:tr>
      <w:tr w:rsidR="00B84636" w:rsidRPr="007B7336" w14:paraId="73004ADA" w14:textId="77777777" w:rsidTr="00C621A0">
        <w:tc>
          <w:tcPr>
            <w:tcW w:w="2268" w:type="dxa"/>
          </w:tcPr>
          <w:p w14:paraId="7BF09C3D" w14:textId="1CC92F10" w:rsidR="007B7336" w:rsidRPr="00A322F1" w:rsidRDefault="007B7336" w:rsidP="007B7336">
            <w:pPr>
              <w:rPr>
                <w:sz w:val="22"/>
                <w:szCs w:val="22"/>
              </w:rPr>
            </w:pPr>
            <w:r w:rsidRPr="00A322F1">
              <w:rPr>
                <w:sz w:val="22"/>
                <w:szCs w:val="22"/>
              </w:rPr>
              <w:t>C. P. Latilla-Campbell</w:t>
            </w:r>
          </w:p>
        </w:tc>
        <w:tc>
          <w:tcPr>
            <w:tcW w:w="1701" w:type="dxa"/>
          </w:tcPr>
          <w:p w14:paraId="58A6BB3B" w14:textId="5412DBB4" w:rsidR="007B7336" w:rsidRPr="00A322F1" w:rsidRDefault="007B7336" w:rsidP="007B7336">
            <w:pPr>
              <w:jc w:val="right"/>
              <w:rPr>
                <w:sz w:val="22"/>
                <w:szCs w:val="22"/>
              </w:rPr>
            </w:pPr>
            <w:r w:rsidRPr="00A322F1">
              <w:rPr>
                <w:sz w:val="22"/>
                <w:szCs w:val="22"/>
              </w:rPr>
              <w:t>3,333,333</w:t>
            </w:r>
          </w:p>
        </w:tc>
        <w:tc>
          <w:tcPr>
            <w:tcW w:w="1418" w:type="dxa"/>
          </w:tcPr>
          <w:p w14:paraId="0F69B601" w14:textId="02D4A1BE" w:rsidR="007B7336" w:rsidRPr="007B7336" w:rsidRDefault="007B7336" w:rsidP="007B7336">
            <w:pPr>
              <w:jc w:val="right"/>
              <w:rPr>
                <w:sz w:val="22"/>
                <w:szCs w:val="22"/>
              </w:rPr>
            </w:pPr>
            <w:r w:rsidRPr="007B7336">
              <w:rPr>
                <w:sz w:val="22"/>
                <w:szCs w:val="22"/>
              </w:rPr>
              <w:t>737,463</w:t>
            </w:r>
          </w:p>
        </w:tc>
        <w:tc>
          <w:tcPr>
            <w:tcW w:w="1701" w:type="dxa"/>
          </w:tcPr>
          <w:p w14:paraId="65780998" w14:textId="43185246" w:rsidR="007B7336" w:rsidRPr="007B7336" w:rsidRDefault="007B7336" w:rsidP="007B7336">
            <w:pPr>
              <w:jc w:val="right"/>
              <w:rPr>
                <w:sz w:val="22"/>
                <w:szCs w:val="22"/>
              </w:rPr>
            </w:pPr>
            <w:r w:rsidRPr="00A322F1">
              <w:rPr>
                <w:sz w:val="22"/>
                <w:szCs w:val="22"/>
              </w:rPr>
              <w:t>833,333</w:t>
            </w:r>
          </w:p>
        </w:tc>
        <w:tc>
          <w:tcPr>
            <w:tcW w:w="1498" w:type="dxa"/>
          </w:tcPr>
          <w:p w14:paraId="49150620" w14:textId="766BF99A" w:rsidR="007B7336" w:rsidRPr="007B7336" w:rsidRDefault="007B7336" w:rsidP="007B7336">
            <w:pPr>
              <w:jc w:val="right"/>
              <w:rPr>
                <w:sz w:val="22"/>
                <w:szCs w:val="22"/>
              </w:rPr>
            </w:pPr>
            <w:r w:rsidRPr="007B7336">
              <w:rPr>
                <w:sz w:val="22"/>
                <w:szCs w:val="22"/>
              </w:rPr>
              <w:t>-</w:t>
            </w:r>
          </w:p>
        </w:tc>
        <w:tc>
          <w:tcPr>
            <w:tcW w:w="1497" w:type="dxa"/>
          </w:tcPr>
          <w:p w14:paraId="4698E7C5" w14:textId="223A3FE9" w:rsidR="007B7336" w:rsidRPr="007B7336" w:rsidRDefault="007B7336" w:rsidP="007B7336">
            <w:pPr>
              <w:jc w:val="right"/>
              <w:rPr>
                <w:b/>
                <w:bCs/>
                <w:sz w:val="22"/>
                <w:szCs w:val="22"/>
              </w:rPr>
            </w:pPr>
            <w:r w:rsidRPr="007B7336">
              <w:rPr>
                <w:b/>
                <w:bCs/>
                <w:sz w:val="22"/>
                <w:szCs w:val="22"/>
              </w:rPr>
              <w:t>4,904,129</w:t>
            </w:r>
          </w:p>
        </w:tc>
      </w:tr>
      <w:tr w:rsidR="00B84636" w:rsidRPr="007B7336" w14:paraId="0837950D" w14:textId="77777777" w:rsidTr="00C621A0">
        <w:tc>
          <w:tcPr>
            <w:tcW w:w="2268" w:type="dxa"/>
          </w:tcPr>
          <w:p w14:paraId="6D4488AD" w14:textId="77777777" w:rsidR="007B7336" w:rsidRPr="007B7336" w:rsidRDefault="007B7336" w:rsidP="007B7336">
            <w:pPr>
              <w:rPr>
                <w:sz w:val="22"/>
                <w:szCs w:val="22"/>
              </w:rPr>
            </w:pPr>
            <w:r w:rsidRPr="007B7336">
              <w:rPr>
                <w:sz w:val="22"/>
                <w:szCs w:val="22"/>
              </w:rPr>
              <w:t>R. Gerritsen</w:t>
            </w:r>
          </w:p>
        </w:tc>
        <w:tc>
          <w:tcPr>
            <w:tcW w:w="1701" w:type="dxa"/>
          </w:tcPr>
          <w:p w14:paraId="793C3BDF" w14:textId="69618781" w:rsidR="007B7336" w:rsidRPr="007B7336" w:rsidRDefault="007B7336" w:rsidP="007B7336">
            <w:pPr>
              <w:jc w:val="right"/>
              <w:rPr>
                <w:sz w:val="22"/>
                <w:szCs w:val="22"/>
              </w:rPr>
            </w:pPr>
            <w:r w:rsidRPr="007B7336">
              <w:rPr>
                <w:sz w:val="22"/>
                <w:szCs w:val="22"/>
              </w:rPr>
              <w:t>-</w:t>
            </w:r>
          </w:p>
        </w:tc>
        <w:tc>
          <w:tcPr>
            <w:tcW w:w="1418" w:type="dxa"/>
          </w:tcPr>
          <w:p w14:paraId="16D1D0ED" w14:textId="629401EA" w:rsidR="007B7336" w:rsidRPr="007B7336" w:rsidRDefault="007B7336" w:rsidP="007B7336">
            <w:pPr>
              <w:jc w:val="right"/>
              <w:rPr>
                <w:sz w:val="22"/>
                <w:szCs w:val="22"/>
              </w:rPr>
            </w:pPr>
            <w:r w:rsidRPr="007B7336">
              <w:rPr>
                <w:sz w:val="22"/>
                <w:szCs w:val="22"/>
              </w:rPr>
              <w:t>4,424,779</w:t>
            </w:r>
          </w:p>
        </w:tc>
        <w:tc>
          <w:tcPr>
            <w:tcW w:w="1701" w:type="dxa"/>
          </w:tcPr>
          <w:p w14:paraId="0A48D1C4" w14:textId="245300AE" w:rsidR="007B7336" w:rsidRPr="007B7336" w:rsidRDefault="007B7336" w:rsidP="007B7336">
            <w:pPr>
              <w:jc w:val="right"/>
              <w:rPr>
                <w:sz w:val="22"/>
                <w:szCs w:val="22"/>
              </w:rPr>
            </w:pPr>
            <w:r w:rsidRPr="007B7336">
              <w:rPr>
                <w:sz w:val="22"/>
                <w:szCs w:val="22"/>
              </w:rPr>
              <w:t>1,666,667</w:t>
            </w:r>
          </w:p>
        </w:tc>
        <w:tc>
          <w:tcPr>
            <w:tcW w:w="1498" w:type="dxa"/>
          </w:tcPr>
          <w:p w14:paraId="26A4127D" w14:textId="142D19E5" w:rsidR="007B7336" w:rsidRPr="007B7336" w:rsidRDefault="007B7336" w:rsidP="007B7336">
            <w:pPr>
              <w:jc w:val="right"/>
              <w:rPr>
                <w:sz w:val="22"/>
                <w:szCs w:val="22"/>
              </w:rPr>
            </w:pPr>
            <w:r w:rsidRPr="007B7336">
              <w:rPr>
                <w:sz w:val="22"/>
                <w:szCs w:val="22"/>
              </w:rPr>
              <w:t>1,609,589</w:t>
            </w:r>
          </w:p>
        </w:tc>
        <w:tc>
          <w:tcPr>
            <w:tcW w:w="1497" w:type="dxa"/>
          </w:tcPr>
          <w:p w14:paraId="7F66076B" w14:textId="25869431" w:rsidR="007B7336" w:rsidRPr="007B7336" w:rsidRDefault="007B7336" w:rsidP="007B7336">
            <w:pPr>
              <w:jc w:val="right"/>
              <w:rPr>
                <w:b/>
                <w:bCs/>
                <w:sz w:val="22"/>
                <w:szCs w:val="22"/>
              </w:rPr>
            </w:pPr>
            <w:r w:rsidRPr="007B7336">
              <w:rPr>
                <w:b/>
                <w:bCs/>
                <w:sz w:val="22"/>
                <w:szCs w:val="22"/>
              </w:rPr>
              <w:t>7,701,035</w:t>
            </w:r>
          </w:p>
        </w:tc>
      </w:tr>
      <w:tr w:rsidR="00B84636" w:rsidRPr="007B7336" w14:paraId="117CF81E" w14:textId="77777777" w:rsidTr="00C621A0">
        <w:tc>
          <w:tcPr>
            <w:tcW w:w="2268" w:type="dxa"/>
          </w:tcPr>
          <w:p w14:paraId="575DCCE4" w14:textId="52EFCFC2" w:rsidR="007B7336" w:rsidRPr="007B7336" w:rsidRDefault="007B7336" w:rsidP="007B7336">
            <w:pPr>
              <w:rPr>
                <w:sz w:val="22"/>
                <w:szCs w:val="22"/>
              </w:rPr>
            </w:pPr>
            <w:r w:rsidRPr="007B7336">
              <w:rPr>
                <w:sz w:val="22"/>
                <w:szCs w:val="22"/>
              </w:rPr>
              <w:t>P. Rocco</w:t>
            </w:r>
          </w:p>
        </w:tc>
        <w:tc>
          <w:tcPr>
            <w:tcW w:w="1701" w:type="dxa"/>
          </w:tcPr>
          <w:p w14:paraId="448A375F" w14:textId="5D984D2F" w:rsidR="007B7336" w:rsidRPr="007B7336" w:rsidRDefault="007B7336" w:rsidP="007B7336">
            <w:pPr>
              <w:jc w:val="right"/>
              <w:rPr>
                <w:sz w:val="22"/>
                <w:szCs w:val="22"/>
              </w:rPr>
            </w:pPr>
            <w:r w:rsidRPr="007B7336">
              <w:rPr>
                <w:sz w:val="22"/>
                <w:szCs w:val="22"/>
              </w:rPr>
              <w:t>-</w:t>
            </w:r>
          </w:p>
        </w:tc>
        <w:tc>
          <w:tcPr>
            <w:tcW w:w="1418" w:type="dxa"/>
          </w:tcPr>
          <w:p w14:paraId="057B0A9C" w14:textId="487D3719" w:rsidR="007B7336" w:rsidRPr="007B7336" w:rsidRDefault="007B7336" w:rsidP="007B7336">
            <w:pPr>
              <w:jc w:val="right"/>
              <w:rPr>
                <w:sz w:val="22"/>
                <w:szCs w:val="22"/>
              </w:rPr>
            </w:pPr>
            <w:r w:rsidRPr="007B7336">
              <w:rPr>
                <w:sz w:val="22"/>
                <w:szCs w:val="22"/>
              </w:rPr>
              <w:t>1,474,926</w:t>
            </w:r>
          </w:p>
        </w:tc>
        <w:tc>
          <w:tcPr>
            <w:tcW w:w="1701" w:type="dxa"/>
          </w:tcPr>
          <w:p w14:paraId="5C52C701" w14:textId="4AF25B73" w:rsidR="007B7336" w:rsidRPr="007B7336" w:rsidRDefault="007B7336" w:rsidP="007B7336">
            <w:pPr>
              <w:jc w:val="right"/>
              <w:rPr>
                <w:sz w:val="22"/>
                <w:szCs w:val="22"/>
              </w:rPr>
            </w:pPr>
            <w:r w:rsidRPr="007B7336">
              <w:rPr>
                <w:sz w:val="22"/>
                <w:szCs w:val="22"/>
              </w:rPr>
              <w:t>1,666,667</w:t>
            </w:r>
          </w:p>
        </w:tc>
        <w:tc>
          <w:tcPr>
            <w:tcW w:w="1498" w:type="dxa"/>
          </w:tcPr>
          <w:p w14:paraId="6EA96460" w14:textId="21472941" w:rsidR="007B7336" w:rsidRPr="007B7336" w:rsidRDefault="007B7336" w:rsidP="007B7336">
            <w:pPr>
              <w:jc w:val="right"/>
              <w:rPr>
                <w:sz w:val="22"/>
                <w:szCs w:val="22"/>
              </w:rPr>
            </w:pPr>
            <w:r w:rsidRPr="007B7336">
              <w:rPr>
                <w:sz w:val="22"/>
                <w:szCs w:val="22"/>
              </w:rPr>
              <w:t>-</w:t>
            </w:r>
          </w:p>
        </w:tc>
        <w:tc>
          <w:tcPr>
            <w:tcW w:w="1497" w:type="dxa"/>
          </w:tcPr>
          <w:p w14:paraId="737CB01B" w14:textId="4CF8AC9C" w:rsidR="007B7336" w:rsidRPr="007B7336" w:rsidRDefault="007B7336" w:rsidP="007B7336">
            <w:pPr>
              <w:jc w:val="right"/>
              <w:rPr>
                <w:b/>
                <w:bCs/>
                <w:sz w:val="22"/>
                <w:szCs w:val="22"/>
              </w:rPr>
            </w:pPr>
            <w:r w:rsidRPr="007B7336">
              <w:rPr>
                <w:b/>
                <w:bCs/>
                <w:sz w:val="22"/>
                <w:szCs w:val="22"/>
              </w:rPr>
              <w:t>3,141,593</w:t>
            </w:r>
          </w:p>
        </w:tc>
      </w:tr>
      <w:tr w:rsidR="00B84636" w:rsidRPr="00441ADE" w14:paraId="7C620D35" w14:textId="77777777" w:rsidTr="00C621A0">
        <w:tc>
          <w:tcPr>
            <w:tcW w:w="2268" w:type="dxa"/>
          </w:tcPr>
          <w:p w14:paraId="02475791" w14:textId="77777777" w:rsidR="007B7336" w:rsidRPr="007B7336" w:rsidRDefault="007B7336" w:rsidP="007B7336">
            <w:pPr>
              <w:rPr>
                <w:sz w:val="22"/>
                <w:szCs w:val="22"/>
              </w:rPr>
            </w:pPr>
            <w:r w:rsidRPr="007B7336">
              <w:rPr>
                <w:sz w:val="22"/>
                <w:szCs w:val="22"/>
              </w:rPr>
              <w:t>C. Schaffalitzky</w:t>
            </w:r>
          </w:p>
        </w:tc>
        <w:tc>
          <w:tcPr>
            <w:tcW w:w="1701" w:type="dxa"/>
            <w:tcBorders>
              <w:bottom w:val="single" w:sz="4" w:space="0" w:color="auto"/>
            </w:tcBorders>
          </w:tcPr>
          <w:p w14:paraId="05F6FFCA" w14:textId="00D43E2A" w:rsidR="007B7336" w:rsidRPr="007B7336" w:rsidRDefault="007B7336" w:rsidP="007B7336">
            <w:pPr>
              <w:jc w:val="right"/>
              <w:rPr>
                <w:sz w:val="22"/>
                <w:szCs w:val="22"/>
              </w:rPr>
            </w:pPr>
            <w:r w:rsidRPr="007B7336">
              <w:rPr>
                <w:sz w:val="22"/>
                <w:szCs w:val="22"/>
              </w:rPr>
              <w:t>3,333,333</w:t>
            </w:r>
          </w:p>
        </w:tc>
        <w:tc>
          <w:tcPr>
            <w:tcW w:w="1418" w:type="dxa"/>
            <w:tcBorders>
              <w:bottom w:val="single" w:sz="4" w:space="0" w:color="auto"/>
            </w:tcBorders>
          </w:tcPr>
          <w:p w14:paraId="6FBF9F01" w14:textId="06B7896F" w:rsidR="007B7336" w:rsidRPr="007B7336" w:rsidRDefault="007B7336" w:rsidP="007B7336">
            <w:pPr>
              <w:jc w:val="right"/>
              <w:rPr>
                <w:sz w:val="22"/>
                <w:szCs w:val="22"/>
              </w:rPr>
            </w:pPr>
            <w:r w:rsidRPr="007B7336">
              <w:rPr>
                <w:sz w:val="22"/>
                <w:szCs w:val="22"/>
              </w:rPr>
              <w:t>-</w:t>
            </w:r>
          </w:p>
        </w:tc>
        <w:tc>
          <w:tcPr>
            <w:tcW w:w="1701" w:type="dxa"/>
            <w:tcBorders>
              <w:bottom w:val="single" w:sz="4" w:space="0" w:color="auto"/>
            </w:tcBorders>
          </w:tcPr>
          <w:p w14:paraId="2543EA28" w14:textId="66195F5A" w:rsidR="007B7336" w:rsidRPr="007B7336" w:rsidRDefault="007B7336" w:rsidP="007B7336">
            <w:pPr>
              <w:jc w:val="right"/>
              <w:rPr>
                <w:sz w:val="22"/>
                <w:szCs w:val="22"/>
              </w:rPr>
            </w:pPr>
            <w:r w:rsidRPr="007B7336">
              <w:rPr>
                <w:sz w:val="22"/>
                <w:szCs w:val="22"/>
              </w:rPr>
              <w:t>833,333</w:t>
            </w:r>
          </w:p>
        </w:tc>
        <w:tc>
          <w:tcPr>
            <w:tcW w:w="1498" w:type="dxa"/>
            <w:tcBorders>
              <w:bottom w:val="single" w:sz="4" w:space="0" w:color="auto"/>
            </w:tcBorders>
          </w:tcPr>
          <w:p w14:paraId="397AD460" w14:textId="42066BE5" w:rsidR="007B7336" w:rsidRPr="007B7336" w:rsidRDefault="007B7336" w:rsidP="007B7336">
            <w:pPr>
              <w:jc w:val="right"/>
              <w:rPr>
                <w:sz w:val="22"/>
                <w:szCs w:val="22"/>
              </w:rPr>
            </w:pPr>
            <w:r w:rsidRPr="007B7336">
              <w:rPr>
                <w:sz w:val="22"/>
                <w:szCs w:val="22"/>
              </w:rPr>
              <w:t>-</w:t>
            </w:r>
          </w:p>
        </w:tc>
        <w:tc>
          <w:tcPr>
            <w:tcW w:w="1497" w:type="dxa"/>
            <w:tcBorders>
              <w:bottom w:val="single" w:sz="4" w:space="0" w:color="auto"/>
            </w:tcBorders>
          </w:tcPr>
          <w:p w14:paraId="38324A88" w14:textId="56A6DAA9" w:rsidR="007B7336" w:rsidRPr="007B7336" w:rsidRDefault="007B7336" w:rsidP="007B7336">
            <w:pPr>
              <w:jc w:val="right"/>
              <w:rPr>
                <w:b/>
                <w:bCs/>
                <w:sz w:val="22"/>
                <w:szCs w:val="22"/>
              </w:rPr>
            </w:pPr>
            <w:r w:rsidRPr="007B7336">
              <w:rPr>
                <w:b/>
                <w:bCs/>
                <w:sz w:val="22"/>
                <w:szCs w:val="22"/>
              </w:rPr>
              <w:t>4,166,666</w:t>
            </w:r>
          </w:p>
        </w:tc>
      </w:tr>
      <w:tr w:rsidR="00B84636" w:rsidRPr="00441ADE" w14:paraId="6995A51C" w14:textId="77777777" w:rsidTr="00C621A0">
        <w:tc>
          <w:tcPr>
            <w:tcW w:w="2268" w:type="dxa"/>
          </w:tcPr>
          <w:p w14:paraId="79D1B630" w14:textId="7178CED6" w:rsidR="000B3761" w:rsidRPr="00F00251" w:rsidRDefault="000B3761" w:rsidP="007B7336">
            <w:pPr>
              <w:rPr>
                <w:b/>
                <w:bCs/>
                <w:sz w:val="22"/>
                <w:szCs w:val="22"/>
              </w:rPr>
            </w:pPr>
            <w:r w:rsidRPr="00F00251">
              <w:rPr>
                <w:b/>
                <w:bCs/>
                <w:sz w:val="22"/>
                <w:szCs w:val="22"/>
              </w:rPr>
              <w:t>Total</w:t>
            </w:r>
          </w:p>
        </w:tc>
        <w:tc>
          <w:tcPr>
            <w:tcW w:w="1701" w:type="dxa"/>
            <w:tcBorders>
              <w:top w:val="single" w:sz="4" w:space="0" w:color="auto"/>
              <w:bottom w:val="single" w:sz="4" w:space="0" w:color="auto"/>
            </w:tcBorders>
          </w:tcPr>
          <w:p w14:paraId="7D473E41" w14:textId="2ACE2070" w:rsidR="000B3761" w:rsidRPr="00F00251" w:rsidRDefault="000B3761" w:rsidP="007B7336">
            <w:pPr>
              <w:jc w:val="right"/>
              <w:rPr>
                <w:b/>
                <w:bCs/>
                <w:sz w:val="22"/>
                <w:szCs w:val="22"/>
              </w:rPr>
            </w:pPr>
            <w:r w:rsidRPr="00F00251">
              <w:rPr>
                <w:b/>
                <w:bCs/>
                <w:sz w:val="22"/>
                <w:szCs w:val="22"/>
              </w:rPr>
              <w:t>6,666,666</w:t>
            </w:r>
          </w:p>
        </w:tc>
        <w:tc>
          <w:tcPr>
            <w:tcW w:w="1418" w:type="dxa"/>
            <w:tcBorders>
              <w:top w:val="single" w:sz="4" w:space="0" w:color="auto"/>
              <w:bottom w:val="single" w:sz="4" w:space="0" w:color="auto"/>
            </w:tcBorders>
          </w:tcPr>
          <w:p w14:paraId="312C3654" w14:textId="2B909776" w:rsidR="000B3761" w:rsidRPr="00F00251" w:rsidRDefault="000B3761" w:rsidP="007B7336">
            <w:pPr>
              <w:jc w:val="right"/>
              <w:rPr>
                <w:b/>
                <w:bCs/>
                <w:sz w:val="22"/>
                <w:szCs w:val="22"/>
              </w:rPr>
            </w:pPr>
            <w:r w:rsidRPr="00F00251">
              <w:rPr>
                <w:b/>
                <w:bCs/>
                <w:sz w:val="22"/>
                <w:szCs w:val="22"/>
              </w:rPr>
              <w:t>6,637,168</w:t>
            </w:r>
          </w:p>
        </w:tc>
        <w:tc>
          <w:tcPr>
            <w:tcW w:w="1701" w:type="dxa"/>
            <w:tcBorders>
              <w:top w:val="single" w:sz="4" w:space="0" w:color="auto"/>
              <w:bottom w:val="single" w:sz="4" w:space="0" w:color="auto"/>
            </w:tcBorders>
          </w:tcPr>
          <w:p w14:paraId="082D11F4" w14:textId="242038BF" w:rsidR="000B3761" w:rsidRPr="00F00251" w:rsidRDefault="000B3761" w:rsidP="007B7336">
            <w:pPr>
              <w:jc w:val="right"/>
              <w:rPr>
                <w:b/>
                <w:bCs/>
                <w:sz w:val="22"/>
                <w:szCs w:val="22"/>
              </w:rPr>
            </w:pPr>
            <w:r w:rsidRPr="00F00251">
              <w:rPr>
                <w:b/>
                <w:bCs/>
                <w:sz w:val="22"/>
                <w:szCs w:val="22"/>
              </w:rPr>
              <w:t>5,000,000</w:t>
            </w:r>
          </w:p>
        </w:tc>
        <w:tc>
          <w:tcPr>
            <w:tcW w:w="1498" w:type="dxa"/>
            <w:tcBorders>
              <w:top w:val="single" w:sz="4" w:space="0" w:color="auto"/>
              <w:bottom w:val="single" w:sz="4" w:space="0" w:color="auto"/>
            </w:tcBorders>
          </w:tcPr>
          <w:p w14:paraId="44168486" w14:textId="41671AEE" w:rsidR="000B3761" w:rsidRPr="00F00251" w:rsidRDefault="000B3761" w:rsidP="007B7336">
            <w:pPr>
              <w:jc w:val="right"/>
              <w:rPr>
                <w:b/>
                <w:bCs/>
                <w:sz w:val="22"/>
                <w:szCs w:val="22"/>
              </w:rPr>
            </w:pPr>
            <w:r w:rsidRPr="00F00251">
              <w:rPr>
                <w:b/>
                <w:bCs/>
                <w:sz w:val="22"/>
                <w:szCs w:val="22"/>
              </w:rPr>
              <w:t>1,609,589</w:t>
            </w:r>
          </w:p>
        </w:tc>
        <w:tc>
          <w:tcPr>
            <w:tcW w:w="1497" w:type="dxa"/>
            <w:tcBorders>
              <w:top w:val="single" w:sz="4" w:space="0" w:color="auto"/>
              <w:bottom w:val="single" w:sz="4" w:space="0" w:color="auto"/>
            </w:tcBorders>
          </w:tcPr>
          <w:p w14:paraId="2EE6DC14" w14:textId="7732A4C7" w:rsidR="000B3761" w:rsidRPr="007B7336" w:rsidRDefault="00F00251" w:rsidP="007B7336">
            <w:pPr>
              <w:jc w:val="right"/>
              <w:rPr>
                <w:b/>
                <w:bCs/>
                <w:sz w:val="22"/>
                <w:szCs w:val="22"/>
              </w:rPr>
            </w:pPr>
            <w:r>
              <w:rPr>
                <w:b/>
                <w:bCs/>
                <w:sz w:val="22"/>
                <w:szCs w:val="22"/>
              </w:rPr>
              <w:t>19,913,423</w:t>
            </w:r>
          </w:p>
        </w:tc>
      </w:tr>
    </w:tbl>
    <w:p w14:paraId="6E2A696B" w14:textId="77777777" w:rsidR="00B84636" w:rsidRDefault="00B84636" w:rsidP="00F02713">
      <w:pPr>
        <w:pStyle w:val="Heading7"/>
        <w:rPr>
          <w:sz w:val="22"/>
          <w:szCs w:val="22"/>
        </w:rPr>
      </w:pPr>
    </w:p>
    <w:p w14:paraId="66B8639F" w14:textId="1773766A" w:rsidR="00B84636" w:rsidRDefault="00B84636" w:rsidP="00FF7B9B">
      <w:pPr>
        <w:spacing w:after="120"/>
        <w:jc w:val="both"/>
        <w:rPr>
          <w:sz w:val="22"/>
          <w:szCs w:val="22"/>
        </w:rPr>
      </w:pPr>
      <w:r>
        <w:rPr>
          <w:sz w:val="22"/>
          <w:szCs w:val="22"/>
        </w:rPr>
        <w:t>*</w:t>
      </w:r>
      <w:r w:rsidRPr="00FF7B9B">
        <w:rPr>
          <w:sz w:val="22"/>
          <w:szCs w:val="22"/>
        </w:rPr>
        <w:t>Convertible loan notes</w:t>
      </w:r>
      <w:r>
        <w:rPr>
          <w:sz w:val="22"/>
          <w:szCs w:val="22"/>
        </w:rPr>
        <w:t xml:space="preserve"> </w:t>
      </w:r>
    </w:p>
    <w:p w14:paraId="0E96F2E5" w14:textId="77777777" w:rsidR="00B84636" w:rsidRDefault="00B84636" w:rsidP="00F02713">
      <w:pPr>
        <w:pStyle w:val="Heading7"/>
        <w:rPr>
          <w:sz w:val="22"/>
          <w:szCs w:val="22"/>
        </w:rPr>
      </w:pPr>
    </w:p>
    <w:p w14:paraId="0D740CF1" w14:textId="4AD2A87F" w:rsidR="00F02713" w:rsidRPr="00F02713" w:rsidRDefault="00F02713" w:rsidP="00F02713">
      <w:pPr>
        <w:pStyle w:val="Heading7"/>
        <w:rPr>
          <w:sz w:val="22"/>
          <w:szCs w:val="22"/>
        </w:rPr>
      </w:pPr>
      <w:r w:rsidRPr="00F02713">
        <w:rPr>
          <w:sz w:val="22"/>
          <w:szCs w:val="22"/>
        </w:rPr>
        <w:t>DIRECTORS’ WARRANTS AND OPTIONS</w:t>
      </w:r>
    </w:p>
    <w:p w14:paraId="2F258D9D" w14:textId="77777777" w:rsidR="00F02713" w:rsidRDefault="00F02713" w:rsidP="00F02713">
      <w:pPr>
        <w:jc w:val="both"/>
        <w:rPr>
          <w:rFonts w:ascii="Arial" w:hAnsi="Arial" w:cs="Arial"/>
        </w:rPr>
      </w:pPr>
    </w:p>
    <w:p w14:paraId="3821272F" w14:textId="0C020183" w:rsidR="00F02713" w:rsidRPr="00F02713" w:rsidRDefault="00F02713" w:rsidP="00F02713">
      <w:pPr>
        <w:jc w:val="both"/>
        <w:rPr>
          <w:sz w:val="22"/>
          <w:szCs w:val="22"/>
        </w:rPr>
      </w:pPr>
      <w:r w:rsidRPr="00F02713">
        <w:rPr>
          <w:sz w:val="22"/>
          <w:szCs w:val="22"/>
        </w:rPr>
        <w:t>As at 31 December 20</w:t>
      </w:r>
      <w:r w:rsidR="00547C36">
        <w:rPr>
          <w:sz w:val="22"/>
          <w:szCs w:val="22"/>
        </w:rPr>
        <w:t>20</w:t>
      </w:r>
      <w:r w:rsidRPr="00F02713">
        <w:rPr>
          <w:sz w:val="22"/>
          <w:szCs w:val="22"/>
        </w:rPr>
        <w:t xml:space="preserve">, the </w:t>
      </w:r>
      <w:r w:rsidR="003372AF">
        <w:rPr>
          <w:sz w:val="22"/>
          <w:szCs w:val="22"/>
        </w:rPr>
        <w:t>D</w:t>
      </w:r>
      <w:r w:rsidRPr="00F02713">
        <w:rPr>
          <w:sz w:val="22"/>
          <w:szCs w:val="22"/>
        </w:rPr>
        <w:t>irectors held the following warrants and options over the Company’s ordinary shares:</w:t>
      </w:r>
    </w:p>
    <w:p w14:paraId="5F0CC5D7" w14:textId="77777777" w:rsidR="00F02713" w:rsidRDefault="00F02713" w:rsidP="00F02713">
      <w:pPr>
        <w:jc w:val="both"/>
        <w:rPr>
          <w:sz w:val="22"/>
          <w:szCs w:val="22"/>
        </w:rPr>
      </w:pPr>
    </w:p>
    <w:p w14:paraId="6AE9014D" w14:textId="6BB1017D" w:rsidR="00F02713" w:rsidRPr="00F02713" w:rsidRDefault="00F02713" w:rsidP="00F02713">
      <w:pPr>
        <w:jc w:val="both"/>
        <w:rPr>
          <w:sz w:val="22"/>
          <w:szCs w:val="22"/>
        </w:rPr>
      </w:pPr>
      <w:bookmarkStart w:id="2" w:name="_Hlk70432060"/>
      <w:r w:rsidRPr="00F02713">
        <w:rPr>
          <w:sz w:val="22"/>
          <w:szCs w:val="22"/>
        </w:rPr>
        <w:t>Rolf Gerritsen h</w:t>
      </w:r>
      <w:r w:rsidR="00823E41">
        <w:rPr>
          <w:sz w:val="22"/>
          <w:szCs w:val="22"/>
        </w:rPr>
        <w:t>olds</w:t>
      </w:r>
      <w:r w:rsidRPr="00F02713">
        <w:rPr>
          <w:sz w:val="22"/>
          <w:szCs w:val="22"/>
        </w:rPr>
        <w:t xml:space="preserve"> 5,000,000 options exercisable at any time within 3 years of the da</w:t>
      </w:r>
      <w:r w:rsidR="00B84636">
        <w:rPr>
          <w:sz w:val="22"/>
          <w:szCs w:val="22"/>
        </w:rPr>
        <w:t>te</w:t>
      </w:r>
      <w:r w:rsidRPr="00F02713">
        <w:rPr>
          <w:sz w:val="22"/>
          <w:szCs w:val="22"/>
        </w:rPr>
        <w:t xml:space="preserve"> of his appointment to the Board </w:t>
      </w:r>
      <w:r w:rsidR="00EB5826" w:rsidRPr="00B90F78">
        <w:rPr>
          <w:sz w:val="22"/>
          <w:szCs w:val="22"/>
        </w:rPr>
        <w:t>on</w:t>
      </w:r>
      <w:r w:rsidR="00B90F78" w:rsidRPr="00B90F78">
        <w:rPr>
          <w:sz w:val="22"/>
          <w:szCs w:val="22"/>
        </w:rPr>
        <w:t xml:space="preserve"> </w:t>
      </w:r>
      <w:r w:rsidR="00D575D4" w:rsidRPr="00B90F78">
        <w:rPr>
          <w:sz w:val="22"/>
          <w:szCs w:val="22"/>
        </w:rPr>
        <w:t>2</w:t>
      </w:r>
      <w:r w:rsidR="00B90F78" w:rsidRPr="00B90F78">
        <w:rPr>
          <w:sz w:val="22"/>
          <w:szCs w:val="22"/>
        </w:rPr>
        <w:t>3</w:t>
      </w:r>
      <w:r w:rsidR="00D575D4" w:rsidRPr="00B90F78">
        <w:rPr>
          <w:sz w:val="22"/>
          <w:szCs w:val="22"/>
        </w:rPr>
        <w:t xml:space="preserve"> February </w:t>
      </w:r>
      <w:r w:rsidR="00B93DD0" w:rsidRPr="00B90F78">
        <w:rPr>
          <w:sz w:val="22"/>
          <w:szCs w:val="22"/>
        </w:rPr>
        <w:t xml:space="preserve">2018 </w:t>
      </w:r>
      <w:r w:rsidRPr="00B90F78">
        <w:rPr>
          <w:sz w:val="22"/>
          <w:szCs w:val="22"/>
        </w:rPr>
        <w:t xml:space="preserve">at 3p per share. Rolf Gerritsen </w:t>
      </w:r>
      <w:r w:rsidR="00882B6A">
        <w:rPr>
          <w:sz w:val="22"/>
          <w:szCs w:val="22"/>
        </w:rPr>
        <w:t xml:space="preserve">has fulfilled his equity investment of £50,000 in the Company and under the terms of that investment </w:t>
      </w:r>
      <w:r w:rsidRPr="00F02713">
        <w:rPr>
          <w:sz w:val="22"/>
          <w:szCs w:val="22"/>
        </w:rPr>
        <w:t>he will be granted 2,500,000 warrants which may be exercised within 3 years of the day of grant at 3p per share</w:t>
      </w:r>
      <w:r>
        <w:rPr>
          <w:sz w:val="22"/>
          <w:szCs w:val="22"/>
        </w:rPr>
        <w:t>.</w:t>
      </w:r>
      <w:r w:rsidRPr="00F02713">
        <w:rPr>
          <w:sz w:val="22"/>
          <w:szCs w:val="22"/>
        </w:rPr>
        <w:t xml:space="preserve"> </w:t>
      </w:r>
      <w:bookmarkEnd w:id="2"/>
    </w:p>
    <w:p w14:paraId="3693584F" w14:textId="77777777" w:rsidR="00F02713" w:rsidRDefault="00F02713" w:rsidP="00F02713">
      <w:pPr>
        <w:jc w:val="both"/>
        <w:rPr>
          <w:sz w:val="22"/>
          <w:szCs w:val="22"/>
        </w:rPr>
      </w:pPr>
    </w:p>
    <w:p w14:paraId="07E3CEE7" w14:textId="56F52B19" w:rsidR="00F02713" w:rsidRPr="00F02713" w:rsidRDefault="00F02713" w:rsidP="00F02713">
      <w:pPr>
        <w:jc w:val="both"/>
        <w:rPr>
          <w:sz w:val="22"/>
          <w:szCs w:val="22"/>
        </w:rPr>
      </w:pPr>
      <w:r w:rsidRPr="00B93DD0">
        <w:rPr>
          <w:sz w:val="22"/>
          <w:szCs w:val="22"/>
        </w:rPr>
        <w:t xml:space="preserve">Save for the warrants and options held by Rolf Gerritsen, no other director held options or warrants over the Company’s ordinary shares as at 31 December </w:t>
      </w:r>
      <w:r w:rsidR="006C0424" w:rsidRPr="00B93DD0">
        <w:rPr>
          <w:sz w:val="22"/>
          <w:szCs w:val="22"/>
        </w:rPr>
        <w:t>2020</w:t>
      </w:r>
      <w:r w:rsidRPr="00B93DD0">
        <w:rPr>
          <w:sz w:val="22"/>
          <w:szCs w:val="22"/>
        </w:rPr>
        <w:t>.</w:t>
      </w:r>
      <w:r w:rsidR="006C06D7">
        <w:rPr>
          <w:sz w:val="22"/>
          <w:szCs w:val="22"/>
        </w:rPr>
        <w:t xml:space="preserve"> </w:t>
      </w:r>
    </w:p>
    <w:p w14:paraId="27893BA0" w14:textId="56C134A7" w:rsidR="000A70DA" w:rsidRDefault="000A70DA" w:rsidP="00167AA8">
      <w:pPr>
        <w:widowControl w:val="0"/>
        <w:jc w:val="both"/>
        <w:rPr>
          <w:color w:val="000000"/>
          <w:sz w:val="22"/>
          <w:szCs w:val="22"/>
        </w:rPr>
      </w:pPr>
    </w:p>
    <w:p w14:paraId="74F2E4DD" w14:textId="02EBA2F2" w:rsidR="000A70DA" w:rsidRPr="000A70DA" w:rsidRDefault="000A70DA" w:rsidP="000A70DA">
      <w:pPr>
        <w:pStyle w:val="Heading7"/>
        <w:rPr>
          <w:sz w:val="22"/>
          <w:szCs w:val="22"/>
        </w:rPr>
      </w:pPr>
      <w:r w:rsidRPr="000A70DA">
        <w:rPr>
          <w:sz w:val="22"/>
          <w:szCs w:val="22"/>
        </w:rPr>
        <w:t>SHARE CAPITAL</w:t>
      </w:r>
    </w:p>
    <w:p w14:paraId="24D6CA80" w14:textId="77777777" w:rsidR="000A70DA" w:rsidRDefault="000A70DA" w:rsidP="000A70DA">
      <w:pPr>
        <w:jc w:val="both"/>
        <w:rPr>
          <w:rFonts w:ascii="Arial" w:hAnsi="Arial" w:cs="Arial"/>
          <w:b/>
          <w:bCs/>
          <w:sz w:val="24"/>
          <w:szCs w:val="24"/>
        </w:rPr>
      </w:pPr>
    </w:p>
    <w:p w14:paraId="2542E05B" w14:textId="6B157BDC" w:rsidR="000A70DA" w:rsidRPr="000A70DA" w:rsidRDefault="000A70DA" w:rsidP="000A70DA">
      <w:pPr>
        <w:jc w:val="both"/>
        <w:rPr>
          <w:sz w:val="22"/>
          <w:szCs w:val="22"/>
        </w:rPr>
      </w:pPr>
      <w:r w:rsidRPr="000A70DA">
        <w:rPr>
          <w:sz w:val="22"/>
          <w:szCs w:val="22"/>
        </w:rPr>
        <w:t xml:space="preserve">The Company’s issued ordinary share capital is listed on the standard segment of the Official List and the ordinary shares are admitted to trading on the Main </w:t>
      </w:r>
      <w:r w:rsidR="004E1872">
        <w:rPr>
          <w:sz w:val="22"/>
          <w:szCs w:val="22"/>
        </w:rPr>
        <w:t>M</w:t>
      </w:r>
      <w:r w:rsidRPr="000A70DA">
        <w:rPr>
          <w:sz w:val="22"/>
          <w:szCs w:val="22"/>
        </w:rPr>
        <w:t>arket for listed securities of the London Stock Exchange</w:t>
      </w:r>
      <w:r w:rsidRPr="00B93DD0">
        <w:rPr>
          <w:sz w:val="22"/>
          <w:szCs w:val="22"/>
        </w:rPr>
        <w:t xml:space="preserve">. </w:t>
      </w:r>
      <w:r w:rsidR="004E7E79">
        <w:rPr>
          <w:sz w:val="22"/>
          <w:szCs w:val="22"/>
        </w:rPr>
        <w:t>As at</w:t>
      </w:r>
      <w:r w:rsidR="002F76A8">
        <w:rPr>
          <w:sz w:val="22"/>
          <w:szCs w:val="22"/>
        </w:rPr>
        <w:t xml:space="preserve"> 31 December 2020</w:t>
      </w:r>
      <w:r w:rsidR="004E7E79">
        <w:rPr>
          <w:sz w:val="22"/>
          <w:szCs w:val="22"/>
        </w:rPr>
        <w:t>, t</w:t>
      </w:r>
      <w:r w:rsidRPr="00B93DD0">
        <w:rPr>
          <w:sz w:val="22"/>
          <w:szCs w:val="22"/>
        </w:rPr>
        <w:t>he Company ha</w:t>
      </w:r>
      <w:r w:rsidR="004E7E79">
        <w:rPr>
          <w:sz w:val="22"/>
          <w:szCs w:val="22"/>
        </w:rPr>
        <w:t>d</w:t>
      </w:r>
      <w:r w:rsidRPr="00B93DD0">
        <w:rPr>
          <w:sz w:val="22"/>
          <w:szCs w:val="22"/>
        </w:rPr>
        <w:t xml:space="preserve"> </w:t>
      </w:r>
      <w:r w:rsidR="00B93DD0" w:rsidRPr="00B93DD0">
        <w:rPr>
          <w:sz w:val="22"/>
          <w:szCs w:val="22"/>
        </w:rPr>
        <w:t>371,409,433</w:t>
      </w:r>
      <w:r w:rsidR="004E1872" w:rsidRPr="00B93DD0">
        <w:rPr>
          <w:sz w:val="22"/>
          <w:szCs w:val="22"/>
        </w:rPr>
        <w:t xml:space="preserve"> </w:t>
      </w:r>
      <w:r w:rsidRPr="00B93DD0">
        <w:rPr>
          <w:sz w:val="22"/>
          <w:szCs w:val="22"/>
        </w:rPr>
        <w:t xml:space="preserve">ordinary shares of </w:t>
      </w:r>
      <w:r w:rsidR="004E1872" w:rsidRPr="00B93DD0">
        <w:rPr>
          <w:sz w:val="22"/>
          <w:szCs w:val="22"/>
        </w:rPr>
        <w:t xml:space="preserve">£0.0001 </w:t>
      </w:r>
      <w:r w:rsidRPr="00B93DD0">
        <w:rPr>
          <w:sz w:val="22"/>
          <w:szCs w:val="22"/>
        </w:rPr>
        <w:t>in issue.</w:t>
      </w:r>
    </w:p>
    <w:p w14:paraId="7F55B2D2" w14:textId="77777777" w:rsidR="000A70DA" w:rsidRDefault="000A70DA" w:rsidP="000A70DA">
      <w:pPr>
        <w:jc w:val="both"/>
        <w:rPr>
          <w:sz w:val="22"/>
          <w:szCs w:val="22"/>
        </w:rPr>
      </w:pPr>
    </w:p>
    <w:p w14:paraId="07F0F566" w14:textId="13E3CE17" w:rsidR="000A70DA" w:rsidRPr="000A70DA" w:rsidRDefault="000A70DA" w:rsidP="00C621A0">
      <w:pPr>
        <w:pStyle w:val="Heading7"/>
        <w:rPr>
          <w:sz w:val="22"/>
          <w:szCs w:val="22"/>
        </w:rPr>
      </w:pPr>
      <w:r w:rsidRPr="000A70DA">
        <w:rPr>
          <w:sz w:val="22"/>
          <w:szCs w:val="22"/>
        </w:rPr>
        <w:t>RE-ELECTION OF DIRECTORS</w:t>
      </w:r>
    </w:p>
    <w:p w14:paraId="44227E2C" w14:textId="77777777" w:rsidR="000A70DA" w:rsidRDefault="000A70DA" w:rsidP="000A70DA">
      <w:pPr>
        <w:jc w:val="both"/>
        <w:rPr>
          <w:sz w:val="22"/>
          <w:szCs w:val="22"/>
        </w:rPr>
      </w:pPr>
    </w:p>
    <w:p w14:paraId="0E4D6841" w14:textId="4DFE8B09" w:rsidR="004E1872" w:rsidRDefault="000A70DA" w:rsidP="000A70DA">
      <w:pPr>
        <w:jc w:val="both"/>
        <w:rPr>
          <w:sz w:val="22"/>
          <w:szCs w:val="22"/>
        </w:rPr>
      </w:pPr>
      <w:r w:rsidRPr="000A70DA">
        <w:rPr>
          <w:sz w:val="22"/>
          <w:szCs w:val="22"/>
        </w:rPr>
        <w:t xml:space="preserve">At the next Annual General Meeting of the Company, to be </w:t>
      </w:r>
      <w:r w:rsidRPr="009C0464">
        <w:rPr>
          <w:sz w:val="22"/>
          <w:szCs w:val="22"/>
        </w:rPr>
        <w:t>held on</w:t>
      </w:r>
      <w:r w:rsidR="00420155" w:rsidRPr="009C0464">
        <w:rPr>
          <w:sz w:val="22"/>
          <w:szCs w:val="22"/>
        </w:rPr>
        <w:t xml:space="preserve"> </w:t>
      </w:r>
      <w:r w:rsidR="00B4440A" w:rsidRPr="009C0464">
        <w:rPr>
          <w:sz w:val="22"/>
          <w:szCs w:val="22"/>
        </w:rPr>
        <w:t xml:space="preserve">8 June </w:t>
      </w:r>
      <w:r w:rsidR="00B70184" w:rsidRPr="009C0464">
        <w:rPr>
          <w:sz w:val="22"/>
          <w:szCs w:val="22"/>
        </w:rPr>
        <w:t>2021</w:t>
      </w:r>
      <w:r w:rsidRPr="009C0464">
        <w:rPr>
          <w:sz w:val="22"/>
          <w:szCs w:val="22"/>
        </w:rPr>
        <w:t xml:space="preserve">, </w:t>
      </w:r>
      <w:r w:rsidR="004E7E79" w:rsidRPr="009C0464">
        <w:rPr>
          <w:sz w:val="22"/>
          <w:szCs w:val="22"/>
        </w:rPr>
        <w:t>Christian</w:t>
      </w:r>
      <w:r w:rsidR="004E7E79">
        <w:rPr>
          <w:sz w:val="22"/>
          <w:szCs w:val="22"/>
        </w:rPr>
        <w:t xml:space="preserve"> </w:t>
      </w:r>
      <w:proofErr w:type="spellStart"/>
      <w:r w:rsidR="004E7E79">
        <w:rPr>
          <w:sz w:val="22"/>
          <w:szCs w:val="22"/>
        </w:rPr>
        <w:t>Schaffalitzky</w:t>
      </w:r>
      <w:proofErr w:type="spellEnd"/>
      <w:r w:rsidR="004E7E79">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0A70DA">
        <w:rPr>
          <w:sz w:val="22"/>
          <w:szCs w:val="22"/>
        </w:rPr>
        <w:t xml:space="preserve">retires by rotation in accordance with the Articles of Association and, being eligible, offers himself for re-election.  </w:t>
      </w:r>
    </w:p>
    <w:p w14:paraId="407A8E4B" w14:textId="77777777" w:rsidR="004E1872" w:rsidRDefault="004E1872" w:rsidP="000A70DA">
      <w:pPr>
        <w:jc w:val="both"/>
        <w:rPr>
          <w:sz w:val="22"/>
          <w:szCs w:val="22"/>
        </w:rPr>
      </w:pPr>
    </w:p>
    <w:p w14:paraId="1B1D1A45" w14:textId="367734A3" w:rsidR="000A70DA" w:rsidRPr="000A70DA" w:rsidRDefault="000A70DA" w:rsidP="000A70DA">
      <w:pPr>
        <w:pStyle w:val="Heading7"/>
        <w:rPr>
          <w:sz w:val="22"/>
          <w:szCs w:val="22"/>
        </w:rPr>
      </w:pPr>
      <w:r w:rsidRPr="000A70DA">
        <w:rPr>
          <w:sz w:val="22"/>
          <w:szCs w:val="22"/>
        </w:rPr>
        <w:t>INDEPENDENT ADVICE TO THE BOARD</w:t>
      </w:r>
    </w:p>
    <w:p w14:paraId="265735D5" w14:textId="77777777" w:rsidR="000A70DA" w:rsidRDefault="000A70DA" w:rsidP="000A70DA">
      <w:pPr>
        <w:jc w:val="both"/>
        <w:rPr>
          <w:sz w:val="22"/>
          <w:szCs w:val="22"/>
        </w:rPr>
      </w:pPr>
    </w:p>
    <w:p w14:paraId="4685957E" w14:textId="01E8161F" w:rsidR="000A70DA" w:rsidRPr="000A70DA" w:rsidRDefault="000A70DA" w:rsidP="000A70DA">
      <w:pPr>
        <w:jc w:val="both"/>
        <w:rPr>
          <w:sz w:val="22"/>
          <w:szCs w:val="22"/>
        </w:rPr>
      </w:pPr>
      <w:r w:rsidRPr="000A70DA">
        <w:rPr>
          <w:sz w:val="22"/>
          <w:szCs w:val="22"/>
        </w:rPr>
        <w:t xml:space="preserve">The Board has the ability to seek independent professional advice although none was considered necessary in the </w:t>
      </w:r>
      <w:r w:rsidR="00547C36">
        <w:rPr>
          <w:sz w:val="22"/>
          <w:szCs w:val="22"/>
        </w:rPr>
        <w:t>year</w:t>
      </w:r>
      <w:r w:rsidRPr="000A70DA">
        <w:rPr>
          <w:sz w:val="22"/>
          <w:szCs w:val="22"/>
        </w:rPr>
        <w:t xml:space="preserve"> under review or in the previous financial year.</w:t>
      </w:r>
    </w:p>
    <w:p w14:paraId="23C77713" w14:textId="568B7277" w:rsidR="002624EA" w:rsidRDefault="002624EA" w:rsidP="00167AA8">
      <w:pPr>
        <w:widowControl w:val="0"/>
        <w:jc w:val="both"/>
        <w:rPr>
          <w:color w:val="000000"/>
          <w:sz w:val="22"/>
          <w:szCs w:val="22"/>
        </w:rPr>
      </w:pPr>
    </w:p>
    <w:p w14:paraId="3EB31F5D" w14:textId="78C70E58" w:rsidR="00203634" w:rsidRDefault="00203634" w:rsidP="00167AA8">
      <w:pPr>
        <w:widowControl w:val="0"/>
        <w:jc w:val="both"/>
        <w:rPr>
          <w:color w:val="000000"/>
          <w:sz w:val="22"/>
          <w:szCs w:val="22"/>
        </w:rPr>
      </w:pPr>
    </w:p>
    <w:p w14:paraId="077E44D3" w14:textId="582D2EB4" w:rsidR="00203634" w:rsidRDefault="00203634" w:rsidP="00167AA8">
      <w:pPr>
        <w:widowControl w:val="0"/>
        <w:jc w:val="both"/>
        <w:rPr>
          <w:color w:val="000000"/>
          <w:sz w:val="22"/>
          <w:szCs w:val="22"/>
        </w:rPr>
      </w:pPr>
    </w:p>
    <w:p w14:paraId="58659032" w14:textId="5DB26C4A" w:rsidR="00203634" w:rsidRDefault="00203634" w:rsidP="00167AA8">
      <w:pPr>
        <w:widowControl w:val="0"/>
        <w:jc w:val="both"/>
        <w:rPr>
          <w:color w:val="000000"/>
          <w:sz w:val="22"/>
          <w:szCs w:val="22"/>
        </w:rPr>
      </w:pPr>
    </w:p>
    <w:p w14:paraId="20F12A54" w14:textId="58C9ED3E" w:rsidR="009073DC" w:rsidRDefault="009073DC" w:rsidP="00167AA8">
      <w:pPr>
        <w:widowControl w:val="0"/>
        <w:jc w:val="both"/>
        <w:rPr>
          <w:color w:val="000000"/>
          <w:sz w:val="22"/>
          <w:szCs w:val="22"/>
        </w:rPr>
      </w:pPr>
    </w:p>
    <w:p w14:paraId="559F3D5D" w14:textId="5901EA75" w:rsidR="001C64DC" w:rsidRDefault="001C64DC" w:rsidP="00167AA8">
      <w:pPr>
        <w:widowControl w:val="0"/>
        <w:jc w:val="both"/>
        <w:rPr>
          <w:color w:val="000000"/>
          <w:sz w:val="22"/>
          <w:szCs w:val="22"/>
        </w:rPr>
      </w:pPr>
    </w:p>
    <w:p w14:paraId="58852373" w14:textId="77777777" w:rsidR="00CD4579" w:rsidRPr="00D75F30" w:rsidRDefault="00CD4579" w:rsidP="00CD4579">
      <w:pPr>
        <w:pStyle w:val="Heading7"/>
        <w:jc w:val="center"/>
        <w:rPr>
          <w:sz w:val="22"/>
          <w:szCs w:val="22"/>
        </w:rPr>
      </w:pPr>
      <w:bookmarkStart w:id="3" w:name="_Hlk70436555"/>
      <w:r>
        <w:rPr>
          <w:sz w:val="22"/>
          <w:szCs w:val="22"/>
        </w:rPr>
        <w:t>DIRECTORS’ REPORT (continued)</w:t>
      </w:r>
    </w:p>
    <w:p w14:paraId="130C8754" w14:textId="77777777" w:rsidR="00CD4579" w:rsidRDefault="00CD4579" w:rsidP="00167AA8">
      <w:pPr>
        <w:jc w:val="both"/>
        <w:rPr>
          <w:b/>
          <w:bCs/>
          <w:sz w:val="22"/>
          <w:szCs w:val="22"/>
        </w:rPr>
      </w:pPr>
    </w:p>
    <w:p w14:paraId="5F594AF6" w14:textId="73DD7CE0" w:rsidR="00167AA8" w:rsidRPr="00861C3E" w:rsidRDefault="000A70DA" w:rsidP="00167AA8">
      <w:pPr>
        <w:jc w:val="both"/>
        <w:rPr>
          <w:b/>
          <w:bCs/>
          <w:sz w:val="22"/>
          <w:szCs w:val="22"/>
        </w:rPr>
      </w:pPr>
      <w:r w:rsidRPr="009C79A9">
        <w:rPr>
          <w:b/>
          <w:bCs/>
          <w:sz w:val="22"/>
          <w:szCs w:val="22"/>
        </w:rPr>
        <w:t>SUBSTANTIAL INTERESTS</w:t>
      </w:r>
      <w:bookmarkStart w:id="4" w:name="DBG350"/>
      <w:bookmarkEnd w:id="4"/>
    </w:p>
    <w:p w14:paraId="7F9DAA83" w14:textId="77777777" w:rsidR="00167AA8" w:rsidRPr="00861C3E" w:rsidRDefault="00167AA8" w:rsidP="00167AA8">
      <w:pPr>
        <w:widowControl w:val="0"/>
        <w:jc w:val="both"/>
        <w:rPr>
          <w:color w:val="000000"/>
          <w:sz w:val="22"/>
          <w:szCs w:val="22"/>
        </w:rPr>
      </w:pPr>
      <w:bookmarkStart w:id="5" w:name="DBG351"/>
      <w:bookmarkEnd w:id="5"/>
    </w:p>
    <w:p w14:paraId="3BC2854E" w14:textId="2C4D0882" w:rsidR="00167AA8" w:rsidRPr="00861C3E" w:rsidRDefault="007E7886" w:rsidP="00167AA8">
      <w:pPr>
        <w:widowControl w:val="0"/>
        <w:tabs>
          <w:tab w:val="right" w:pos="5345"/>
        </w:tabs>
        <w:jc w:val="both"/>
        <w:rPr>
          <w:color w:val="000000"/>
          <w:sz w:val="22"/>
          <w:szCs w:val="22"/>
        </w:rPr>
      </w:pPr>
      <w:bookmarkStart w:id="6" w:name="DBG382"/>
      <w:bookmarkEnd w:id="6"/>
      <w:r w:rsidRPr="00EC225E">
        <w:rPr>
          <w:color w:val="000000"/>
          <w:sz w:val="22"/>
          <w:szCs w:val="22"/>
        </w:rPr>
        <w:t xml:space="preserve">As at </w:t>
      </w:r>
      <w:r w:rsidR="000F3686" w:rsidRPr="00EC225E">
        <w:rPr>
          <w:color w:val="000000"/>
          <w:sz w:val="22"/>
          <w:szCs w:val="22"/>
        </w:rPr>
        <w:t>27 April 2021</w:t>
      </w:r>
      <w:r w:rsidRPr="00EC225E">
        <w:rPr>
          <w:color w:val="000000"/>
          <w:sz w:val="22"/>
          <w:szCs w:val="22"/>
        </w:rPr>
        <w:t>,</w:t>
      </w:r>
      <w:r w:rsidR="00167AA8" w:rsidRPr="00EC225E">
        <w:rPr>
          <w:color w:val="000000"/>
          <w:sz w:val="22"/>
          <w:szCs w:val="22"/>
        </w:rPr>
        <w:t xml:space="preserve"> the C</w:t>
      </w:r>
      <w:r w:rsidR="00167AA8" w:rsidRPr="00861C3E">
        <w:rPr>
          <w:color w:val="000000"/>
          <w:sz w:val="22"/>
          <w:szCs w:val="22"/>
        </w:rPr>
        <w:t xml:space="preserve">ompany had been notified that, other than directors, the following </w:t>
      </w:r>
      <w:r w:rsidR="00B4440A">
        <w:rPr>
          <w:color w:val="000000"/>
          <w:sz w:val="22"/>
          <w:szCs w:val="22"/>
        </w:rPr>
        <w:t xml:space="preserve">shareholders </w:t>
      </w:r>
      <w:r w:rsidR="00167AA8" w:rsidRPr="00861C3E">
        <w:rPr>
          <w:color w:val="000000"/>
          <w:sz w:val="22"/>
          <w:szCs w:val="22"/>
        </w:rPr>
        <w:t>were</w:t>
      </w:r>
      <w:bookmarkStart w:id="7" w:name="DBG383"/>
      <w:bookmarkEnd w:id="7"/>
      <w:r w:rsidR="00167AA8" w:rsidRPr="00861C3E">
        <w:rPr>
          <w:color w:val="000000"/>
          <w:sz w:val="22"/>
          <w:szCs w:val="22"/>
        </w:rPr>
        <w:t xml:space="preserve"> interested in 3% or more of the issued </w:t>
      </w:r>
      <w:r w:rsidR="004E1872">
        <w:rPr>
          <w:color w:val="000000"/>
          <w:sz w:val="22"/>
          <w:szCs w:val="22"/>
        </w:rPr>
        <w:t xml:space="preserve">ordinary </w:t>
      </w:r>
      <w:r w:rsidR="00167AA8" w:rsidRPr="00861C3E">
        <w:rPr>
          <w:color w:val="000000"/>
          <w:sz w:val="22"/>
          <w:szCs w:val="22"/>
        </w:rPr>
        <w:t>share capital of the Company:</w:t>
      </w:r>
    </w:p>
    <w:p w14:paraId="356A2774" w14:textId="77777777" w:rsidR="00540F36" w:rsidRDefault="00540F36" w:rsidP="00861C3E">
      <w:pPr>
        <w:jc w:val="both"/>
        <w:rPr>
          <w:sz w:val="22"/>
          <w:szCs w:val="22"/>
        </w:rPr>
      </w:pPr>
      <w:bookmarkStart w:id="8" w:name="DBG384"/>
      <w:bookmarkEnd w:id="8"/>
    </w:p>
    <w:tbl>
      <w:tblPr>
        <w:tblW w:w="10029" w:type="dxa"/>
        <w:tblLook w:val="04A0" w:firstRow="1" w:lastRow="0" w:firstColumn="1" w:lastColumn="0" w:noHBand="0" w:noVBand="1"/>
      </w:tblPr>
      <w:tblGrid>
        <w:gridCol w:w="5103"/>
        <w:gridCol w:w="383"/>
        <w:gridCol w:w="240"/>
        <w:gridCol w:w="1220"/>
        <w:gridCol w:w="1490"/>
        <w:gridCol w:w="1593"/>
      </w:tblGrid>
      <w:tr w:rsidR="00540F36" w:rsidRPr="00861C3E" w14:paraId="1F3ED83E" w14:textId="77777777" w:rsidTr="000F3686">
        <w:tc>
          <w:tcPr>
            <w:tcW w:w="5103" w:type="dxa"/>
          </w:tcPr>
          <w:p w14:paraId="2C4E3F36" w14:textId="77777777" w:rsidR="00540F36" w:rsidRPr="00861C3E" w:rsidRDefault="00540F36" w:rsidP="00877D99">
            <w:pPr>
              <w:widowControl w:val="0"/>
              <w:tabs>
                <w:tab w:val="right" w:pos="5345"/>
              </w:tabs>
              <w:ind w:left="-112"/>
              <w:jc w:val="both"/>
              <w:rPr>
                <w:sz w:val="22"/>
                <w:szCs w:val="22"/>
              </w:rPr>
            </w:pPr>
          </w:p>
        </w:tc>
        <w:tc>
          <w:tcPr>
            <w:tcW w:w="383" w:type="dxa"/>
          </w:tcPr>
          <w:p w14:paraId="50DBB549" w14:textId="77777777" w:rsidR="00540F36" w:rsidRPr="00861C3E" w:rsidRDefault="00540F36" w:rsidP="00877D99">
            <w:pPr>
              <w:widowControl w:val="0"/>
              <w:tabs>
                <w:tab w:val="right" w:pos="5345"/>
              </w:tabs>
              <w:ind w:left="-112"/>
              <w:jc w:val="right"/>
              <w:rPr>
                <w:sz w:val="22"/>
                <w:szCs w:val="22"/>
              </w:rPr>
            </w:pPr>
          </w:p>
        </w:tc>
        <w:tc>
          <w:tcPr>
            <w:tcW w:w="240" w:type="dxa"/>
          </w:tcPr>
          <w:p w14:paraId="17C693FA" w14:textId="77777777" w:rsidR="00540F36" w:rsidRPr="000B12E7" w:rsidRDefault="00540F36" w:rsidP="00877D99">
            <w:pPr>
              <w:widowControl w:val="0"/>
              <w:tabs>
                <w:tab w:val="right" w:pos="5345"/>
              </w:tabs>
              <w:ind w:left="-112"/>
              <w:jc w:val="right"/>
              <w:rPr>
                <w:b/>
                <w:bCs/>
                <w:i/>
                <w:iCs/>
                <w:sz w:val="22"/>
                <w:szCs w:val="22"/>
              </w:rPr>
            </w:pPr>
          </w:p>
        </w:tc>
        <w:tc>
          <w:tcPr>
            <w:tcW w:w="1220" w:type="dxa"/>
          </w:tcPr>
          <w:p w14:paraId="3827AB39" w14:textId="77777777" w:rsidR="00540F36" w:rsidRPr="000B12E7" w:rsidRDefault="00540F36" w:rsidP="00877D99">
            <w:pPr>
              <w:widowControl w:val="0"/>
              <w:tabs>
                <w:tab w:val="right" w:pos="5345"/>
              </w:tabs>
              <w:ind w:left="-112"/>
              <w:jc w:val="right"/>
              <w:rPr>
                <w:b/>
                <w:bCs/>
                <w:i/>
                <w:iCs/>
                <w:sz w:val="22"/>
                <w:szCs w:val="22"/>
              </w:rPr>
            </w:pPr>
          </w:p>
        </w:tc>
        <w:tc>
          <w:tcPr>
            <w:tcW w:w="1490" w:type="dxa"/>
            <w:hideMark/>
          </w:tcPr>
          <w:p w14:paraId="64E07588" w14:textId="77777777" w:rsidR="00540F36" w:rsidRPr="000B12E7" w:rsidRDefault="00540F36" w:rsidP="00877D99">
            <w:pPr>
              <w:widowControl w:val="0"/>
              <w:tabs>
                <w:tab w:val="right" w:pos="5345"/>
              </w:tabs>
              <w:ind w:left="-112"/>
              <w:jc w:val="right"/>
              <w:rPr>
                <w:b/>
                <w:bCs/>
                <w:i/>
                <w:iCs/>
                <w:sz w:val="22"/>
                <w:szCs w:val="22"/>
              </w:rPr>
            </w:pPr>
            <w:r>
              <w:rPr>
                <w:b/>
                <w:bCs/>
                <w:i/>
                <w:iCs/>
                <w:sz w:val="22"/>
                <w:szCs w:val="22"/>
              </w:rPr>
              <w:t>Ordinary shares of £0.0001 each</w:t>
            </w:r>
          </w:p>
        </w:tc>
        <w:tc>
          <w:tcPr>
            <w:tcW w:w="1593" w:type="dxa"/>
            <w:hideMark/>
          </w:tcPr>
          <w:p w14:paraId="1209DBB8" w14:textId="77777777" w:rsidR="00540F36" w:rsidRPr="000B12E7" w:rsidRDefault="00540F36" w:rsidP="00877D99">
            <w:pPr>
              <w:widowControl w:val="0"/>
              <w:tabs>
                <w:tab w:val="right" w:pos="5345"/>
              </w:tabs>
              <w:ind w:left="-112"/>
              <w:jc w:val="right"/>
              <w:rPr>
                <w:b/>
                <w:bCs/>
                <w:i/>
                <w:iCs/>
                <w:sz w:val="22"/>
                <w:szCs w:val="22"/>
              </w:rPr>
            </w:pPr>
            <w:r w:rsidRPr="000B12E7">
              <w:rPr>
                <w:b/>
                <w:bCs/>
                <w:i/>
                <w:iCs/>
                <w:sz w:val="22"/>
                <w:szCs w:val="22"/>
              </w:rPr>
              <w:t>Percentage of</w:t>
            </w:r>
            <w:r>
              <w:rPr>
                <w:b/>
                <w:bCs/>
                <w:i/>
                <w:iCs/>
                <w:sz w:val="22"/>
                <w:szCs w:val="22"/>
              </w:rPr>
              <w:t xml:space="preserve"> issued share capital</w:t>
            </w:r>
          </w:p>
        </w:tc>
      </w:tr>
      <w:tr w:rsidR="00540F36" w:rsidRPr="00861C3E" w14:paraId="08523302" w14:textId="77777777" w:rsidTr="000F3686">
        <w:tc>
          <w:tcPr>
            <w:tcW w:w="5103" w:type="dxa"/>
          </w:tcPr>
          <w:p w14:paraId="48FA976B" w14:textId="77777777" w:rsidR="00540F36" w:rsidRPr="00861C3E" w:rsidRDefault="00540F36" w:rsidP="00877D99">
            <w:pPr>
              <w:widowControl w:val="0"/>
              <w:tabs>
                <w:tab w:val="right" w:pos="5345"/>
              </w:tabs>
              <w:ind w:left="-112"/>
              <w:jc w:val="both"/>
              <w:rPr>
                <w:sz w:val="22"/>
                <w:szCs w:val="22"/>
              </w:rPr>
            </w:pPr>
          </w:p>
        </w:tc>
        <w:tc>
          <w:tcPr>
            <w:tcW w:w="383" w:type="dxa"/>
          </w:tcPr>
          <w:p w14:paraId="508FB5FE" w14:textId="77777777" w:rsidR="00540F36" w:rsidRPr="00861C3E" w:rsidRDefault="00540F36" w:rsidP="00877D99">
            <w:pPr>
              <w:widowControl w:val="0"/>
              <w:tabs>
                <w:tab w:val="right" w:pos="5345"/>
              </w:tabs>
              <w:ind w:left="-112"/>
              <w:jc w:val="right"/>
              <w:rPr>
                <w:b/>
                <w:bCs/>
                <w:sz w:val="22"/>
                <w:szCs w:val="22"/>
              </w:rPr>
            </w:pPr>
          </w:p>
        </w:tc>
        <w:tc>
          <w:tcPr>
            <w:tcW w:w="240" w:type="dxa"/>
          </w:tcPr>
          <w:p w14:paraId="3445AE1C" w14:textId="77777777" w:rsidR="00540F36" w:rsidRPr="000B12E7" w:rsidRDefault="00540F36" w:rsidP="00877D99">
            <w:pPr>
              <w:widowControl w:val="0"/>
              <w:tabs>
                <w:tab w:val="right" w:pos="5345"/>
              </w:tabs>
              <w:ind w:left="-112"/>
              <w:jc w:val="right"/>
              <w:rPr>
                <w:b/>
                <w:bCs/>
                <w:i/>
                <w:iCs/>
                <w:sz w:val="22"/>
                <w:szCs w:val="22"/>
              </w:rPr>
            </w:pPr>
          </w:p>
        </w:tc>
        <w:tc>
          <w:tcPr>
            <w:tcW w:w="1220" w:type="dxa"/>
          </w:tcPr>
          <w:p w14:paraId="70354408" w14:textId="77777777" w:rsidR="00540F36" w:rsidRPr="000B12E7" w:rsidRDefault="00540F36" w:rsidP="00877D99">
            <w:pPr>
              <w:widowControl w:val="0"/>
              <w:tabs>
                <w:tab w:val="right" w:pos="5345"/>
              </w:tabs>
              <w:ind w:left="-112"/>
              <w:jc w:val="right"/>
              <w:rPr>
                <w:b/>
                <w:bCs/>
                <w:i/>
                <w:iCs/>
                <w:sz w:val="22"/>
                <w:szCs w:val="22"/>
              </w:rPr>
            </w:pPr>
          </w:p>
        </w:tc>
        <w:tc>
          <w:tcPr>
            <w:tcW w:w="1490" w:type="dxa"/>
          </w:tcPr>
          <w:p w14:paraId="467FDB45" w14:textId="77777777" w:rsidR="00540F36" w:rsidRPr="000B12E7" w:rsidRDefault="00540F36" w:rsidP="00877D99">
            <w:pPr>
              <w:widowControl w:val="0"/>
              <w:tabs>
                <w:tab w:val="right" w:pos="5345"/>
              </w:tabs>
              <w:ind w:left="-112"/>
              <w:jc w:val="right"/>
              <w:rPr>
                <w:b/>
                <w:bCs/>
                <w:i/>
                <w:iCs/>
                <w:sz w:val="22"/>
                <w:szCs w:val="22"/>
              </w:rPr>
            </w:pPr>
          </w:p>
        </w:tc>
        <w:tc>
          <w:tcPr>
            <w:tcW w:w="1593" w:type="dxa"/>
          </w:tcPr>
          <w:p w14:paraId="320BC35A" w14:textId="77777777" w:rsidR="00540F36" w:rsidRPr="000B12E7" w:rsidRDefault="00540F36" w:rsidP="00877D99">
            <w:pPr>
              <w:widowControl w:val="0"/>
              <w:tabs>
                <w:tab w:val="right" w:pos="5345"/>
              </w:tabs>
              <w:ind w:left="-112"/>
              <w:jc w:val="right"/>
              <w:rPr>
                <w:b/>
                <w:bCs/>
                <w:i/>
                <w:iCs/>
                <w:sz w:val="22"/>
                <w:szCs w:val="22"/>
              </w:rPr>
            </w:pPr>
          </w:p>
        </w:tc>
      </w:tr>
      <w:tr w:rsidR="00540F36" w:rsidRPr="00661079" w14:paraId="1458C630" w14:textId="77777777" w:rsidTr="000F3686">
        <w:tc>
          <w:tcPr>
            <w:tcW w:w="5103" w:type="dxa"/>
          </w:tcPr>
          <w:p w14:paraId="3F9459B1" w14:textId="646D06D9" w:rsidR="00540F36" w:rsidRPr="00E4071E" w:rsidRDefault="000F3686" w:rsidP="00877D99">
            <w:pPr>
              <w:widowControl w:val="0"/>
              <w:tabs>
                <w:tab w:val="right" w:pos="5345"/>
              </w:tabs>
              <w:ind w:left="-112"/>
              <w:jc w:val="both"/>
              <w:rPr>
                <w:sz w:val="22"/>
                <w:szCs w:val="22"/>
                <w:highlight w:val="yellow"/>
              </w:rPr>
            </w:pPr>
            <w:r>
              <w:rPr>
                <w:color w:val="000000"/>
                <w:sz w:val="22"/>
                <w:szCs w:val="22"/>
                <w:lang w:eastAsia="en-GB"/>
              </w:rPr>
              <w:t xml:space="preserve">Edward &amp; Sarah Spencer </w:t>
            </w:r>
          </w:p>
        </w:tc>
        <w:tc>
          <w:tcPr>
            <w:tcW w:w="383" w:type="dxa"/>
          </w:tcPr>
          <w:p w14:paraId="3941AC73" w14:textId="77777777" w:rsidR="00540F36" w:rsidRPr="00E4071E" w:rsidRDefault="00540F36" w:rsidP="00877D99">
            <w:pPr>
              <w:widowControl w:val="0"/>
              <w:tabs>
                <w:tab w:val="right" w:pos="5345"/>
              </w:tabs>
              <w:ind w:left="-112"/>
              <w:jc w:val="both"/>
              <w:rPr>
                <w:b/>
                <w:sz w:val="22"/>
                <w:szCs w:val="22"/>
                <w:highlight w:val="yellow"/>
              </w:rPr>
            </w:pPr>
          </w:p>
        </w:tc>
        <w:tc>
          <w:tcPr>
            <w:tcW w:w="240" w:type="dxa"/>
          </w:tcPr>
          <w:p w14:paraId="278186C1" w14:textId="77777777" w:rsidR="00540F36" w:rsidRDefault="00540F36" w:rsidP="00877D99">
            <w:pPr>
              <w:widowControl w:val="0"/>
              <w:tabs>
                <w:tab w:val="right" w:pos="5345"/>
              </w:tabs>
              <w:ind w:left="-112"/>
              <w:jc w:val="right"/>
              <w:rPr>
                <w:color w:val="000000"/>
                <w:sz w:val="22"/>
                <w:szCs w:val="22"/>
                <w:lang w:eastAsia="en-GB"/>
              </w:rPr>
            </w:pPr>
          </w:p>
        </w:tc>
        <w:tc>
          <w:tcPr>
            <w:tcW w:w="1220" w:type="dxa"/>
          </w:tcPr>
          <w:p w14:paraId="2F1B5ED3" w14:textId="77777777" w:rsidR="00540F36" w:rsidRDefault="00540F36" w:rsidP="00877D99">
            <w:pPr>
              <w:widowControl w:val="0"/>
              <w:tabs>
                <w:tab w:val="right" w:pos="5345"/>
              </w:tabs>
              <w:ind w:left="-112"/>
              <w:jc w:val="right"/>
              <w:rPr>
                <w:color w:val="000000"/>
                <w:sz w:val="22"/>
                <w:szCs w:val="22"/>
                <w:lang w:eastAsia="en-GB"/>
              </w:rPr>
            </w:pPr>
          </w:p>
        </w:tc>
        <w:tc>
          <w:tcPr>
            <w:tcW w:w="1490" w:type="dxa"/>
          </w:tcPr>
          <w:p w14:paraId="48118DC8" w14:textId="16F82618" w:rsidR="00540F36" w:rsidRPr="00E4071E" w:rsidRDefault="000F3686" w:rsidP="00877D99">
            <w:pPr>
              <w:widowControl w:val="0"/>
              <w:tabs>
                <w:tab w:val="right" w:pos="5345"/>
              </w:tabs>
              <w:ind w:left="-112"/>
              <w:jc w:val="right"/>
              <w:rPr>
                <w:b/>
                <w:sz w:val="22"/>
                <w:szCs w:val="22"/>
                <w:highlight w:val="yellow"/>
              </w:rPr>
            </w:pPr>
            <w:r>
              <w:rPr>
                <w:color w:val="000000"/>
                <w:sz w:val="22"/>
                <w:szCs w:val="22"/>
                <w:lang w:eastAsia="en-GB"/>
              </w:rPr>
              <w:t>85,600,001</w:t>
            </w:r>
          </w:p>
        </w:tc>
        <w:tc>
          <w:tcPr>
            <w:tcW w:w="1593" w:type="dxa"/>
          </w:tcPr>
          <w:p w14:paraId="64791648" w14:textId="42481149" w:rsidR="00540F36" w:rsidRPr="00E4071E" w:rsidRDefault="000F3686" w:rsidP="00877D99">
            <w:pPr>
              <w:widowControl w:val="0"/>
              <w:tabs>
                <w:tab w:val="right" w:pos="5345"/>
              </w:tabs>
              <w:ind w:left="-112"/>
              <w:jc w:val="right"/>
              <w:rPr>
                <w:b/>
                <w:sz w:val="22"/>
                <w:szCs w:val="22"/>
                <w:highlight w:val="yellow"/>
              </w:rPr>
            </w:pPr>
            <w:r>
              <w:rPr>
                <w:color w:val="000000"/>
                <w:sz w:val="22"/>
                <w:szCs w:val="22"/>
                <w:lang w:eastAsia="en-GB"/>
              </w:rPr>
              <w:t>16.84%</w:t>
            </w:r>
          </w:p>
        </w:tc>
      </w:tr>
      <w:tr w:rsidR="000F3686" w:rsidRPr="00661079" w14:paraId="79F0EF85" w14:textId="77777777" w:rsidTr="000F3686">
        <w:tc>
          <w:tcPr>
            <w:tcW w:w="5103" w:type="dxa"/>
          </w:tcPr>
          <w:p w14:paraId="2AF9C96E" w14:textId="71294A22" w:rsidR="000F3686" w:rsidRDefault="000F3686" w:rsidP="00877D99">
            <w:pPr>
              <w:widowControl w:val="0"/>
              <w:tabs>
                <w:tab w:val="right" w:pos="5345"/>
              </w:tabs>
              <w:ind w:left="-112"/>
              <w:jc w:val="both"/>
              <w:rPr>
                <w:color w:val="000000"/>
                <w:sz w:val="22"/>
                <w:szCs w:val="22"/>
                <w:lang w:eastAsia="en-GB"/>
              </w:rPr>
            </w:pPr>
            <w:r>
              <w:rPr>
                <w:color w:val="000000"/>
                <w:sz w:val="22"/>
                <w:szCs w:val="22"/>
                <w:lang w:eastAsia="en-GB"/>
              </w:rPr>
              <w:t>Buchanan Trading Inc *</w:t>
            </w:r>
          </w:p>
        </w:tc>
        <w:tc>
          <w:tcPr>
            <w:tcW w:w="383" w:type="dxa"/>
          </w:tcPr>
          <w:p w14:paraId="4BB14D50" w14:textId="77777777" w:rsidR="000F3686" w:rsidRPr="00E4071E" w:rsidRDefault="000F3686" w:rsidP="00877D99">
            <w:pPr>
              <w:widowControl w:val="0"/>
              <w:tabs>
                <w:tab w:val="right" w:pos="5345"/>
              </w:tabs>
              <w:ind w:left="-112"/>
              <w:jc w:val="both"/>
              <w:rPr>
                <w:b/>
                <w:sz w:val="22"/>
                <w:szCs w:val="22"/>
                <w:highlight w:val="yellow"/>
              </w:rPr>
            </w:pPr>
          </w:p>
        </w:tc>
        <w:tc>
          <w:tcPr>
            <w:tcW w:w="240" w:type="dxa"/>
          </w:tcPr>
          <w:p w14:paraId="6BEFD36C" w14:textId="77777777" w:rsidR="000F3686" w:rsidRDefault="000F3686" w:rsidP="00877D99">
            <w:pPr>
              <w:widowControl w:val="0"/>
              <w:tabs>
                <w:tab w:val="right" w:pos="5345"/>
              </w:tabs>
              <w:ind w:left="-112"/>
              <w:jc w:val="right"/>
              <w:rPr>
                <w:color w:val="000000"/>
                <w:sz w:val="22"/>
                <w:szCs w:val="22"/>
                <w:lang w:eastAsia="en-GB"/>
              </w:rPr>
            </w:pPr>
          </w:p>
        </w:tc>
        <w:tc>
          <w:tcPr>
            <w:tcW w:w="1220" w:type="dxa"/>
          </w:tcPr>
          <w:p w14:paraId="6A8EBC82" w14:textId="77777777" w:rsidR="000F3686" w:rsidRDefault="000F3686" w:rsidP="00877D99">
            <w:pPr>
              <w:widowControl w:val="0"/>
              <w:tabs>
                <w:tab w:val="right" w:pos="5345"/>
              </w:tabs>
              <w:ind w:left="-112"/>
              <w:jc w:val="right"/>
              <w:rPr>
                <w:color w:val="000000"/>
                <w:sz w:val="22"/>
                <w:szCs w:val="22"/>
                <w:lang w:eastAsia="en-GB"/>
              </w:rPr>
            </w:pPr>
          </w:p>
        </w:tc>
        <w:tc>
          <w:tcPr>
            <w:tcW w:w="1490" w:type="dxa"/>
          </w:tcPr>
          <w:p w14:paraId="00E2C52F" w14:textId="5704D781" w:rsidR="000F3686" w:rsidRDefault="000F3686" w:rsidP="00877D99">
            <w:pPr>
              <w:widowControl w:val="0"/>
              <w:tabs>
                <w:tab w:val="right" w:pos="5345"/>
              </w:tabs>
              <w:ind w:left="-112"/>
              <w:jc w:val="right"/>
              <w:rPr>
                <w:color w:val="000000"/>
                <w:sz w:val="22"/>
                <w:szCs w:val="22"/>
                <w:lang w:eastAsia="en-GB"/>
              </w:rPr>
            </w:pPr>
            <w:r>
              <w:rPr>
                <w:color w:val="000000"/>
                <w:sz w:val="22"/>
                <w:szCs w:val="22"/>
                <w:lang w:eastAsia="en-GB"/>
              </w:rPr>
              <w:t>24,750,000</w:t>
            </w:r>
          </w:p>
        </w:tc>
        <w:tc>
          <w:tcPr>
            <w:tcW w:w="1593" w:type="dxa"/>
          </w:tcPr>
          <w:p w14:paraId="16B35C84" w14:textId="47B3A18F" w:rsidR="000F3686" w:rsidRDefault="000F3686" w:rsidP="00877D99">
            <w:pPr>
              <w:widowControl w:val="0"/>
              <w:tabs>
                <w:tab w:val="right" w:pos="5345"/>
              </w:tabs>
              <w:ind w:left="-112"/>
              <w:jc w:val="right"/>
              <w:rPr>
                <w:color w:val="000000"/>
                <w:sz w:val="22"/>
                <w:szCs w:val="22"/>
                <w:lang w:eastAsia="en-GB"/>
              </w:rPr>
            </w:pPr>
            <w:r>
              <w:rPr>
                <w:color w:val="000000"/>
                <w:sz w:val="22"/>
                <w:szCs w:val="22"/>
                <w:lang w:eastAsia="en-GB"/>
              </w:rPr>
              <w:t>4.87%</w:t>
            </w:r>
          </w:p>
        </w:tc>
      </w:tr>
      <w:tr w:rsidR="000F3686" w:rsidRPr="00661079" w14:paraId="217F20F5" w14:textId="77777777" w:rsidTr="000F3686">
        <w:tc>
          <w:tcPr>
            <w:tcW w:w="5103" w:type="dxa"/>
          </w:tcPr>
          <w:p w14:paraId="0EB53D61" w14:textId="45AC9F1A" w:rsidR="000F3686" w:rsidRDefault="000F3686" w:rsidP="00877D99">
            <w:pPr>
              <w:widowControl w:val="0"/>
              <w:tabs>
                <w:tab w:val="right" w:pos="5345"/>
              </w:tabs>
              <w:ind w:left="-112"/>
              <w:jc w:val="both"/>
              <w:rPr>
                <w:color w:val="000000"/>
                <w:sz w:val="22"/>
                <w:szCs w:val="22"/>
                <w:lang w:eastAsia="en-GB"/>
              </w:rPr>
            </w:pPr>
            <w:r>
              <w:rPr>
                <w:color w:val="000000"/>
                <w:sz w:val="22"/>
                <w:szCs w:val="22"/>
                <w:lang w:eastAsia="en-GB"/>
              </w:rPr>
              <w:t xml:space="preserve">Gervaise Heddle </w:t>
            </w:r>
          </w:p>
        </w:tc>
        <w:tc>
          <w:tcPr>
            <w:tcW w:w="383" w:type="dxa"/>
          </w:tcPr>
          <w:p w14:paraId="5A005946" w14:textId="77777777" w:rsidR="000F3686" w:rsidRPr="00E4071E" w:rsidRDefault="000F3686" w:rsidP="00877D99">
            <w:pPr>
              <w:widowControl w:val="0"/>
              <w:tabs>
                <w:tab w:val="right" w:pos="5345"/>
              </w:tabs>
              <w:ind w:left="-112"/>
              <w:jc w:val="both"/>
              <w:rPr>
                <w:b/>
                <w:sz w:val="22"/>
                <w:szCs w:val="22"/>
                <w:highlight w:val="yellow"/>
              </w:rPr>
            </w:pPr>
          </w:p>
        </w:tc>
        <w:tc>
          <w:tcPr>
            <w:tcW w:w="240" w:type="dxa"/>
          </w:tcPr>
          <w:p w14:paraId="5A6DC49E" w14:textId="77777777" w:rsidR="000F3686" w:rsidRDefault="000F3686" w:rsidP="00877D99">
            <w:pPr>
              <w:widowControl w:val="0"/>
              <w:tabs>
                <w:tab w:val="right" w:pos="5345"/>
              </w:tabs>
              <w:ind w:left="-112"/>
              <w:jc w:val="right"/>
              <w:rPr>
                <w:color w:val="000000"/>
                <w:sz w:val="22"/>
                <w:szCs w:val="22"/>
                <w:lang w:eastAsia="en-GB"/>
              </w:rPr>
            </w:pPr>
          </w:p>
        </w:tc>
        <w:tc>
          <w:tcPr>
            <w:tcW w:w="1220" w:type="dxa"/>
          </w:tcPr>
          <w:p w14:paraId="401CDAB5" w14:textId="77777777" w:rsidR="000F3686" w:rsidRDefault="000F3686" w:rsidP="00877D99">
            <w:pPr>
              <w:widowControl w:val="0"/>
              <w:tabs>
                <w:tab w:val="right" w:pos="5345"/>
              </w:tabs>
              <w:ind w:left="-112"/>
              <w:jc w:val="right"/>
              <w:rPr>
                <w:color w:val="000000"/>
                <w:sz w:val="22"/>
                <w:szCs w:val="22"/>
                <w:lang w:eastAsia="en-GB"/>
              </w:rPr>
            </w:pPr>
          </w:p>
        </w:tc>
        <w:tc>
          <w:tcPr>
            <w:tcW w:w="1490" w:type="dxa"/>
          </w:tcPr>
          <w:p w14:paraId="2DFF2E84" w14:textId="6FCE6ACF" w:rsidR="000F3686" w:rsidRDefault="000F3686" w:rsidP="00877D99">
            <w:pPr>
              <w:widowControl w:val="0"/>
              <w:tabs>
                <w:tab w:val="right" w:pos="5345"/>
              </w:tabs>
              <w:ind w:left="-112"/>
              <w:jc w:val="right"/>
              <w:rPr>
                <w:color w:val="000000"/>
                <w:sz w:val="22"/>
                <w:szCs w:val="22"/>
                <w:lang w:eastAsia="en-GB"/>
              </w:rPr>
            </w:pPr>
            <w:r>
              <w:rPr>
                <w:color w:val="000000"/>
                <w:sz w:val="22"/>
                <w:szCs w:val="22"/>
                <w:lang w:eastAsia="en-GB"/>
              </w:rPr>
              <w:t>16,846,967</w:t>
            </w:r>
          </w:p>
        </w:tc>
        <w:tc>
          <w:tcPr>
            <w:tcW w:w="1593" w:type="dxa"/>
          </w:tcPr>
          <w:p w14:paraId="31A852D9" w14:textId="67E05CEE" w:rsidR="000F3686" w:rsidRDefault="000F3686" w:rsidP="00877D99">
            <w:pPr>
              <w:widowControl w:val="0"/>
              <w:tabs>
                <w:tab w:val="right" w:pos="5345"/>
              </w:tabs>
              <w:ind w:left="-112"/>
              <w:jc w:val="right"/>
              <w:rPr>
                <w:color w:val="000000"/>
                <w:sz w:val="22"/>
                <w:szCs w:val="22"/>
                <w:lang w:eastAsia="en-GB"/>
              </w:rPr>
            </w:pPr>
            <w:r>
              <w:rPr>
                <w:color w:val="000000"/>
                <w:sz w:val="22"/>
                <w:szCs w:val="22"/>
                <w:lang w:eastAsia="en-GB"/>
              </w:rPr>
              <w:t>3.21%</w:t>
            </w:r>
          </w:p>
        </w:tc>
      </w:tr>
    </w:tbl>
    <w:p w14:paraId="59476609" w14:textId="77777777" w:rsidR="00540F36" w:rsidRDefault="00540F36" w:rsidP="00861C3E">
      <w:pPr>
        <w:jc w:val="both"/>
        <w:rPr>
          <w:sz w:val="22"/>
          <w:szCs w:val="22"/>
        </w:rPr>
      </w:pPr>
    </w:p>
    <w:p w14:paraId="0EC6152E" w14:textId="447861A9" w:rsidR="00861C3E" w:rsidRPr="00861C3E" w:rsidRDefault="00861C3E" w:rsidP="00861C3E">
      <w:pPr>
        <w:jc w:val="both"/>
        <w:rPr>
          <w:sz w:val="22"/>
          <w:szCs w:val="22"/>
        </w:rPr>
      </w:pPr>
      <w:r w:rsidRPr="00E4071E">
        <w:rPr>
          <w:sz w:val="22"/>
          <w:szCs w:val="22"/>
        </w:rPr>
        <w:t xml:space="preserve">* </w:t>
      </w:r>
      <w:r w:rsidRPr="00E4071E">
        <w:rPr>
          <w:i/>
          <w:iCs/>
          <w:sz w:val="22"/>
          <w:szCs w:val="22"/>
        </w:rPr>
        <w:t xml:space="preserve">Buchanan Trading, Inc is owned by a discretionary Trust in which Mr. Latilla-Campbell is a potential </w:t>
      </w:r>
      <w:bookmarkStart w:id="9" w:name="DBG402"/>
      <w:bookmarkEnd w:id="9"/>
      <w:r w:rsidRPr="00E4071E">
        <w:rPr>
          <w:i/>
          <w:iCs/>
          <w:sz w:val="22"/>
          <w:szCs w:val="22"/>
        </w:rPr>
        <w:t>beneficiary</w:t>
      </w:r>
      <w:r w:rsidRPr="00E4071E">
        <w:rPr>
          <w:sz w:val="22"/>
          <w:szCs w:val="22"/>
        </w:rPr>
        <w:t>.</w:t>
      </w:r>
    </w:p>
    <w:p w14:paraId="04F52F15" w14:textId="255A171D" w:rsidR="00167AA8" w:rsidRDefault="00167AA8">
      <w:pPr>
        <w:jc w:val="both"/>
        <w:rPr>
          <w:sz w:val="22"/>
          <w:szCs w:val="22"/>
        </w:rPr>
      </w:pPr>
    </w:p>
    <w:p w14:paraId="0C3588A8" w14:textId="5678AD9E" w:rsidR="000F3686" w:rsidRDefault="000F3686">
      <w:pPr>
        <w:jc w:val="both"/>
        <w:rPr>
          <w:sz w:val="22"/>
          <w:szCs w:val="22"/>
        </w:rPr>
      </w:pPr>
      <w:r>
        <w:rPr>
          <w:sz w:val="22"/>
          <w:szCs w:val="22"/>
        </w:rPr>
        <w:t>The Company is not aware of any other interests which may be 3% or more.</w:t>
      </w:r>
    </w:p>
    <w:bookmarkEnd w:id="3"/>
    <w:p w14:paraId="2C8C5E23" w14:textId="77777777" w:rsidR="000F3686" w:rsidRDefault="000F3686">
      <w:pPr>
        <w:jc w:val="both"/>
        <w:rPr>
          <w:sz w:val="22"/>
          <w:szCs w:val="22"/>
        </w:rPr>
      </w:pPr>
    </w:p>
    <w:p w14:paraId="55112CA5" w14:textId="77777777" w:rsidR="005643A4" w:rsidRPr="005643A4" w:rsidRDefault="005643A4" w:rsidP="005643A4">
      <w:pPr>
        <w:rPr>
          <w:b/>
          <w:sz w:val="22"/>
          <w:szCs w:val="22"/>
        </w:rPr>
      </w:pPr>
      <w:r w:rsidRPr="005643A4">
        <w:rPr>
          <w:b/>
          <w:sz w:val="22"/>
          <w:szCs w:val="22"/>
        </w:rPr>
        <w:t>MATTERS COVERED IN THE STRATEGIC REPORT</w:t>
      </w:r>
    </w:p>
    <w:p w14:paraId="54A8B619" w14:textId="77777777" w:rsidR="005643A4" w:rsidRDefault="005643A4" w:rsidP="005643A4">
      <w:pPr>
        <w:overflowPunct/>
        <w:textAlignment w:val="auto"/>
        <w:rPr>
          <w:rFonts w:ascii="CIDFont+F3" w:hAnsi="CIDFont+F3" w:cs="CIDFont+F3"/>
          <w:sz w:val="21"/>
          <w:szCs w:val="21"/>
          <w:lang w:eastAsia="en-GB"/>
        </w:rPr>
      </w:pPr>
    </w:p>
    <w:p w14:paraId="5B551264" w14:textId="48AA772B" w:rsidR="005643A4" w:rsidRPr="005643A4" w:rsidRDefault="005643A4" w:rsidP="005643A4">
      <w:pPr>
        <w:jc w:val="both"/>
        <w:rPr>
          <w:sz w:val="22"/>
          <w:szCs w:val="22"/>
        </w:rPr>
      </w:pPr>
      <w:r w:rsidRPr="005643A4">
        <w:rPr>
          <w:sz w:val="22"/>
          <w:szCs w:val="22"/>
        </w:rPr>
        <w:t>The business review, review of KPI's and details of future developments are included in the</w:t>
      </w:r>
      <w:r>
        <w:rPr>
          <w:sz w:val="22"/>
          <w:szCs w:val="22"/>
        </w:rPr>
        <w:t xml:space="preserve"> </w:t>
      </w:r>
      <w:r w:rsidRPr="005643A4">
        <w:rPr>
          <w:sz w:val="22"/>
          <w:szCs w:val="22"/>
        </w:rPr>
        <w:t>Strategic Report.</w:t>
      </w:r>
    </w:p>
    <w:p w14:paraId="3A75D9E4" w14:textId="5634CB5B" w:rsidR="005643A4" w:rsidRDefault="005643A4">
      <w:pPr>
        <w:jc w:val="both"/>
        <w:rPr>
          <w:sz w:val="22"/>
          <w:szCs w:val="22"/>
        </w:rPr>
      </w:pPr>
    </w:p>
    <w:p w14:paraId="0BA48FC9" w14:textId="63357868" w:rsidR="00595FFE" w:rsidRPr="00595FFE" w:rsidRDefault="00595FFE" w:rsidP="00595FFE">
      <w:pPr>
        <w:rPr>
          <w:b/>
          <w:sz w:val="22"/>
          <w:szCs w:val="22"/>
        </w:rPr>
      </w:pPr>
      <w:r w:rsidRPr="00595FFE">
        <w:rPr>
          <w:b/>
          <w:sz w:val="22"/>
          <w:szCs w:val="22"/>
        </w:rPr>
        <w:t xml:space="preserve">POLITICAL AND CHARITABLE DONATIONS </w:t>
      </w:r>
    </w:p>
    <w:p w14:paraId="77F974E9" w14:textId="77777777" w:rsidR="00595FFE" w:rsidRDefault="00595FFE" w:rsidP="00595FFE">
      <w:pPr>
        <w:jc w:val="both"/>
        <w:rPr>
          <w:sz w:val="22"/>
          <w:szCs w:val="22"/>
        </w:rPr>
      </w:pPr>
    </w:p>
    <w:p w14:paraId="432CDC33" w14:textId="1403FC79" w:rsidR="00595FFE" w:rsidRPr="00595FFE" w:rsidRDefault="00595FFE" w:rsidP="00595FFE">
      <w:pPr>
        <w:jc w:val="both"/>
        <w:rPr>
          <w:sz w:val="22"/>
          <w:szCs w:val="22"/>
        </w:rPr>
      </w:pPr>
      <w:r w:rsidRPr="00595FFE">
        <w:rPr>
          <w:sz w:val="22"/>
          <w:szCs w:val="22"/>
        </w:rPr>
        <w:t>No political or charitable donations have been made during the period under review.</w:t>
      </w:r>
    </w:p>
    <w:p w14:paraId="2B0863A0" w14:textId="77777777" w:rsidR="00595FFE" w:rsidRDefault="00595FFE" w:rsidP="00595FFE">
      <w:pPr>
        <w:rPr>
          <w:rFonts w:ascii="Arial" w:hAnsi="Arial" w:cs="Arial"/>
          <w:b/>
          <w:sz w:val="24"/>
          <w:szCs w:val="24"/>
        </w:rPr>
      </w:pPr>
    </w:p>
    <w:p w14:paraId="01E58BC1" w14:textId="0E6746B1" w:rsidR="00595FFE" w:rsidRDefault="00CE2676" w:rsidP="00595FFE">
      <w:pPr>
        <w:jc w:val="both"/>
        <w:rPr>
          <w:sz w:val="22"/>
          <w:szCs w:val="22"/>
        </w:rPr>
      </w:pPr>
      <w:r>
        <w:rPr>
          <w:b/>
          <w:sz w:val="22"/>
          <w:szCs w:val="22"/>
        </w:rPr>
        <w:t xml:space="preserve">POST PERIOD EVENTS </w:t>
      </w:r>
    </w:p>
    <w:p w14:paraId="1D3BB15F" w14:textId="77777777" w:rsidR="009073DC" w:rsidRDefault="009073DC" w:rsidP="00595FFE">
      <w:pPr>
        <w:jc w:val="both"/>
        <w:rPr>
          <w:sz w:val="22"/>
          <w:szCs w:val="22"/>
        </w:rPr>
      </w:pPr>
    </w:p>
    <w:p w14:paraId="2B168D43" w14:textId="06DB9DE2" w:rsidR="00595FFE" w:rsidRPr="00595FFE" w:rsidRDefault="00CE2676" w:rsidP="00595FFE">
      <w:pPr>
        <w:jc w:val="both"/>
        <w:rPr>
          <w:sz w:val="22"/>
          <w:szCs w:val="22"/>
        </w:rPr>
      </w:pPr>
      <w:r w:rsidRPr="00A128AC">
        <w:rPr>
          <w:sz w:val="22"/>
          <w:szCs w:val="22"/>
        </w:rPr>
        <w:t xml:space="preserve">See Page </w:t>
      </w:r>
      <w:r w:rsidR="00203634" w:rsidRPr="00A128AC">
        <w:rPr>
          <w:sz w:val="22"/>
          <w:szCs w:val="22"/>
        </w:rPr>
        <w:t>5</w:t>
      </w:r>
      <w:r w:rsidRPr="00A128AC">
        <w:rPr>
          <w:sz w:val="22"/>
          <w:szCs w:val="22"/>
        </w:rPr>
        <w:t xml:space="preserve"> o</w:t>
      </w:r>
      <w:r w:rsidRPr="009073DC">
        <w:rPr>
          <w:sz w:val="22"/>
          <w:szCs w:val="22"/>
        </w:rPr>
        <w:t>f</w:t>
      </w:r>
      <w:r w:rsidRPr="00203634">
        <w:rPr>
          <w:sz w:val="22"/>
          <w:szCs w:val="22"/>
        </w:rPr>
        <w:t xml:space="preserve"> the</w:t>
      </w:r>
      <w:r>
        <w:rPr>
          <w:sz w:val="22"/>
          <w:szCs w:val="22"/>
        </w:rPr>
        <w:t xml:space="preserve"> Strategic Report</w:t>
      </w:r>
      <w:r w:rsidR="002F76A8">
        <w:rPr>
          <w:sz w:val="22"/>
          <w:szCs w:val="22"/>
        </w:rPr>
        <w:t xml:space="preserve"> and Note 18 to the Financial Statements</w:t>
      </w:r>
      <w:r>
        <w:rPr>
          <w:sz w:val="22"/>
          <w:szCs w:val="22"/>
        </w:rPr>
        <w:t>.</w:t>
      </w:r>
    </w:p>
    <w:p w14:paraId="74EB30CF" w14:textId="77777777" w:rsidR="00BC46DA" w:rsidRDefault="00BC46DA">
      <w:pPr>
        <w:rPr>
          <w:b/>
          <w:sz w:val="22"/>
          <w:szCs w:val="22"/>
        </w:rPr>
      </w:pPr>
    </w:p>
    <w:p w14:paraId="02943B71" w14:textId="77777777" w:rsidR="00877D99" w:rsidRDefault="00877D99">
      <w:pPr>
        <w:rPr>
          <w:b/>
          <w:sz w:val="22"/>
          <w:szCs w:val="22"/>
        </w:rPr>
      </w:pPr>
      <w:r>
        <w:rPr>
          <w:b/>
          <w:sz w:val="22"/>
          <w:szCs w:val="22"/>
        </w:rPr>
        <w:t>DISCLOSURE GUIDANCE AND TRANSPARENCY RULES – COMPLIANCE STATEMENT</w:t>
      </w:r>
    </w:p>
    <w:p w14:paraId="550203CE" w14:textId="77777777" w:rsidR="00877D99" w:rsidRDefault="00877D99">
      <w:pPr>
        <w:rPr>
          <w:b/>
          <w:sz w:val="22"/>
          <w:szCs w:val="22"/>
        </w:rPr>
      </w:pPr>
    </w:p>
    <w:p w14:paraId="5A18231C" w14:textId="18205155" w:rsidR="00877D99" w:rsidRPr="00847CD4" w:rsidRDefault="00877D99" w:rsidP="00877D99">
      <w:pPr>
        <w:overflowPunct/>
        <w:autoSpaceDE/>
        <w:autoSpaceDN/>
        <w:adjustRightInd/>
        <w:textAlignment w:val="auto"/>
        <w:rPr>
          <w:rFonts w:eastAsia="Calibri"/>
          <w:sz w:val="22"/>
          <w:szCs w:val="22"/>
          <w:lang w:eastAsia="en-GB"/>
        </w:rPr>
      </w:pPr>
      <w:r w:rsidRPr="00847CD4">
        <w:rPr>
          <w:rFonts w:eastAsia="Calibri"/>
          <w:sz w:val="22"/>
          <w:szCs w:val="22"/>
          <w:lang w:eastAsia="en-GB"/>
        </w:rPr>
        <w:t xml:space="preserve">The following disclosures relating to the Company’s share capital and control and its Directors are made pursuant to Rule 7.2.6.R of the Financial Conduct Authority’s Disclosure Guidance and Transparency Rules (“DTRs”). </w:t>
      </w:r>
    </w:p>
    <w:p w14:paraId="5F05D119" w14:textId="77777777" w:rsidR="00877D99" w:rsidRPr="00847CD4" w:rsidRDefault="00877D99" w:rsidP="00877D99">
      <w:pPr>
        <w:overflowPunct/>
        <w:autoSpaceDE/>
        <w:autoSpaceDN/>
        <w:adjustRightInd/>
        <w:textAlignment w:val="auto"/>
        <w:rPr>
          <w:rFonts w:eastAsia="Calibri"/>
          <w:sz w:val="22"/>
          <w:szCs w:val="22"/>
          <w:lang w:eastAsia="en-GB"/>
        </w:rPr>
      </w:pPr>
    </w:p>
    <w:p w14:paraId="6B07DDAF" w14:textId="7D3396ED" w:rsidR="00877D99" w:rsidRPr="00847CD4" w:rsidRDefault="00877D99" w:rsidP="00877D99">
      <w:pPr>
        <w:overflowPunct/>
        <w:autoSpaceDE/>
        <w:autoSpaceDN/>
        <w:adjustRightInd/>
        <w:textAlignment w:val="auto"/>
        <w:rPr>
          <w:rFonts w:eastAsia="Calibri"/>
          <w:sz w:val="22"/>
          <w:szCs w:val="22"/>
          <w:lang w:eastAsia="en-GB"/>
        </w:rPr>
      </w:pPr>
      <w:r w:rsidRPr="00847CD4">
        <w:rPr>
          <w:rFonts w:eastAsia="Calibri"/>
          <w:sz w:val="22"/>
          <w:szCs w:val="22"/>
          <w:lang w:eastAsia="en-GB"/>
        </w:rPr>
        <w:t xml:space="preserve">As at 31 December 2020: </w:t>
      </w:r>
    </w:p>
    <w:p w14:paraId="3F32030D" w14:textId="77777777" w:rsidR="00877D99" w:rsidRPr="00847CD4" w:rsidRDefault="00877D99" w:rsidP="00877D99">
      <w:pPr>
        <w:overflowPunct/>
        <w:autoSpaceDE/>
        <w:autoSpaceDN/>
        <w:adjustRightInd/>
        <w:textAlignment w:val="auto"/>
        <w:rPr>
          <w:rFonts w:eastAsia="Calibri"/>
          <w:sz w:val="22"/>
          <w:szCs w:val="22"/>
          <w:lang w:eastAsia="en-GB"/>
        </w:rPr>
      </w:pPr>
    </w:p>
    <w:p w14:paraId="2407F059" w14:textId="7F7864FA" w:rsidR="00877D99" w:rsidRPr="00847CD4" w:rsidRDefault="00877D99" w:rsidP="00DA0288">
      <w:pPr>
        <w:pStyle w:val="ListParagraph"/>
        <w:numPr>
          <w:ilvl w:val="0"/>
          <w:numId w:val="28"/>
        </w:numPr>
        <w:jc w:val="both"/>
        <w:rPr>
          <w:rFonts w:ascii="Times New Roman" w:eastAsia="Calibri" w:hAnsi="Times New Roman"/>
        </w:rPr>
      </w:pPr>
      <w:bookmarkStart w:id="10" w:name="_Hlk70643561"/>
      <w:r w:rsidRPr="00847CD4">
        <w:rPr>
          <w:rFonts w:ascii="Times New Roman" w:eastAsia="Calibri" w:hAnsi="Times New Roman"/>
        </w:rPr>
        <w:t>Details of significant direct or indirect holdings of ordinary shares in the capital of the Company are set out above in this Directors’ Report</w:t>
      </w:r>
      <w:r w:rsidR="003209B5" w:rsidRPr="00847CD4">
        <w:rPr>
          <w:rFonts w:ascii="Times New Roman" w:eastAsia="Calibri" w:hAnsi="Times New Roman"/>
        </w:rPr>
        <w:t>.</w:t>
      </w:r>
    </w:p>
    <w:bookmarkEnd w:id="10"/>
    <w:p w14:paraId="59F83053" w14:textId="77777777" w:rsidR="00877D99" w:rsidRPr="00847CD4"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The Company is not aware of any agreements between shareholders which may result in restrictions on the transfer of securities or on voting rights.</w:t>
      </w:r>
    </w:p>
    <w:p w14:paraId="78BF0E9A" w14:textId="73BC041D" w:rsidR="00877D99" w:rsidRPr="00847CD4"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 xml:space="preserve">There are no persons who hold securities carrying special rights regarding control of the Company. </w:t>
      </w:r>
    </w:p>
    <w:p w14:paraId="0EF6CA58" w14:textId="1BB867B6" w:rsidR="00755826" w:rsidRPr="00847CD4" w:rsidRDefault="00755826"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The Company is not a party to any significant agreements which take effect, alter or terminate upon a change of control of the Company following a takeover bid.</w:t>
      </w:r>
    </w:p>
    <w:p w14:paraId="2EED4BB3" w14:textId="36114835" w:rsidR="00877D99" w:rsidRPr="00847CD4"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 xml:space="preserve">All ordinary shares carry one vote per share without restriction. </w:t>
      </w:r>
    </w:p>
    <w:p w14:paraId="44FE1894" w14:textId="47080A9B" w:rsidR="00877D99"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 xml:space="preserve">The Company’s rules about the appointment and replacement of directors are contained in the Company’s articles of association and accord with the Companies Act 2006. Amendments to the Company’s articles of association must be approved by the Company’s shareholders by passing a special resolution. </w:t>
      </w:r>
    </w:p>
    <w:p w14:paraId="1A8BC104" w14:textId="5CD492A6" w:rsidR="00DA0288" w:rsidRDefault="00DA0288" w:rsidP="00DA0288">
      <w:pPr>
        <w:rPr>
          <w:rFonts w:eastAsia="Calibri"/>
        </w:rPr>
      </w:pPr>
    </w:p>
    <w:p w14:paraId="620AC950" w14:textId="52D9E830" w:rsidR="00DA0288" w:rsidRDefault="00DA0288" w:rsidP="00DA0288">
      <w:pPr>
        <w:rPr>
          <w:rFonts w:eastAsia="Calibri"/>
        </w:rPr>
      </w:pPr>
    </w:p>
    <w:p w14:paraId="0CAD6962" w14:textId="73B09650" w:rsidR="00DA0288" w:rsidRDefault="00DA0288" w:rsidP="00DA0288">
      <w:pPr>
        <w:rPr>
          <w:rFonts w:eastAsia="Calibri"/>
        </w:rPr>
      </w:pPr>
    </w:p>
    <w:p w14:paraId="5883605D" w14:textId="4314BFCE" w:rsidR="00DA0288" w:rsidRDefault="00DA0288" w:rsidP="00DA0288">
      <w:pPr>
        <w:rPr>
          <w:rFonts w:eastAsia="Calibri"/>
        </w:rPr>
      </w:pPr>
    </w:p>
    <w:p w14:paraId="450BDA70" w14:textId="77777777" w:rsidR="00DA0288" w:rsidRPr="00D75F30" w:rsidRDefault="00DA0288" w:rsidP="00DA0288">
      <w:pPr>
        <w:pStyle w:val="Heading7"/>
        <w:jc w:val="center"/>
        <w:rPr>
          <w:sz w:val="22"/>
          <w:szCs w:val="22"/>
        </w:rPr>
      </w:pPr>
      <w:r>
        <w:rPr>
          <w:sz w:val="22"/>
          <w:szCs w:val="22"/>
        </w:rPr>
        <w:t>DIRECTORS’ REPORT (continued)</w:t>
      </w:r>
    </w:p>
    <w:p w14:paraId="4BF09499" w14:textId="77777777" w:rsidR="00DA0288" w:rsidRDefault="00DA0288" w:rsidP="00DA0288">
      <w:pPr>
        <w:rPr>
          <w:b/>
          <w:sz w:val="22"/>
          <w:szCs w:val="22"/>
        </w:rPr>
      </w:pPr>
    </w:p>
    <w:p w14:paraId="0E0F0A85" w14:textId="09CE2CDD" w:rsidR="00DA0288" w:rsidRDefault="00DA0288" w:rsidP="00DA0288">
      <w:pPr>
        <w:rPr>
          <w:rFonts w:eastAsia="Calibri"/>
        </w:rPr>
      </w:pPr>
      <w:r>
        <w:rPr>
          <w:b/>
          <w:sz w:val="22"/>
          <w:szCs w:val="22"/>
        </w:rPr>
        <w:t>DISCLOSURE GUIDANCE AND TRANSPARENCY RULES – COMPLIANCE STATEMENT, continued</w:t>
      </w:r>
    </w:p>
    <w:p w14:paraId="693647BE" w14:textId="77777777" w:rsidR="00DA0288" w:rsidRPr="00DA0288" w:rsidRDefault="00DA0288" w:rsidP="00DA0288">
      <w:pPr>
        <w:rPr>
          <w:rFonts w:eastAsia="Calibri"/>
        </w:rPr>
      </w:pPr>
    </w:p>
    <w:p w14:paraId="69E56701" w14:textId="77777777" w:rsidR="00877D99" w:rsidRPr="00847CD4"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 xml:space="preserve">The Company may exercise in any manner permitted by the Companies Act 2006 any power which a public company limited by shares may exercise under the Companies Act 2006. The business of the Company is managed by or under the direction of the Directors. The Directors may exercise all the powers of the Company except any powers that the Companies Act 2006 or the articles of association requires the Company to exercise. </w:t>
      </w:r>
    </w:p>
    <w:p w14:paraId="5C25E18F" w14:textId="0C6F7B13" w:rsidR="00877D99" w:rsidRPr="00847CD4" w:rsidRDefault="00877D99" w:rsidP="00DA0288">
      <w:pPr>
        <w:pStyle w:val="ListParagraph"/>
        <w:numPr>
          <w:ilvl w:val="0"/>
          <w:numId w:val="28"/>
        </w:numPr>
        <w:jc w:val="both"/>
        <w:rPr>
          <w:rFonts w:ascii="Times New Roman" w:eastAsia="Calibri" w:hAnsi="Times New Roman"/>
        </w:rPr>
      </w:pPr>
      <w:r w:rsidRPr="00847CD4">
        <w:rPr>
          <w:rFonts w:ascii="Times New Roman" w:eastAsia="Calibri" w:hAnsi="Times New Roman"/>
        </w:rPr>
        <w:t>Subject to any rights and restrictions attached to a class of shares and in compliance with the Companies Act 2006, the Company may allot and issue unissued shares and grant options over unissued shares, on any terms, at any time and for any consideration, as the Directors resolve. This power of the Company can only be exercised by the Directors. The Company may reduce its share capital and buy-back shares in itself on any terms and at any time. However, the Companies Act 2006 sets out certain procedures which must be followed in relation to reductions in share capital and the buy-back of shares.</w:t>
      </w:r>
    </w:p>
    <w:p w14:paraId="1FC63203" w14:textId="4A45A052" w:rsidR="007623F0" w:rsidRPr="00A8640A" w:rsidRDefault="00877D99">
      <w:pPr>
        <w:rPr>
          <w:b/>
          <w:sz w:val="22"/>
          <w:szCs w:val="22"/>
        </w:rPr>
      </w:pPr>
      <w:r>
        <w:rPr>
          <w:b/>
          <w:sz w:val="22"/>
          <w:szCs w:val="22"/>
        </w:rPr>
        <w:t xml:space="preserve"> </w:t>
      </w:r>
      <w:r w:rsidR="007623F0" w:rsidRPr="00A8640A">
        <w:rPr>
          <w:b/>
          <w:sz w:val="22"/>
          <w:szCs w:val="22"/>
        </w:rPr>
        <w:t>DISCLOSURE OF INFORMATION TO THE AUDITOR</w:t>
      </w:r>
    </w:p>
    <w:p w14:paraId="117972D0" w14:textId="77777777" w:rsidR="007623F0" w:rsidRPr="00A8640A" w:rsidRDefault="007623F0">
      <w:pPr>
        <w:rPr>
          <w:b/>
          <w:sz w:val="22"/>
          <w:szCs w:val="22"/>
        </w:rPr>
      </w:pPr>
    </w:p>
    <w:p w14:paraId="6B71E3C1" w14:textId="5D44429A" w:rsidR="007623F0" w:rsidRPr="009C0464" w:rsidRDefault="007623F0">
      <w:pPr>
        <w:jc w:val="both"/>
        <w:rPr>
          <w:sz w:val="22"/>
          <w:szCs w:val="22"/>
        </w:rPr>
      </w:pPr>
      <w:r w:rsidRPr="00A8640A">
        <w:rPr>
          <w:sz w:val="22"/>
          <w:szCs w:val="22"/>
        </w:rPr>
        <w:t xml:space="preserve">In the case of </w:t>
      </w:r>
      <w:r w:rsidRPr="009C0464">
        <w:rPr>
          <w:sz w:val="22"/>
          <w:szCs w:val="22"/>
        </w:rPr>
        <w:t xml:space="preserve">each person who was a </w:t>
      </w:r>
      <w:r w:rsidR="00383C48" w:rsidRPr="009C0464">
        <w:rPr>
          <w:sz w:val="22"/>
          <w:szCs w:val="22"/>
        </w:rPr>
        <w:t>D</w:t>
      </w:r>
      <w:r w:rsidRPr="009C0464">
        <w:rPr>
          <w:sz w:val="22"/>
          <w:szCs w:val="22"/>
        </w:rPr>
        <w:t>irector at the time this report was approved:</w:t>
      </w:r>
    </w:p>
    <w:p w14:paraId="0B3B4340" w14:textId="5EF69F57" w:rsidR="007623F0" w:rsidRPr="009C0464" w:rsidRDefault="007623F0" w:rsidP="009E5B23">
      <w:pPr>
        <w:numPr>
          <w:ilvl w:val="0"/>
          <w:numId w:val="12"/>
        </w:numPr>
        <w:overflowPunct/>
        <w:autoSpaceDE/>
        <w:autoSpaceDN/>
        <w:adjustRightInd/>
        <w:jc w:val="both"/>
        <w:textAlignment w:val="auto"/>
        <w:rPr>
          <w:b/>
          <w:sz w:val="22"/>
          <w:szCs w:val="22"/>
        </w:rPr>
      </w:pPr>
      <w:r w:rsidRPr="009C0464">
        <w:rPr>
          <w:sz w:val="22"/>
          <w:szCs w:val="22"/>
        </w:rPr>
        <w:t xml:space="preserve">so far as that </w:t>
      </w:r>
      <w:r w:rsidR="00383C48" w:rsidRPr="009C0464">
        <w:rPr>
          <w:sz w:val="22"/>
          <w:szCs w:val="22"/>
        </w:rPr>
        <w:t>D</w:t>
      </w:r>
      <w:r w:rsidRPr="009C0464">
        <w:rPr>
          <w:sz w:val="22"/>
          <w:szCs w:val="22"/>
        </w:rPr>
        <w:t xml:space="preserve">irector was aware there was no relevant audit information of which the </w:t>
      </w:r>
      <w:r w:rsidR="00BF56B7" w:rsidRPr="009C0464">
        <w:rPr>
          <w:sz w:val="22"/>
          <w:szCs w:val="22"/>
        </w:rPr>
        <w:t>C</w:t>
      </w:r>
      <w:r w:rsidRPr="009C0464">
        <w:rPr>
          <w:sz w:val="22"/>
          <w:szCs w:val="22"/>
        </w:rPr>
        <w:t>ompany’s auditor was unaware; and</w:t>
      </w:r>
    </w:p>
    <w:p w14:paraId="50812B23" w14:textId="51B8B46C" w:rsidR="007623F0" w:rsidRPr="009C0464" w:rsidRDefault="007623F0" w:rsidP="009E5B23">
      <w:pPr>
        <w:numPr>
          <w:ilvl w:val="0"/>
          <w:numId w:val="12"/>
        </w:numPr>
        <w:overflowPunct/>
        <w:autoSpaceDE/>
        <w:autoSpaceDN/>
        <w:adjustRightInd/>
        <w:jc w:val="both"/>
        <w:textAlignment w:val="auto"/>
        <w:rPr>
          <w:sz w:val="22"/>
          <w:szCs w:val="22"/>
        </w:rPr>
      </w:pPr>
      <w:r w:rsidRPr="009C0464">
        <w:rPr>
          <w:sz w:val="22"/>
          <w:szCs w:val="22"/>
        </w:rPr>
        <w:t xml:space="preserve">that </w:t>
      </w:r>
      <w:r w:rsidR="00383C48" w:rsidRPr="009C0464">
        <w:rPr>
          <w:sz w:val="22"/>
          <w:szCs w:val="22"/>
        </w:rPr>
        <w:t>D</w:t>
      </w:r>
      <w:r w:rsidRPr="009C0464">
        <w:rPr>
          <w:sz w:val="22"/>
          <w:szCs w:val="22"/>
        </w:rPr>
        <w:t xml:space="preserve">irector had taken all steps that the director ought to have taken as a director to make himself or herself aware of any relevant audit information and to establish that the </w:t>
      </w:r>
      <w:r w:rsidR="00BF56B7" w:rsidRPr="009C0464">
        <w:rPr>
          <w:sz w:val="22"/>
          <w:szCs w:val="22"/>
        </w:rPr>
        <w:t>C</w:t>
      </w:r>
      <w:r w:rsidRPr="009C0464">
        <w:rPr>
          <w:sz w:val="22"/>
          <w:szCs w:val="22"/>
        </w:rPr>
        <w:t>ompany’s auditor was aware of that information.</w:t>
      </w:r>
    </w:p>
    <w:p w14:paraId="0660C771" w14:textId="77777777" w:rsidR="007623F0" w:rsidRPr="009C0464" w:rsidRDefault="007623F0">
      <w:pPr>
        <w:overflowPunct/>
        <w:autoSpaceDE/>
        <w:autoSpaceDN/>
        <w:adjustRightInd/>
        <w:jc w:val="both"/>
        <w:textAlignment w:val="auto"/>
        <w:rPr>
          <w:sz w:val="22"/>
          <w:szCs w:val="22"/>
        </w:rPr>
      </w:pPr>
      <w:r w:rsidRPr="009C0464">
        <w:rPr>
          <w:sz w:val="22"/>
          <w:szCs w:val="22"/>
        </w:rPr>
        <w:t>This information is given and should be interpreted in accordance with the provisions of section 418 of Companies Act 2006.</w:t>
      </w:r>
    </w:p>
    <w:p w14:paraId="4516A5DB" w14:textId="48CC4AF0" w:rsidR="007623F0" w:rsidRPr="009C0464" w:rsidRDefault="007623F0" w:rsidP="00A12D62">
      <w:pPr>
        <w:overflowPunct/>
        <w:autoSpaceDE/>
        <w:autoSpaceDN/>
        <w:adjustRightInd/>
        <w:jc w:val="center"/>
        <w:textAlignment w:val="auto"/>
        <w:rPr>
          <w:b/>
          <w:sz w:val="24"/>
        </w:rPr>
      </w:pPr>
    </w:p>
    <w:p w14:paraId="08AB696D" w14:textId="5E2F0F3A" w:rsidR="007623F0" w:rsidRPr="009C0464" w:rsidRDefault="007623F0">
      <w:pPr>
        <w:jc w:val="both"/>
        <w:rPr>
          <w:sz w:val="22"/>
          <w:szCs w:val="22"/>
        </w:rPr>
      </w:pPr>
      <w:r w:rsidRPr="009C0464">
        <w:rPr>
          <w:b/>
          <w:sz w:val="22"/>
          <w:szCs w:val="22"/>
        </w:rPr>
        <w:t>AUDITOR</w:t>
      </w:r>
      <w:r w:rsidR="00595FFE" w:rsidRPr="009C0464">
        <w:rPr>
          <w:b/>
          <w:sz w:val="22"/>
          <w:szCs w:val="22"/>
        </w:rPr>
        <w:t>S</w:t>
      </w:r>
    </w:p>
    <w:p w14:paraId="32F83784" w14:textId="77777777" w:rsidR="007623F0" w:rsidRPr="009C0464" w:rsidRDefault="007623F0">
      <w:pPr>
        <w:jc w:val="both"/>
        <w:rPr>
          <w:sz w:val="22"/>
          <w:szCs w:val="22"/>
        </w:rPr>
      </w:pPr>
    </w:p>
    <w:p w14:paraId="77769047" w14:textId="52776EB8" w:rsidR="007623F0" w:rsidRPr="009C0464" w:rsidRDefault="007623F0">
      <w:pPr>
        <w:jc w:val="both"/>
        <w:rPr>
          <w:sz w:val="22"/>
          <w:szCs w:val="22"/>
        </w:rPr>
      </w:pPr>
      <w:r w:rsidRPr="009C0464">
        <w:rPr>
          <w:sz w:val="22"/>
          <w:szCs w:val="22"/>
        </w:rPr>
        <w:t xml:space="preserve">A resolution to re-appoint the </w:t>
      </w:r>
      <w:r w:rsidR="00595FFE" w:rsidRPr="009C0464">
        <w:rPr>
          <w:sz w:val="22"/>
          <w:szCs w:val="22"/>
        </w:rPr>
        <w:t>Company’s A</w:t>
      </w:r>
      <w:r w:rsidRPr="009C0464">
        <w:rPr>
          <w:sz w:val="22"/>
          <w:szCs w:val="22"/>
        </w:rPr>
        <w:t>uditor</w:t>
      </w:r>
      <w:r w:rsidR="00595FFE" w:rsidRPr="009C0464">
        <w:rPr>
          <w:sz w:val="22"/>
          <w:szCs w:val="22"/>
        </w:rPr>
        <w:t>s</w:t>
      </w:r>
      <w:r w:rsidRPr="009C0464">
        <w:rPr>
          <w:sz w:val="22"/>
          <w:szCs w:val="22"/>
        </w:rPr>
        <w:t xml:space="preserve">, </w:t>
      </w:r>
      <w:r w:rsidR="00540FC9" w:rsidRPr="009C0464">
        <w:rPr>
          <w:sz w:val="22"/>
          <w:szCs w:val="22"/>
        </w:rPr>
        <w:t>Edwards Veeder (UK) Limited</w:t>
      </w:r>
      <w:r w:rsidRPr="009C0464">
        <w:rPr>
          <w:sz w:val="22"/>
          <w:szCs w:val="22"/>
        </w:rPr>
        <w:t>, will be proposed at the next Annual General Meeting</w:t>
      </w:r>
      <w:r w:rsidR="00595FFE" w:rsidRPr="009C0464">
        <w:rPr>
          <w:sz w:val="22"/>
          <w:szCs w:val="22"/>
        </w:rPr>
        <w:t xml:space="preserve"> of the Company, to be held on </w:t>
      </w:r>
      <w:r w:rsidR="005E5EB6" w:rsidRPr="009C0464">
        <w:rPr>
          <w:sz w:val="22"/>
          <w:szCs w:val="22"/>
        </w:rPr>
        <w:t xml:space="preserve">8 June </w:t>
      </w:r>
      <w:r w:rsidR="00B70184" w:rsidRPr="009C0464">
        <w:rPr>
          <w:sz w:val="22"/>
          <w:szCs w:val="22"/>
        </w:rPr>
        <w:t>2021</w:t>
      </w:r>
      <w:r w:rsidRPr="009C0464">
        <w:rPr>
          <w:sz w:val="22"/>
          <w:szCs w:val="22"/>
        </w:rPr>
        <w:t xml:space="preserve">. </w:t>
      </w:r>
    </w:p>
    <w:p w14:paraId="1A89DF05" w14:textId="77777777" w:rsidR="007623F0" w:rsidRPr="009C0464" w:rsidRDefault="007623F0">
      <w:pPr>
        <w:jc w:val="both"/>
        <w:rPr>
          <w:b/>
          <w:sz w:val="22"/>
          <w:szCs w:val="22"/>
        </w:rPr>
      </w:pPr>
    </w:p>
    <w:p w14:paraId="0379E8B3" w14:textId="5D109F8A" w:rsidR="00FA4086" w:rsidRPr="009C0464" w:rsidRDefault="00FA4086" w:rsidP="00FA4086">
      <w:pPr>
        <w:jc w:val="both"/>
        <w:rPr>
          <w:b/>
          <w:sz w:val="22"/>
          <w:szCs w:val="22"/>
        </w:rPr>
      </w:pPr>
      <w:r w:rsidRPr="009C0464">
        <w:rPr>
          <w:b/>
          <w:sz w:val="22"/>
          <w:szCs w:val="22"/>
        </w:rPr>
        <w:t xml:space="preserve">Approved by the Board of Directors </w:t>
      </w:r>
    </w:p>
    <w:p w14:paraId="76E0DBD6" w14:textId="77777777" w:rsidR="00FA4086" w:rsidRPr="009C0464" w:rsidRDefault="00FA4086" w:rsidP="00FA4086">
      <w:pPr>
        <w:jc w:val="both"/>
        <w:rPr>
          <w:b/>
          <w:sz w:val="22"/>
          <w:szCs w:val="22"/>
        </w:rPr>
      </w:pPr>
      <w:r w:rsidRPr="009C0464">
        <w:rPr>
          <w:b/>
          <w:sz w:val="22"/>
          <w:szCs w:val="22"/>
        </w:rPr>
        <w:t>and signed on behalf of the Board</w:t>
      </w:r>
    </w:p>
    <w:p w14:paraId="2B5EA584" w14:textId="77777777" w:rsidR="00FA4086" w:rsidRPr="009C0464" w:rsidRDefault="00FA4086" w:rsidP="00FA4086">
      <w:pPr>
        <w:jc w:val="both"/>
        <w:rPr>
          <w:b/>
          <w:sz w:val="22"/>
          <w:szCs w:val="22"/>
        </w:rPr>
      </w:pPr>
    </w:p>
    <w:p w14:paraId="69008DB2" w14:textId="38FDC2D1" w:rsidR="00FA4086" w:rsidRPr="009C0464" w:rsidRDefault="00FA4086" w:rsidP="00FA4086">
      <w:pPr>
        <w:jc w:val="both"/>
        <w:rPr>
          <w:b/>
          <w:sz w:val="22"/>
          <w:szCs w:val="22"/>
        </w:rPr>
      </w:pPr>
    </w:p>
    <w:p w14:paraId="5548D036" w14:textId="77777777" w:rsidR="00FA4086" w:rsidRPr="009C0464" w:rsidRDefault="00FA4086" w:rsidP="00FA4086">
      <w:pPr>
        <w:jc w:val="both"/>
        <w:rPr>
          <w:b/>
          <w:sz w:val="22"/>
          <w:szCs w:val="22"/>
        </w:rPr>
      </w:pPr>
    </w:p>
    <w:p w14:paraId="65688CB2" w14:textId="570AB029" w:rsidR="00FA4086" w:rsidRPr="009C0464" w:rsidRDefault="00540FC9" w:rsidP="00FA4086">
      <w:pPr>
        <w:jc w:val="both"/>
        <w:rPr>
          <w:b/>
          <w:sz w:val="22"/>
          <w:szCs w:val="22"/>
        </w:rPr>
      </w:pPr>
      <w:r w:rsidRPr="009C0464">
        <w:rPr>
          <w:b/>
          <w:sz w:val="22"/>
          <w:szCs w:val="22"/>
        </w:rPr>
        <w:t>Rolf Gerritsen</w:t>
      </w:r>
    </w:p>
    <w:p w14:paraId="76EA63C6" w14:textId="77777777" w:rsidR="00FA4086" w:rsidRPr="009C0464" w:rsidRDefault="00FA4086" w:rsidP="00FA4086">
      <w:pPr>
        <w:rPr>
          <w:b/>
          <w:sz w:val="22"/>
          <w:szCs w:val="22"/>
        </w:rPr>
      </w:pPr>
      <w:r w:rsidRPr="009C0464">
        <w:rPr>
          <w:b/>
          <w:sz w:val="22"/>
          <w:szCs w:val="22"/>
        </w:rPr>
        <w:t xml:space="preserve">Director  </w:t>
      </w:r>
    </w:p>
    <w:p w14:paraId="503A4EBB" w14:textId="22373F60" w:rsidR="00F365CD" w:rsidRPr="00C448C1" w:rsidRDefault="001C10F8" w:rsidP="009A3D6D">
      <w:pPr>
        <w:pStyle w:val="BodyText3"/>
        <w:jc w:val="left"/>
        <w:rPr>
          <w:b w:val="0"/>
          <w:sz w:val="22"/>
          <w:szCs w:val="22"/>
        </w:rPr>
      </w:pPr>
      <w:r w:rsidRPr="009C0464">
        <w:rPr>
          <w:sz w:val="22"/>
          <w:szCs w:val="22"/>
        </w:rPr>
        <w:t>28</w:t>
      </w:r>
      <w:r w:rsidR="00547C36" w:rsidRPr="009C0464">
        <w:rPr>
          <w:sz w:val="22"/>
          <w:szCs w:val="22"/>
        </w:rPr>
        <w:t xml:space="preserve"> </w:t>
      </w:r>
      <w:r w:rsidR="002F76A8" w:rsidRPr="009C0464">
        <w:rPr>
          <w:sz w:val="22"/>
          <w:szCs w:val="22"/>
        </w:rPr>
        <w:t xml:space="preserve">April </w:t>
      </w:r>
      <w:r w:rsidR="00661079" w:rsidRPr="009C0464">
        <w:rPr>
          <w:sz w:val="22"/>
          <w:szCs w:val="22"/>
        </w:rPr>
        <w:t>202</w:t>
      </w:r>
      <w:r w:rsidR="00547C36" w:rsidRPr="009C0464">
        <w:rPr>
          <w:sz w:val="22"/>
          <w:szCs w:val="22"/>
        </w:rPr>
        <w:t>1</w:t>
      </w:r>
    </w:p>
    <w:p w14:paraId="721186E7" w14:textId="77777777" w:rsidR="00F35A00" w:rsidRDefault="00F35A00" w:rsidP="00CD4579">
      <w:pPr>
        <w:jc w:val="center"/>
        <w:rPr>
          <w:b/>
          <w:sz w:val="22"/>
          <w:szCs w:val="22"/>
        </w:rPr>
      </w:pPr>
    </w:p>
    <w:p w14:paraId="33A931C6" w14:textId="77777777" w:rsidR="007B6CF3" w:rsidRDefault="007B6CF3" w:rsidP="00CD4579">
      <w:pPr>
        <w:jc w:val="center"/>
        <w:rPr>
          <w:b/>
          <w:sz w:val="22"/>
          <w:szCs w:val="22"/>
        </w:rPr>
      </w:pPr>
    </w:p>
    <w:p w14:paraId="4E26265B" w14:textId="77777777" w:rsidR="007B6CF3" w:rsidRDefault="007B6CF3" w:rsidP="00CD4579">
      <w:pPr>
        <w:jc w:val="center"/>
        <w:rPr>
          <w:b/>
          <w:sz w:val="22"/>
          <w:szCs w:val="22"/>
        </w:rPr>
      </w:pPr>
    </w:p>
    <w:p w14:paraId="412FB720" w14:textId="77777777" w:rsidR="007B6CF3" w:rsidRDefault="007B6CF3" w:rsidP="00CD4579">
      <w:pPr>
        <w:jc w:val="center"/>
        <w:rPr>
          <w:b/>
          <w:sz w:val="22"/>
          <w:szCs w:val="22"/>
        </w:rPr>
      </w:pPr>
    </w:p>
    <w:p w14:paraId="7FD98F6F" w14:textId="77777777" w:rsidR="007B6CF3" w:rsidRDefault="007B6CF3" w:rsidP="00CD4579">
      <w:pPr>
        <w:jc w:val="center"/>
        <w:rPr>
          <w:b/>
          <w:sz w:val="22"/>
          <w:szCs w:val="22"/>
        </w:rPr>
      </w:pPr>
    </w:p>
    <w:p w14:paraId="0CC8289F" w14:textId="77777777" w:rsidR="007B6CF3" w:rsidRDefault="007B6CF3" w:rsidP="00CD4579">
      <w:pPr>
        <w:jc w:val="center"/>
        <w:rPr>
          <w:b/>
          <w:sz w:val="22"/>
          <w:szCs w:val="22"/>
        </w:rPr>
      </w:pPr>
    </w:p>
    <w:p w14:paraId="0959913E" w14:textId="77777777" w:rsidR="007B6CF3" w:rsidRDefault="007B6CF3" w:rsidP="00CD4579">
      <w:pPr>
        <w:jc w:val="center"/>
        <w:rPr>
          <w:b/>
          <w:sz w:val="22"/>
          <w:szCs w:val="22"/>
        </w:rPr>
      </w:pPr>
    </w:p>
    <w:p w14:paraId="5BF5B27B" w14:textId="77777777" w:rsidR="007B6CF3" w:rsidRDefault="007B6CF3" w:rsidP="00CD4579">
      <w:pPr>
        <w:jc w:val="center"/>
        <w:rPr>
          <w:b/>
          <w:sz w:val="22"/>
          <w:szCs w:val="22"/>
        </w:rPr>
      </w:pPr>
    </w:p>
    <w:p w14:paraId="03552FC4" w14:textId="77777777" w:rsidR="007B6CF3" w:rsidRDefault="007B6CF3" w:rsidP="00CD4579">
      <w:pPr>
        <w:jc w:val="center"/>
        <w:rPr>
          <w:b/>
          <w:sz w:val="22"/>
          <w:szCs w:val="22"/>
        </w:rPr>
      </w:pPr>
    </w:p>
    <w:p w14:paraId="4A3D5B0F" w14:textId="77777777" w:rsidR="007B6CF3" w:rsidRDefault="007B6CF3" w:rsidP="00CD4579">
      <w:pPr>
        <w:jc w:val="center"/>
        <w:rPr>
          <w:b/>
          <w:sz w:val="22"/>
          <w:szCs w:val="22"/>
        </w:rPr>
      </w:pPr>
    </w:p>
    <w:p w14:paraId="27FEB80F" w14:textId="77777777" w:rsidR="007B6CF3" w:rsidRDefault="007B6CF3" w:rsidP="00CD4579">
      <w:pPr>
        <w:jc w:val="center"/>
        <w:rPr>
          <w:b/>
          <w:sz w:val="22"/>
          <w:szCs w:val="22"/>
        </w:rPr>
      </w:pPr>
    </w:p>
    <w:p w14:paraId="65A2A948" w14:textId="3106327C" w:rsidR="007B6CF3" w:rsidRDefault="007B6CF3" w:rsidP="00CD4579">
      <w:pPr>
        <w:jc w:val="center"/>
        <w:rPr>
          <w:b/>
          <w:sz w:val="22"/>
          <w:szCs w:val="22"/>
        </w:rPr>
      </w:pPr>
    </w:p>
    <w:p w14:paraId="55CB901E" w14:textId="77777777" w:rsidR="00847CD4" w:rsidRDefault="00847CD4" w:rsidP="00CD4579">
      <w:pPr>
        <w:jc w:val="center"/>
        <w:rPr>
          <w:b/>
          <w:sz w:val="22"/>
          <w:szCs w:val="22"/>
        </w:rPr>
      </w:pPr>
    </w:p>
    <w:p w14:paraId="74FD30AD" w14:textId="77777777" w:rsidR="007B6CF3" w:rsidRDefault="007B6CF3" w:rsidP="00CD4579">
      <w:pPr>
        <w:jc w:val="center"/>
        <w:rPr>
          <w:b/>
          <w:sz w:val="22"/>
          <w:szCs w:val="22"/>
        </w:rPr>
      </w:pPr>
    </w:p>
    <w:p w14:paraId="5764C46A" w14:textId="77777777" w:rsidR="007B6CF3" w:rsidRDefault="007B6CF3" w:rsidP="00CD4579">
      <w:pPr>
        <w:jc w:val="center"/>
        <w:rPr>
          <w:b/>
          <w:sz w:val="22"/>
          <w:szCs w:val="22"/>
        </w:rPr>
      </w:pPr>
    </w:p>
    <w:p w14:paraId="47597F01" w14:textId="62131857" w:rsidR="00CD4579" w:rsidRDefault="00CD4579" w:rsidP="00CD4579">
      <w:pPr>
        <w:jc w:val="center"/>
        <w:rPr>
          <w:b/>
          <w:sz w:val="22"/>
          <w:szCs w:val="22"/>
        </w:rPr>
      </w:pPr>
      <w:r>
        <w:rPr>
          <w:b/>
          <w:sz w:val="22"/>
          <w:szCs w:val="22"/>
        </w:rPr>
        <w:t>DIRECTORS’ RESPONSIBILITIES STATEMENT</w:t>
      </w:r>
    </w:p>
    <w:p w14:paraId="37FD3ABC" w14:textId="77777777" w:rsidR="00CD4579" w:rsidRDefault="00CD4579" w:rsidP="005817CF">
      <w:pPr>
        <w:rPr>
          <w:b/>
          <w:sz w:val="22"/>
          <w:szCs w:val="22"/>
        </w:rPr>
      </w:pPr>
    </w:p>
    <w:p w14:paraId="393C04A6" w14:textId="4F6A3197" w:rsidR="003C16B9" w:rsidRPr="005817CF" w:rsidRDefault="005817CF" w:rsidP="005817CF">
      <w:pPr>
        <w:rPr>
          <w:b/>
          <w:sz w:val="22"/>
          <w:szCs w:val="22"/>
        </w:rPr>
      </w:pPr>
      <w:r w:rsidRPr="005817CF">
        <w:rPr>
          <w:b/>
          <w:sz w:val="22"/>
          <w:szCs w:val="22"/>
        </w:rPr>
        <w:t>Directors’ responsibilities for the financial statements</w:t>
      </w:r>
    </w:p>
    <w:p w14:paraId="2939E948" w14:textId="77777777" w:rsidR="00063338" w:rsidRDefault="00063338">
      <w:pPr>
        <w:jc w:val="both"/>
        <w:rPr>
          <w:sz w:val="22"/>
          <w:szCs w:val="22"/>
        </w:rPr>
      </w:pPr>
    </w:p>
    <w:p w14:paraId="20C705F1" w14:textId="201D906A" w:rsidR="007623F0" w:rsidRPr="00A8640A" w:rsidRDefault="007623F0">
      <w:pPr>
        <w:jc w:val="both"/>
        <w:rPr>
          <w:sz w:val="22"/>
          <w:szCs w:val="22"/>
        </w:rPr>
      </w:pPr>
      <w:r w:rsidRPr="00A8640A">
        <w:rPr>
          <w:sz w:val="22"/>
          <w:szCs w:val="22"/>
        </w:rPr>
        <w:t>The directors are responsible for preparing the Strategic Report, the Directors’ Report and the financial statements in accordance with applicable law and regulations.</w:t>
      </w:r>
    </w:p>
    <w:p w14:paraId="0E3BB1D7" w14:textId="77777777" w:rsidR="007623F0" w:rsidRPr="00A8640A" w:rsidRDefault="007623F0">
      <w:pPr>
        <w:jc w:val="both"/>
        <w:rPr>
          <w:sz w:val="22"/>
          <w:szCs w:val="22"/>
        </w:rPr>
      </w:pPr>
    </w:p>
    <w:p w14:paraId="23223CEE" w14:textId="28464B82" w:rsidR="007623F0" w:rsidRPr="00A8640A" w:rsidRDefault="007623F0">
      <w:pPr>
        <w:pStyle w:val="BodyText2"/>
        <w:rPr>
          <w:sz w:val="22"/>
          <w:szCs w:val="22"/>
        </w:rPr>
      </w:pPr>
      <w:r w:rsidRPr="00A8640A">
        <w:rPr>
          <w:sz w:val="22"/>
          <w:szCs w:val="22"/>
        </w:rPr>
        <w:t xml:space="preserve">Company law requires the directors to prepare financial statements for each financial period. Under that law the </w:t>
      </w:r>
      <w:r w:rsidR="00383C48">
        <w:rPr>
          <w:sz w:val="22"/>
          <w:szCs w:val="22"/>
        </w:rPr>
        <w:t>D</w:t>
      </w:r>
      <w:r w:rsidRPr="00A8640A">
        <w:rPr>
          <w:sz w:val="22"/>
          <w:szCs w:val="22"/>
        </w:rPr>
        <w:t xml:space="preserve">irectors have elected to prepare the group and parent company financial statements in accordance with applicable law and International Financial Reporting Standards (“IFRSs”) as adopted by the European Union and as regards the parent company financial statements, as applied in accordance with the provisions of the Companies Act 2006. Under company law the </w:t>
      </w:r>
      <w:r w:rsidR="00383C48">
        <w:rPr>
          <w:sz w:val="22"/>
          <w:szCs w:val="22"/>
        </w:rPr>
        <w:t>D</w:t>
      </w:r>
      <w:r w:rsidRPr="00A8640A">
        <w:rPr>
          <w:sz w:val="22"/>
          <w:szCs w:val="22"/>
        </w:rPr>
        <w:t xml:space="preserve">irectors must not approve the financial statements unless they are satisfied that they give a true and fair view of the state of affairs of the Company and of the Group and of the profit or loss of the Group for that period. </w:t>
      </w:r>
    </w:p>
    <w:p w14:paraId="7388364C" w14:textId="77777777" w:rsidR="007623F0" w:rsidRPr="00A8640A" w:rsidRDefault="007623F0">
      <w:pPr>
        <w:pStyle w:val="BodyText2"/>
        <w:rPr>
          <w:sz w:val="22"/>
          <w:szCs w:val="22"/>
        </w:rPr>
      </w:pPr>
    </w:p>
    <w:p w14:paraId="4B97F885" w14:textId="66C849D2" w:rsidR="007623F0" w:rsidRPr="00A8640A" w:rsidRDefault="007623F0">
      <w:pPr>
        <w:pStyle w:val="BodyText2"/>
        <w:rPr>
          <w:sz w:val="22"/>
          <w:szCs w:val="22"/>
        </w:rPr>
      </w:pPr>
      <w:r w:rsidRPr="00A8640A">
        <w:rPr>
          <w:sz w:val="22"/>
          <w:szCs w:val="22"/>
        </w:rPr>
        <w:t xml:space="preserve">In preparing those financial statements, the </w:t>
      </w:r>
      <w:r w:rsidR="00383C48">
        <w:rPr>
          <w:sz w:val="22"/>
          <w:szCs w:val="22"/>
        </w:rPr>
        <w:t>D</w:t>
      </w:r>
      <w:r w:rsidRPr="00A8640A">
        <w:rPr>
          <w:sz w:val="22"/>
          <w:szCs w:val="22"/>
        </w:rPr>
        <w:t>irectors are required to:</w:t>
      </w:r>
    </w:p>
    <w:p w14:paraId="2025EA59" w14:textId="77777777" w:rsidR="007623F0" w:rsidRPr="00A8640A" w:rsidRDefault="007623F0">
      <w:pPr>
        <w:jc w:val="both"/>
        <w:rPr>
          <w:sz w:val="22"/>
          <w:szCs w:val="22"/>
        </w:rPr>
      </w:pPr>
    </w:p>
    <w:p w14:paraId="699C1E9D" w14:textId="77777777" w:rsidR="007623F0" w:rsidRPr="00A8640A" w:rsidRDefault="007623F0" w:rsidP="009E5B23">
      <w:pPr>
        <w:numPr>
          <w:ilvl w:val="0"/>
          <w:numId w:val="2"/>
        </w:numPr>
        <w:overflowPunct/>
        <w:autoSpaceDE/>
        <w:autoSpaceDN/>
        <w:adjustRightInd/>
        <w:jc w:val="both"/>
        <w:textAlignment w:val="auto"/>
        <w:rPr>
          <w:sz w:val="22"/>
          <w:szCs w:val="22"/>
        </w:rPr>
      </w:pPr>
      <w:r w:rsidRPr="00A8640A">
        <w:rPr>
          <w:sz w:val="22"/>
          <w:szCs w:val="22"/>
        </w:rPr>
        <w:t>select suitable accounting policies and then apply them consistently;</w:t>
      </w:r>
    </w:p>
    <w:p w14:paraId="254F556A" w14:textId="77777777" w:rsidR="007623F0" w:rsidRPr="00A8640A" w:rsidRDefault="007623F0" w:rsidP="009E5B23">
      <w:pPr>
        <w:numPr>
          <w:ilvl w:val="0"/>
          <w:numId w:val="2"/>
        </w:numPr>
        <w:overflowPunct/>
        <w:autoSpaceDE/>
        <w:autoSpaceDN/>
        <w:adjustRightInd/>
        <w:jc w:val="both"/>
        <w:textAlignment w:val="auto"/>
        <w:rPr>
          <w:sz w:val="22"/>
          <w:szCs w:val="22"/>
        </w:rPr>
      </w:pPr>
      <w:r w:rsidRPr="00A8640A">
        <w:rPr>
          <w:sz w:val="22"/>
          <w:szCs w:val="22"/>
        </w:rPr>
        <w:t>make judgements and accounting estimates that are reasonable and prudent;</w:t>
      </w:r>
    </w:p>
    <w:p w14:paraId="6F8C77F4" w14:textId="77777777" w:rsidR="007623F0" w:rsidRPr="00A8640A" w:rsidRDefault="007623F0" w:rsidP="009E5B23">
      <w:pPr>
        <w:numPr>
          <w:ilvl w:val="0"/>
          <w:numId w:val="2"/>
        </w:numPr>
        <w:overflowPunct/>
        <w:autoSpaceDE/>
        <w:autoSpaceDN/>
        <w:adjustRightInd/>
        <w:jc w:val="both"/>
        <w:textAlignment w:val="auto"/>
        <w:rPr>
          <w:sz w:val="22"/>
          <w:szCs w:val="22"/>
        </w:rPr>
      </w:pPr>
      <w:r w:rsidRPr="00A8640A">
        <w:rPr>
          <w:sz w:val="22"/>
          <w:szCs w:val="22"/>
        </w:rPr>
        <w:t xml:space="preserve">state whether applicable IFRSs as adopted by the European Union have been followed subject to any material departures disclosed and explained in the financial statements; and </w:t>
      </w:r>
    </w:p>
    <w:p w14:paraId="7AE2D189" w14:textId="77777777" w:rsidR="007623F0" w:rsidRPr="00A8640A" w:rsidRDefault="007623F0" w:rsidP="009E5B23">
      <w:pPr>
        <w:numPr>
          <w:ilvl w:val="0"/>
          <w:numId w:val="2"/>
        </w:numPr>
        <w:overflowPunct/>
        <w:autoSpaceDE/>
        <w:autoSpaceDN/>
        <w:adjustRightInd/>
        <w:jc w:val="both"/>
        <w:textAlignment w:val="auto"/>
        <w:rPr>
          <w:sz w:val="22"/>
          <w:szCs w:val="22"/>
        </w:rPr>
      </w:pPr>
      <w:r w:rsidRPr="00A8640A">
        <w:rPr>
          <w:sz w:val="22"/>
          <w:szCs w:val="22"/>
        </w:rPr>
        <w:t>prepare the financial statements on the going concern basis unless it is inappropriate to presume that the Company/Group will continue in business.</w:t>
      </w:r>
    </w:p>
    <w:p w14:paraId="6A8D6562" w14:textId="77777777" w:rsidR="007623F0" w:rsidRPr="00A8640A" w:rsidRDefault="007623F0">
      <w:pPr>
        <w:jc w:val="both"/>
        <w:rPr>
          <w:sz w:val="22"/>
          <w:szCs w:val="22"/>
        </w:rPr>
      </w:pPr>
    </w:p>
    <w:p w14:paraId="4D77611A" w14:textId="3C3DB6CB" w:rsidR="007623F0" w:rsidRPr="00A8640A" w:rsidRDefault="007623F0">
      <w:pPr>
        <w:jc w:val="both"/>
        <w:rPr>
          <w:sz w:val="22"/>
          <w:szCs w:val="22"/>
        </w:rPr>
      </w:pPr>
      <w:r w:rsidRPr="00A8640A">
        <w:rPr>
          <w:sz w:val="22"/>
          <w:szCs w:val="22"/>
        </w:rPr>
        <w:t xml:space="preserve">The </w:t>
      </w:r>
      <w:r w:rsidR="00383C48">
        <w:rPr>
          <w:sz w:val="22"/>
          <w:szCs w:val="22"/>
        </w:rPr>
        <w:t>D</w:t>
      </w:r>
      <w:r w:rsidRPr="00A8640A">
        <w:rPr>
          <w:sz w:val="22"/>
          <w:szCs w:val="22"/>
        </w:rPr>
        <w:t xml:space="preserve">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of the Group and hence for taking reasonable steps for the prevention and detection of fraud and other irregularities. </w:t>
      </w:r>
    </w:p>
    <w:p w14:paraId="77D50FFD" w14:textId="77777777" w:rsidR="007623F0" w:rsidRPr="00A8640A" w:rsidRDefault="007623F0">
      <w:pPr>
        <w:jc w:val="both"/>
        <w:rPr>
          <w:sz w:val="22"/>
          <w:szCs w:val="22"/>
        </w:rPr>
      </w:pPr>
    </w:p>
    <w:p w14:paraId="607B1148" w14:textId="4015BEB3" w:rsidR="00A06465" w:rsidRPr="005E696B" w:rsidRDefault="007623F0" w:rsidP="00A06465">
      <w:pPr>
        <w:jc w:val="both"/>
        <w:rPr>
          <w:sz w:val="22"/>
          <w:szCs w:val="22"/>
        </w:rPr>
      </w:pPr>
      <w:r w:rsidRPr="00A8640A">
        <w:rPr>
          <w:sz w:val="22"/>
          <w:szCs w:val="22"/>
        </w:rPr>
        <w:t xml:space="preserve">The </w:t>
      </w:r>
      <w:r w:rsidR="00D448CA">
        <w:rPr>
          <w:sz w:val="22"/>
          <w:szCs w:val="22"/>
        </w:rPr>
        <w:t>D</w:t>
      </w:r>
      <w:r w:rsidRPr="00A8640A">
        <w:rPr>
          <w:sz w:val="22"/>
          <w:szCs w:val="22"/>
        </w:rPr>
        <w:t xml:space="preserve">irectors are responsible for the maintenance and integrity of the corporate and financial information included on the Company’s website. Legislation in the United Kingdom governing the preparation and dissemination of financial statements may differ from legislation in other jurisdictions. </w:t>
      </w:r>
      <w:r w:rsidR="00A06465" w:rsidRPr="00A06465">
        <w:rPr>
          <w:sz w:val="22"/>
          <w:szCs w:val="22"/>
        </w:rPr>
        <w:t xml:space="preserve">The maintenance and integrity of the Company's website is the responsibility of the </w:t>
      </w:r>
      <w:r w:rsidR="00D448CA">
        <w:rPr>
          <w:sz w:val="22"/>
          <w:szCs w:val="22"/>
        </w:rPr>
        <w:t>D</w:t>
      </w:r>
      <w:r w:rsidR="00A06465" w:rsidRPr="00A06465">
        <w:rPr>
          <w:sz w:val="22"/>
          <w:szCs w:val="22"/>
        </w:rPr>
        <w:t>irectors</w:t>
      </w:r>
      <w:r w:rsidR="00A06465" w:rsidRPr="005E696B">
        <w:rPr>
          <w:sz w:val="22"/>
          <w:szCs w:val="22"/>
        </w:rPr>
        <w:t xml:space="preserve">. The </w:t>
      </w:r>
      <w:r w:rsidR="00D448CA">
        <w:rPr>
          <w:sz w:val="22"/>
          <w:szCs w:val="22"/>
        </w:rPr>
        <w:t>D</w:t>
      </w:r>
      <w:r w:rsidR="00A06465" w:rsidRPr="005E696B">
        <w:rPr>
          <w:sz w:val="22"/>
          <w:szCs w:val="22"/>
        </w:rPr>
        <w:t>irectors' responsibility also extends to the ongoing integrity of the financial statements contained therein.</w:t>
      </w:r>
    </w:p>
    <w:p w14:paraId="1B72CEB7" w14:textId="77777777" w:rsidR="00A06465" w:rsidRPr="005E696B" w:rsidRDefault="00A06465" w:rsidP="00A06465">
      <w:pPr>
        <w:jc w:val="both"/>
        <w:rPr>
          <w:sz w:val="22"/>
          <w:szCs w:val="22"/>
        </w:rPr>
      </w:pPr>
    </w:p>
    <w:p w14:paraId="6C52EF6A" w14:textId="2C96421B" w:rsidR="00A06465" w:rsidRPr="005E696B" w:rsidRDefault="00A06465" w:rsidP="00A06465">
      <w:pPr>
        <w:jc w:val="both"/>
        <w:rPr>
          <w:sz w:val="22"/>
          <w:szCs w:val="22"/>
        </w:rPr>
      </w:pPr>
      <w:r w:rsidRPr="005E696B">
        <w:rPr>
          <w:sz w:val="22"/>
          <w:szCs w:val="22"/>
        </w:rPr>
        <w:t xml:space="preserve">They are further responsible for ensuring that the Strategic Report and the Directors’ Report and other information included in the Annual Report and Financial Statements is prepared in accordance with applicable law in the United Kingdom. </w:t>
      </w:r>
    </w:p>
    <w:p w14:paraId="72D438EB" w14:textId="77777777" w:rsidR="00A06465" w:rsidRPr="005E696B" w:rsidRDefault="00A06465" w:rsidP="00A06465">
      <w:pPr>
        <w:jc w:val="both"/>
        <w:rPr>
          <w:sz w:val="22"/>
          <w:szCs w:val="22"/>
        </w:rPr>
      </w:pPr>
    </w:p>
    <w:p w14:paraId="44B7A3CD" w14:textId="56206FFA" w:rsidR="00A06465" w:rsidRPr="005E696B" w:rsidRDefault="00A06465" w:rsidP="00A06465">
      <w:pPr>
        <w:jc w:val="both"/>
        <w:rPr>
          <w:sz w:val="22"/>
          <w:szCs w:val="22"/>
        </w:rPr>
      </w:pPr>
      <w:r w:rsidRPr="005E696B">
        <w:rPr>
          <w:sz w:val="22"/>
          <w:szCs w:val="22"/>
        </w:rPr>
        <w:t xml:space="preserve">The </w:t>
      </w:r>
      <w:r w:rsidR="00D448CA">
        <w:rPr>
          <w:sz w:val="22"/>
          <w:szCs w:val="22"/>
        </w:rPr>
        <w:t>D</w:t>
      </w:r>
      <w:r w:rsidRPr="005E696B">
        <w:rPr>
          <w:sz w:val="22"/>
          <w:szCs w:val="22"/>
        </w:rPr>
        <w:t>irectors, after making enquiries, have a reasonable expectation that the Company has adequate resources to continue in operational existence for the foreseeable future. They therefore continue to adopt the going concern basis in preparing the accounts.</w:t>
      </w:r>
    </w:p>
    <w:p w14:paraId="43D34C2E" w14:textId="5413D7B2" w:rsidR="007623F0" w:rsidRPr="005E696B" w:rsidRDefault="007623F0">
      <w:pPr>
        <w:jc w:val="both"/>
        <w:rPr>
          <w:sz w:val="22"/>
          <w:szCs w:val="22"/>
        </w:rPr>
      </w:pPr>
    </w:p>
    <w:p w14:paraId="03F24C41" w14:textId="77777777" w:rsidR="00A06465" w:rsidRPr="005E696B" w:rsidRDefault="00A06465" w:rsidP="00A06465">
      <w:pPr>
        <w:jc w:val="both"/>
        <w:rPr>
          <w:b/>
          <w:bCs/>
          <w:sz w:val="22"/>
          <w:szCs w:val="22"/>
        </w:rPr>
      </w:pPr>
      <w:r w:rsidRPr="005E696B">
        <w:rPr>
          <w:b/>
          <w:bCs/>
          <w:sz w:val="22"/>
          <w:szCs w:val="22"/>
        </w:rPr>
        <w:t>Auditors</w:t>
      </w:r>
    </w:p>
    <w:p w14:paraId="1CEA01F3" w14:textId="77777777" w:rsidR="00063338" w:rsidRDefault="00063338" w:rsidP="00A06465">
      <w:pPr>
        <w:jc w:val="both"/>
        <w:rPr>
          <w:sz w:val="22"/>
          <w:szCs w:val="22"/>
        </w:rPr>
      </w:pPr>
    </w:p>
    <w:p w14:paraId="01641B1B" w14:textId="4026DF2F" w:rsidR="00A06465" w:rsidRPr="005E696B" w:rsidRDefault="00A06465" w:rsidP="00A06465">
      <w:pPr>
        <w:jc w:val="both"/>
        <w:rPr>
          <w:sz w:val="22"/>
          <w:szCs w:val="22"/>
        </w:rPr>
      </w:pPr>
      <w:r w:rsidRPr="005E696B">
        <w:rPr>
          <w:sz w:val="22"/>
          <w:szCs w:val="22"/>
        </w:rPr>
        <w:t xml:space="preserve">Edwards Veeder (UK) Limited has signified its willingness to continue as independent auditor to the Company. Under the Companies Act 2006 section 487(2) </w:t>
      </w:r>
      <w:r w:rsidR="002F76A8">
        <w:rPr>
          <w:sz w:val="22"/>
          <w:szCs w:val="22"/>
        </w:rPr>
        <w:t xml:space="preserve">Edwards Veeder (UK) Limited </w:t>
      </w:r>
      <w:r w:rsidRPr="005E696B">
        <w:rPr>
          <w:sz w:val="22"/>
          <w:szCs w:val="22"/>
        </w:rPr>
        <w:t>will be automatically re-appointed as auditor 28 days after these financial statements are sent to members, unless the members exercise their rights under the Companies Act 2006 to prevent the re-appointment.</w:t>
      </w:r>
    </w:p>
    <w:p w14:paraId="00055599" w14:textId="77777777" w:rsidR="00A06465" w:rsidRPr="005E696B" w:rsidRDefault="00A06465" w:rsidP="00A06465">
      <w:pPr>
        <w:jc w:val="both"/>
        <w:rPr>
          <w:sz w:val="22"/>
          <w:szCs w:val="22"/>
        </w:rPr>
      </w:pPr>
    </w:p>
    <w:p w14:paraId="787084D7" w14:textId="3FD27480" w:rsidR="00A06465" w:rsidRPr="005E696B" w:rsidRDefault="00A06465" w:rsidP="00A06465">
      <w:pPr>
        <w:jc w:val="both"/>
        <w:rPr>
          <w:sz w:val="22"/>
          <w:szCs w:val="22"/>
        </w:rPr>
      </w:pPr>
      <w:r w:rsidRPr="005E696B">
        <w:rPr>
          <w:sz w:val="22"/>
          <w:szCs w:val="22"/>
        </w:rPr>
        <w:t xml:space="preserve">The </w:t>
      </w:r>
      <w:r w:rsidR="00D448CA">
        <w:rPr>
          <w:sz w:val="22"/>
          <w:szCs w:val="22"/>
        </w:rPr>
        <w:t>D</w:t>
      </w:r>
      <w:r w:rsidRPr="005E696B">
        <w:rPr>
          <w:sz w:val="22"/>
          <w:szCs w:val="22"/>
        </w:rPr>
        <w:t xml:space="preserve">irectors have taken all the steps that they ought to have taken to make themselves aware of any information needed by the Company’s independent auditor for the purposes of the audit and to establish that the independent auditor </w:t>
      </w:r>
      <w:r w:rsidR="002F76A8">
        <w:rPr>
          <w:sz w:val="22"/>
          <w:szCs w:val="22"/>
        </w:rPr>
        <w:t>is</w:t>
      </w:r>
      <w:r w:rsidRPr="005E696B">
        <w:rPr>
          <w:sz w:val="22"/>
          <w:szCs w:val="22"/>
        </w:rPr>
        <w:t xml:space="preserve"> aware of that information. The directors are not aware of any relevant audit information of which the independent auditor </w:t>
      </w:r>
      <w:r w:rsidR="002F76A8">
        <w:rPr>
          <w:sz w:val="22"/>
          <w:szCs w:val="22"/>
        </w:rPr>
        <w:t>is</w:t>
      </w:r>
      <w:r w:rsidRPr="005E696B">
        <w:rPr>
          <w:sz w:val="22"/>
          <w:szCs w:val="22"/>
        </w:rPr>
        <w:t xml:space="preserve"> unaware.</w:t>
      </w:r>
    </w:p>
    <w:p w14:paraId="20D15FE0" w14:textId="1B57C801" w:rsidR="00A06465" w:rsidRPr="005E696B" w:rsidRDefault="00A06465" w:rsidP="00A06465">
      <w:pPr>
        <w:jc w:val="both"/>
        <w:rPr>
          <w:sz w:val="22"/>
          <w:szCs w:val="22"/>
        </w:rPr>
      </w:pPr>
    </w:p>
    <w:p w14:paraId="11A0879D" w14:textId="567F3CD1" w:rsidR="00A06465" w:rsidRPr="005E696B" w:rsidRDefault="00A06465" w:rsidP="00A06465">
      <w:pPr>
        <w:jc w:val="both"/>
        <w:rPr>
          <w:sz w:val="22"/>
          <w:szCs w:val="22"/>
        </w:rPr>
      </w:pPr>
    </w:p>
    <w:p w14:paraId="309E3AD7" w14:textId="2338B84C" w:rsidR="00DA0288" w:rsidRDefault="00DA0288" w:rsidP="00DA0288">
      <w:pPr>
        <w:jc w:val="center"/>
        <w:rPr>
          <w:b/>
          <w:sz w:val="22"/>
          <w:szCs w:val="22"/>
        </w:rPr>
      </w:pPr>
      <w:r>
        <w:rPr>
          <w:b/>
          <w:sz w:val="22"/>
          <w:szCs w:val="22"/>
        </w:rPr>
        <w:t>DIRECTORS’ RESPONSIBILITIES STATEMENT (continued)</w:t>
      </w:r>
    </w:p>
    <w:p w14:paraId="27D03CB1" w14:textId="34696A42" w:rsidR="006D2D82" w:rsidRDefault="006D2D82" w:rsidP="00A06465">
      <w:pPr>
        <w:jc w:val="both"/>
        <w:rPr>
          <w:b/>
          <w:bCs/>
          <w:sz w:val="22"/>
          <w:szCs w:val="22"/>
        </w:rPr>
      </w:pPr>
    </w:p>
    <w:p w14:paraId="0FA5287E" w14:textId="7AB51522" w:rsidR="00A06465" w:rsidRPr="005E696B" w:rsidRDefault="00A06465" w:rsidP="00A06465">
      <w:pPr>
        <w:jc w:val="both"/>
        <w:rPr>
          <w:b/>
          <w:bCs/>
          <w:sz w:val="22"/>
          <w:szCs w:val="22"/>
        </w:rPr>
      </w:pPr>
      <w:r w:rsidRPr="005E696B">
        <w:rPr>
          <w:b/>
          <w:bCs/>
          <w:sz w:val="22"/>
          <w:szCs w:val="22"/>
        </w:rPr>
        <w:t>Website publication</w:t>
      </w:r>
    </w:p>
    <w:p w14:paraId="00D7CE47" w14:textId="77777777" w:rsidR="00063338" w:rsidRDefault="00063338" w:rsidP="00A06465">
      <w:pPr>
        <w:jc w:val="both"/>
        <w:rPr>
          <w:sz w:val="22"/>
          <w:szCs w:val="22"/>
        </w:rPr>
      </w:pPr>
    </w:p>
    <w:p w14:paraId="4E0F1681" w14:textId="607371D1" w:rsidR="00A06465" w:rsidRPr="00A06465" w:rsidRDefault="00A06465" w:rsidP="00A06465">
      <w:pPr>
        <w:jc w:val="both"/>
        <w:rPr>
          <w:sz w:val="22"/>
          <w:szCs w:val="22"/>
        </w:rPr>
      </w:pPr>
      <w:r w:rsidRPr="005E696B">
        <w:rPr>
          <w:sz w:val="22"/>
          <w:szCs w:val="22"/>
        </w:rPr>
        <w:t xml:space="preserve">The maintenance and integrity of the MetalNRG website is the responsibility of the </w:t>
      </w:r>
      <w:r w:rsidR="00D448CA">
        <w:rPr>
          <w:sz w:val="22"/>
          <w:szCs w:val="22"/>
        </w:rPr>
        <w:t>D</w:t>
      </w:r>
      <w:r w:rsidRPr="005E696B">
        <w:rPr>
          <w:sz w:val="22"/>
          <w:szCs w:val="22"/>
        </w:rPr>
        <w:t>irectors; the work carried out by the independent auditor does not involve the consideration of these matters and, accordingly, the independent auditor accept no responsibility for any changes that may have occurred in the accounts since they were initially presented on the MetalNRG website. Legislation in the United Kingdom governing the preparation and dissemination of the accounts and the other information included in annual reports may differ from legislation in other jurisdictions.</w:t>
      </w:r>
    </w:p>
    <w:p w14:paraId="2AE2E1C0" w14:textId="57A2EEE3" w:rsidR="00527D44" w:rsidRDefault="00527D44">
      <w:pPr>
        <w:overflowPunct/>
        <w:autoSpaceDE/>
        <w:autoSpaceDN/>
        <w:adjustRightInd/>
        <w:textAlignment w:val="auto"/>
        <w:rPr>
          <w:b/>
          <w:sz w:val="24"/>
        </w:rPr>
      </w:pPr>
      <w:r>
        <w:br w:type="page"/>
      </w:r>
    </w:p>
    <w:p w14:paraId="20B365C4" w14:textId="77777777" w:rsidR="001E3BD1" w:rsidRDefault="001E3BD1">
      <w:pPr>
        <w:pStyle w:val="Heading2"/>
        <w:sectPr w:rsidR="001E3BD1" w:rsidSect="002E4AA5">
          <w:headerReference w:type="default" r:id="rId18"/>
          <w:headerReference w:type="first" r:id="rId19"/>
          <w:pgSz w:w="11909" w:h="16834" w:code="9"/>
          <w:pgMar w:top="567" w:right="936" w:bottom="720" w:left="936" w:header="706" w:footer="706" w:gutter="0"/>
          <w:cols w:space="720"/>
          <w:titlePg/>
        </w:sectPr>
      </w:pPr>
    </w:p>
    <w:p w14:paraId="232CD9B3" w14:textId="1DBA035F" w:rsidR="000F7CE3" w:rsidRDefault="000F7CE3" w:rsidP="000F7CE3">
      <w:pPr>
        <w:pStyle w:val="Heading2"/>
      </w:pPr>
      <w:r>
        <w:t>CORPORATE GOVERNANCE STATEMENT</w:t>
      </w:r>
    </w:p>
    <w:p w14:paraId="22825141" w14:textId="77777777" w:rsidR="009A3D6D" w:rsidRDefault="009A3D6D" w:rsidP="009A3D6D">
      <w:pPr>
        <w:rPr>
          <w:rFonts w:ascii="Arial" w:hAnsi="Arial" w:cs="Arial"/>
          <w:b/>
          <w:sz w:val="24"/>
          <w:szCs w:val="24"/>
        </w:rPr>
      </w:pPr>
    </w:p>
    <w:p w14:paraId="61660996" w14:textId="2AA08732" w:rsidR="009A3D6D" w:rsidRPr="001C10F8" w:rsidRDefault="009A3D6D" w:rsidP="009A3D6D">
      <w:pPr>
        <w:jc w:val="both"/>
        <w:rPr>
          <w:b/>
          <w:sz w:val="22"/>
          <w:szCs w:val="22"/>
        </w:rPr>
      </w:pPr>
      <w:r w:rsidRPr="001C10F8">
        <w:rPr>
          <w:b/>
          <w:sz w:val="22"/>
          <w:szCs w:val="22"/>
        </w:rPr>
        <w:t>CHAIRMAN’S OVERVIEW</w:t>
      </w:r>
    </w:p>
    <w:p w14:paraId="228AA9E4" w14:textId="78FA86EB" w:rsidR="009A3D6D" w:rsidRPr="00E36B81" w:rsidRDefault="009A3D6D" w:rsidP="009A3D6D">
      <w:pPr>
        <w:jc w:val="both"/>
        <w:rPr>
          <w:rFonts w:ascii="Arial" w:hAnsi="Arial" w:cs="Arial"/>
        </w:rPr>
      </w:pPr>
    </w:p>
    <w:p w14:paraId="3CA466F8" w14:textId="403821B4" w:rsidR="009A3D6D" w:rsidRPr="009A3D6D" w:rsidRDefault="009A3D6D" w:rsidP="009A3D6D">
      <w:pPr>
        <w:jc w:val="both"/>
        <w:rPr>
          <w:sz w:val="22"/>
          <w:szCs w:val="22"/>
        </w:rPr>
      </w:pPr>
      <w:r w:rsidRPr="00E36B81">
        <w:rPr>
          <w:sz w:val="22"/>
          <w:szCs w:val="22"/>
        </w:rPr>
        <w:t xml:space="preserve">The Board considers the Corporate Governance Code </w:t>
      </w:r>
      <w:r w:rsidRPr="001C10F8">
        <w:rPr>
          <w:sz w:val="22"/>
          <w:szCs w:val="22"/>
        </w:rPr>
        <w:t>2018, published by the Quoted Companies Alliance</w:t>
      </w:r>
      <w:r w:rsidR="00BF56B7" w:rsidRPr="001C10F8">
        <w:rPr>
          <w:sz w:val="22"/>
          <w:szCs w:val="22"/>
        </w:rPr>
        <w:t xml:space="preserve"> (“the QCA Code”)</w:t>
      </w:r>
      <w:r w:rsidRPr="00E36B81">
        <w:rPr>
          <w:sz w:val="22"/>
          <w:szCs w:val="22"/>
        </w:rPr>
        <w:t>, to be the most suita</w:t>
      </w:r>
      <w:r w:rsidR="00DA05EF">
        <w:rPr>
          <w:sz w:val="22"/>
          <w:szCs w:val="22"/>
        </w:rPr>
        <w:t>b</w:t>
      </w:r>
      <w:r w:rsidRPr="00E36B81">
        <w:rPr>
          <w:sz w:val="22"/>
          <w:szCs w:val="22"/>
        </w:rPr>
        <w:t>le corporate governance code for the Company.  The Company has adopted the QCA Code and the Principles which it contains.  The QCA Code’s 10 Principles</w:t>
      </w:r>
      <w:r w:rsidRPr="009A3D6D">
        <w:rPr>
          <w:sz w:val="22"/>
          <w:szCs w:val="22"/>
        </w:rPr>
        <w:t xml:space="preserve"> and an explanation of how these are complied with by the Company are set out after this overview.  </w:t>
      </w:r>
    </w:p>
    <w:p w14:paraId="0A0F1B74" w14:textId="77777777" w:rsidR="009A3D6D" w:rsidRPr="009A3D6D" w:rsidRDefault="009A3D6D" w:rsidP="009A3D6D">
      <w:pPr>
        <w:jc w:val="both"/>
        <w:rPr>
          <w:sz w:val="22"/>
          <w:szCs w:val="22"/>
        </w:rPr>
      </w:pPr>
    </w:p>
    <w:p w14:paraId="6D541705" w14:textId="3DD1D18E" w:rsidR="009A3D6D" w:rsidRPr="009A3D6D" w:rsidRDefault="009A3D6D" w:rsidP="009A3D6D">
      <w:pPr>
        <w:jc w:val="both"/>
        <w:rPr>
          <w:sz w:val="22"/>
          <w:szCs w:val="22"/>
        </w:rPr>
      </w:pPr>
      <w:bookmarkStart w:id="11" w:name="_Hlk31638007"/>
      <w:r w:rsidRPr="009A3D6D">
        <w:rPr>
          <w:sz w:val="22"/>
          <w:szCs w:val="22"/>
        </w:rPr>
        <w:t xml:space="preserve">The Board is collectively responsible to shareholders for the success of the Group. The Board is responsible for the management of the business of the Company, setting the strategic direction of the Company, establishing the policies of the Company and appraising the making of all material investments. </w:t>
      </w:r>
      <w:bookmarkEnd w:id="11"/>
    </w:p>
    <w:p w14:paraId="4E03FF2F" w14:textId="77777777" w:rsidR="009A3D6D" w:rsidRPr="009A3D6D" w:rsidRDefault="009A3D6D" w:rsidP="009A3D6D">
      <w:pPr>
        <w:jc w:val="both"/>
        <w:rPr>
          <w:sz w:val="22"/>
          <w:szCs w:val="22"/>
        </w:rPr>
      </w:pPr>
    </w:p>
    <w:p w14:paraId="0A618093" w14:textId="4DDB81C9" w:rsidR="009A3D6D" w:rsidRPr="009A3D6D" w:rsidRDefault="009A3D6D" w:rsidP="009A3D6D">
      <w:pPr>
        <w:jc w:val="both"/>
        <w:rPr>
          <w:sz w:val="22"/>
          <w:szCs w:val="22"/>
        </w:rPr>
      </w:pPr>
      <w:r w:rsidRPr="009A3D6D">
        <w:rPr>
          <w:sz w:val="22"/>
          <w:szCs w:val="22"/>
        </w:rPr>
        <w:t xml:space="preserve">It is also the Board’s responsibility to oversee the financial position of the Company and to monitor the business and affairs of the Company on behalf of the shareholders, to whom the </w:t>
      </w:r>
      <w:r w:rsidR="00857693">
        <w:rPr>
          <w:sz w:val="22"/>
          <w:szCs w:val="22"/>
        </w:rPr>
        <w:t>di</w:t>
      </w:r>
      <w:r w:rsidR="00857693" w:rsidRPr="009A3D6D">
        <w:rPr>
          <w:sz w:val="22"/>
          <w:szCs w:val="22"/>
        </w:rPr>
        <w:t>rectors</w:t>
      </w:r>
      <w:r w:rsidRPr="009A3D6D">
        <w:rPr>
          <w:sz w:val="22"/>
          <w:szCs w:val="22"/>
        </w:rPr>
        <w:t xml:space="preserve"> are accountable. The primary duty of the Board will be to act in the best interests of the Company at all times. The Board will also address issues relating to internal control and the Company’s approach to risk management. To this end, the Company has established an audit committee of the Board (the “Audit Committee”) with formally delegated duties and responsibilities.</w:t>
      </w:r>
    </w:p>
    <w:p w14:paraId="598E3A5A" w14:textId="77777777" w:rsidR="009A3D6D" w:rsidRPr="009A3D6D" w:rsidRDefault="009A3D6D" w:rsidP="009A3D6D">
      <w:pPr>
        <w:jc w:val="both"/>
        <w:rPr>
          <w:sz w:val="22"/>
          <w:szCs w:val="22"/>
        </w:rPr>
      </w:pPr>
    </w:p>
    <w:p w14:paraId="40617C51" w14:textId="11B8F8C9" w:rsidR="009A3D6D" w:rsidRPr="009A3D6D" w:rsidRDefault="009A3D6D" w:rsidP="009A3D6D">
      <w:pPr>
        <w:jc w:val="both"/>
        <w:rPr>
          <w:sz w:val="22"/>
          <w:szCs w:val="22"/>
        </w:rPr>
      </w:pPr>
      <w:r w:rsidRPr="009A3D6D">
        <w:rPr>
          <w:sz w:val="22"/>
          <w:szCs w:val="22"/>
        </w:rPr>
        <w:t xml:space="preserve">The Audit Committee, which comprises Christopher Latilla-Campbell as chairman and Christian </w:t>
      </w:r>
      <w:proofErr w:type="spellStart"/>
      <w:r w:rsidRPr="009A3D6D">
        <w:rPr>
          <w:sz w:val="22"/>
          <w:szCs w:val="22"/>
        </w:rPr>
        <w:t>Schaffalitzky</w:t>
      </w:r>
      <w:proofErr w:type="spellEnd"/>
      <w:r w:rsidRPr="009A3D6D">
        <w:rPr>
          <w:sz w:val="22"/>
          <w:szCs w:val="22"/>
        </w:rPr>
        <w:t xml:space="preserve"> </w:t>
      </w:r>
      <w:r w:rsidR="006845FB">
        <w:rPr>
          <w:sz w:val="22"/>
          <w:szCs w:val="22"/>
        </w:rPr>
        <w:t xml:space="preserve">de </w:t>
      </w:r>
      <w:proofErr w:type="spellStart"/>
      <w:r w:rsidR="006845FB">
        <w:rPr>
          <w:sz w:val="22"/>
          <w:szCs w:val="22"/>
        </w:rPr>
        <w:t>Muckadell</w:t>
      </w:r>
      <w:proofErr w:type="spellEnd"/>
      <w:r w:rsidR="006845FB">
        <w:rPr>
          <w:sz w:val="22"/>
          <w:szCs w:val="22"/>
        </w:rPr>
        <w:t xml:space="preserve"> </w:t>
      </w:r>
      <w:r w:rsidRPr="009A3D6D">
        <w:rPr>
          <w:sz w:val="22"/>
          <w:szCs w:val="22"/>
        </w:rPr>
        <w:t>will meet at least twice a year. The Audit Committee will be responsible for the Company’s internal controls and ensuring that the financial performance of the Group is properly measured and reported. In addition, the Audit Committee will receive and review reports from management and the auditors relating to the interim report, the annual report and accounts and the internal control systems of the Company.</w:t>
      </w:r>
    </w:p>
    <w:p w14:paraId="76EAFF4C" w14:textId="77777777" w:rsidR="009A3D6D" w:rsidRPr="009A3D6D" w:rsidRDefault="009A3D6D" w:rsidP="009A3D6D">
      <w:pPr>
        <w:jc w:val="both"/>
        <w:rPr>
          <w:sz w:val="22"/>
          <w:szCs w:val="22"/>
        </w:rPr>
      </w:pPr>
    </w:p>
    <w:p w14:paraId="3050F894" w14:textId="77777777" w:rsidR="009A3D6D" w:rsidRPr="009A3D6D" w:rsidRDefault="009A3D6D" w:rsidP="009A3D6D">
      <w:pPr>
        <w:jc w:val="both"/>
        <w:rPr>
          <w:sz w:val="22"/>
          <w:szCs w:val="22"/>
        </w:rPr>
      </w:pPr>
      <w:r w:rsidRPr="009A3D6D">
        <w:rPr>
          <w:sz w:val="22"/>
          <w:szCs w:val="22"/>
        </w:rPr>
        <w:t xml:space="preserve">The Audit Committee will also make recommendations to the Board on the appointment of auditors and the audit fee. </w:t>
      </w:r>
    </w:p>
    <w:p w14:paraId="2D5D03E2" w14:textId="77777777" w:rsidR="009A3D6D" w:rsidRPr="009A3D6D" w:rsidRDefault="009A3D6D" w:rsidP="009A3D6D">
      <w:pPr>
        <w:jc w:val="both"/>
        <w:rPr>
          <w:sz w:val="22"/>
          <w:szCs w:val="22"/>
        </w:rPr>
      </w:pPr>
    </w:p>
    <w:p w14:paraId="646ABED4" w14:textId="77777777" w:rsidR="009A3D6D" w:rsidRPr="009A3D6D" w:rsidRDefault="009A3D6D" w:rsidP="009A3D6D">
      <w:pPr>
        <w:jc w:val="both"/>
        <w:rPr>
          <w:sz w:val="22"/>
          <w:szCs w:val="22"/>
        </w:rPr>
      </w:pPr>
      <w:r w:rsidRPr="009A3D6D">
        <w:rPr>
          <w:sz w:val="22"/>
          <w:szCs w:val="22"/>
        </w:rPr>
        <w:t xml:space="preserve">The Company has also established a remuneration committee of the Board (the “Remuneration Committee”) with formally delegated duties and responsibilities. </w:t>
      </w:r>
    </w:p>
    <w:p w14:paraId="00FA8298" w14:textId="77777777" w:rsidR="005E696B" w:rsidRDefault="005E696B" w:rsidP="009A3D6D">
      <w:pPr>
        <w:jc w:val="both"/>
        <w:rPr>
          <w:sz w:val="22"/>
          <w:szCs w:val="22"/>
        </w:rPr>
      </w:pPr>
    </w:p>
    <w:p w14:paraId="6E27C106" w14:textId="7962C845" w:rsidR="009A3D6D" w:rsidRPr="009A3D6D" w:rsidRDefault="009A3D6D" w:rsidP="009A3D6D">
      <w:pPr>
        <w:jc w:val="both"/>
        <w:rPr>
          <w:sz w:val="22"/>
          <w:szCs w:val="22"/>
        </w:rPr>
      </w:pPr>
      <w:r w:rsidRPr="009A3D6D">
        <w:rPr>
          <w:sz w:val="22"/>
          <w:szCs w:val="22"/>
        </w:rPr>
        <w:t xml:space="preserve">The Remuneration Committee which comprises Christian </w:t>
      </w:r>
      <w:proofErr w:type="spellStart"/>
      <w:r w:rsidRPr="009A3D6D">
        <w:rPr>
          <w:sz w:val="22"/>
          <w:szCs w:val="22"/>
        </w:rPr>
        <w:t>Schaffalitzky</w:t>
      </w:r>
      <w:proofErr w:type="spellEnd"/>
      <w:r w:rsidRPr="009A3D6D">
        <w:rPr>
          <w:sz w:val="22"/>
          <w:szCs w:val="22"/>
        </w:rPr>
        <w:t xml:space="preserve"> </w:t>
      </w:r>
      <w:r w:rsidR="008D1B64">
        <w:rPr>
          <w:sz w:val="22"/>
          <w:szCs w:val="22"/>
        </w:rPr>
        <w:t xml:space="preserve">de </w:t>
      </w:r>
      <w:proofErr w:type="spellStart"/>
      <w:r w:rsidR="008D1B64">
        <w:rPr>
          <w:sz w:val="22"/>
          <w:szCs w:val="22"/>
        </w:rPr>
        <w:t>Muckadell</w:t>
      </w:r>
      <w:proofErr w:type="spellEnd"/>
      <w:r w:rsidR="008D1B64">
        <w:rPr>
          <w:sz w:val="22"/>
          <w:szCs w:val="22"/>
        </w:rPr>
        <w:t xml:space="preserve"> </w:t>
      </w:r>
      <w:r w:rsidRPr="009A3D6D">
        <w:rPr>
          <w:sz w:val="22"/>
          <w:szCs w:val="22"/>
        </w:rPr>
        <w:t xml:space="preserve">as chairman and Christopher Latilla-Campbell will meet at least once a year. The Remuneration Committee will be responsible for reviewing, determining and recommending to the Board the future policy for the remuneration of the directors. The Remuneration Committee will consider base fees, salaries and incentive entitlements and awards and, where appropriate, pension arrangements. The aggregate remuneration of the directors is limited by the Company’s Articles of Association and this aggregate amount can only be changed by the Company in general meeting. </w:t>
      </w:r>
    </w:p>
    <w:p w14:paraId="46CCE004" w14:textId="77777777" w:rsidR="005E696B" w:rsidRDefault="005E696B" w:rsidP="009A3D6D">
      <w:pPr>
        <w:jc w:val="both"/>
        <w:rPr>
          <w:sz w:val="22"/>
          <w:szCs w:val="22"/>
        </w:rPr>
      </w:pPr>
    </w:p>
    <w:p w14:paraId="0625069C" w14:textId="57188E43" w:rsidR="009A3D6D" w:rsidRPr="009A3D6D" w:rsidRDefault="009A3D6D" w:rsidP="009A3D6D">
      <w:pPr>
        <w:jc w:val="both"/>
        <w:rPr>
          <w:sz w:val="22"/>
          <w:szCs w:val="22"/>
        </w:rPr>
      </w:pPr>
      <w:r w:rsidRPr="009A3D6D">
        <w:rPr>
          <w:sz w:val="22"/>
          <w:szCs w:val="22"/>
        </w:rPr>
        <w:t xml:space="preserve">The Board has adopted a share dealing code (the “Share Dealing Code”) regulating trading in the Company’s shares for the </w:t>
      </w:r>
      <w:r w:rsidR="00062ABC">
        <w:rPr>
          <w:sz w:val="22"/>
          <w:szCs w:val="22"/>
        </w:rPr>
        <w:t>D</w:t>
      </w:r>
      <w:r w:rsidRPr="009A3D6D">
        <w:rPr>
          <w:sz w:val="22"/>
          <w:szCs w:val="22"/>
        </w:rPr>
        <w:t xml:space="preserve">irectors and other persons discharging managerial responsibilities (and their persons closely associated) which contains provisions appropriate for a company whose shares are listed on the Official List and admitted to trading on the Main </w:t>
      </w:r>
      <w:r w:rsidR="00BF56B7">
        <w:rPr>
          <w:sz w:val="22"/>
          <w:szCs w:val="22"/>
        </w:rPr>
        <w:t>M</w:t>
      </w:r>
      <w:r w:rsidRPr="009A3D6D">
        <w:rPr>
          <w:sz w:val="22"/>
          <w:szCs w:val="22"/>
        </w:rPr>
        <w:t xml:space="preserve">arket for listed securities of the London Stock Exchange (particularly relating to dealing during closed periods which will be in line with the Market Abuse Regulation). The Company will take all reasonable steps to ensure compliance by the </w:t>
      </w:r>
      <w:r w:rsidR="00062ABC">
        <w:rPr>
          <w:sz w:val="22"/>
          <w:szCs w:val="22"/>
        </w:rPr>
        <w:t>D</w:t>
      </w:r>
      <w:r w:rsidRPr="009A3D6D">
        <w:rPr>
          <w:sz w:val="22"/>
          <w:szCs w:val="22"/>
        </w:rPr>
        <w:t>irectors and any relevant employees with the terms of the Share Dealing Code.</w:t>
      </w:r>
    </w:p>
    <w:p w14:paraId="725B17DB" w14:textId="77777777" w:rsidR="009A3D6D" w:rsidRPr="009A3D6D" w:rsidRDefault="009A3D6D" w:rsidP="009A3D6D">
      <w:pPr>
        <w:jc w:val="both"/>
        <w:rPr>
          <w:sz w:val="22"/>
          <w:szCs w:val="22"/>
        </w:rPr>
      </w:pPr>
    </w:p>
    <w:p w14:paraId="2129DA52" w14:textId="77777777" w:rsidR="009A3D6D" w:rsidRPr="009A3D6D" w:rsidRDefault="009A3D6D" w:rsidP="009A3D6D">
      <w:pPr>
        <w:jc w:val="both"/>
        <w:rPr>
          <w:sz w:val="22"/>
          <w:szCs w:val="22"/>
        </w:rPr>
      </w:pPr>
      <w:r w:rsidRPr="009A3D6D">
        <w:rPr>
          <w:sz w:val="22"/>
          <w:szCs w:val="22"/>
        </w:rPr>
        <w:t xml:space="preserve">The Board currently comprises four directors of which two are non-executive and two are executive. The Board as a whole believes that its current composition provides an appropriate level of balance in the Board and the Company’s management.  </w:t>
      </w:r>
    </w:p>
    <w:p w14:paraId="5DA93329" w14:textId="77777777" w:rsidR="009A3D6D" w:rsidRPr="009A3D6D" w:rsidRDefault="009A3D6D" w:rsidP="009A3D6D">
      <w:pPr>
        <w:jc w:val="both"/>
        <w:rPr>
          <w:sz w:val="22"/>
          <w:szCs w:val="22"/>
        </w:rPr>
      </w:pPr>
    </w:p>
    <w:p w14:paraId="3F1C8EA7" w14:textId="693CD05E" w:rsidR="009A3D6D" w:rsidRDefault="009A3D6D" w:rsidP="009A3D6D">
      <w:pPr>
        <w:jc w:val="both"/>
        <w:rPr>
          <w:rFonts w:ascii="Arial" w:hAnsi="Arial" w:cs="Arial"/>
        </w:rPr>
      </w:pPr>
    </w:p>
    <w:p w14:paraId="5D128F45" w14:textId="77777777" w:rsidR="00DD3902" w:rsidRPr="00414A5A" w:rsidRDefault="00DD3902" w:rsidP="009A3D6D">
      <w:pPr>
        <w:jc w:val="both"/>
        <w:rPr>
          <w:rFonts w:ascii="Arial" w:hAnsi="Arial" w:cs="Arial"/>
        </w:rPr>
      </w:pPr>
    </w:p>
    <w:p w14:paraId="45995F94" w14:textId="77777777" w:rsidR="009A3D6D" w:rsidRPr="00414A5A" w:rsidRDefault="009A3D6D" w:rsidP="009A3D6D">
      <w:pPr>
        <w:jc w:val="both"/>
        <w:rPr>
          <w:rFonts w:ascii="Arial" w:hAnsi="Arial" w:cs="Arial"/>
        </w:rPr>
      </w:pPr>
    </w:p>
    <w:p w14:paraId="27F49279" w14:textId="77777777" w:rsidR="009A3D6D" w:rsidRPr="008B4F2D" w:rsidRDefault="009A3D6D" w:rsidP="009A3D6D">
      <w:pPr>
        <w:jc w:val="both"/>
        <w:rPr>
          <w:b/>
          <w:sz w:val="22"/>
          <w:szCs w:val="22"/>
        </w:rPr>
      </w:pPr>
      <w:r w:rsidRPr="008B4F2D">
        <w:rPr>
          <w:b/>
          <w:sz w:val="22"/>
          <w:szCs w:val="22"/>
        </w:rPr>
        <w:t>Christopher Latilla-Campbell</w:t>
      </w:r>
    </w:p>
    <w:p w14:paraId="6CA40066" w14:textId="48313055" w:rsidR="009A3D6D" w:rsidRPr="008B4F2D" w:rsidRDefault="009A3D6D" w:rsidP="009A3D6D">
      <w:pPr>
        <w:jc w:val="both"/>
        <w:rPr>
          <w:sz w:val="22"/>
          <w:szCs w:val="22"/>
        </w:rPr>
      </w:pPr>
      <w:r w:rsidRPr="008B4F2D">
        <w:rPr>
          <w:sz w:val="22"/>
          <w:szCs w:val="22"/>
        </w:rPr>
        <w:t>Non-</w:t>
      </w:r>
      <w:r w:rsidR="007F14AF">
        <w:rPr>
          <w:sz w:val="22"/>
          <w:szCs w:val="22"/>
        </w:rPr>
        <w:t>E</w:t>
      </w:r>
      <w:r w:rsidRPr="008B4F2D">
        <w:rPr>
          <w:sz w:val="22"/>
          <w:szCs w:val="22"/>
        </w:rPr>
        <w:t>xecutive Chairman</w:t>
      </w:r>
    </w:p>
    <w:p w14:paraId="6AB03E17" w14:textId="77777777" w:rsidR="009A3D6D" w:rsidRPr="00414A5A" w:rsidRDefault="009A3D6D" w:rsidP="009A3D6D">
      <w:pPr>
        <w:jc w:val="both"/>
        <w:rPr>
          <w:rFonts w:ascii="Arial" w:hAnsi="Arial" w:cs="Arial"/>
        </w:rPr>
      </w:pPr>
    </w:p>
    <w:p w14:paraId="67DBFA9C" w14:textId="1A5F166A" w:rsidR="008B4F2D" w:rsidRDefault="008B4F2D" w:rsidP="008B4F2D">
      <w:pPr>
        <w:pStyle w:val="Heading2"/>
      </w:pPr>
      <w:r>
        <w:t>CORPORATE GOVERNANCE STATEMENT</w:t>
      </w:r>
      <w:r w:rsidR="00275562">
        <w:t xml:space="preserve"> (</w:t>
      </w:r>
      <w:r>
        <w:t>continued</w:t>
      </w:r>
      <w:r w:rsidR="00275562">
        <w:t>)</w:t>
      </w:r>
    </w:p>
    <w:p w14:paraId="064AEE12" w14:textId="77777777" w:rsidR="009A3D6D" w:rsidRPr="00414A5A" w:rsidRDefault="009A3D6D" w:rsidP="009A3D6D">
      <w:pPr>
        <w:jc w:val="both"/>
        <w:rPr>
          <w:rFonts w:ascii="Arial" w:hAnsi="Arial" w:cs="Arial"/>
        </w:rPr>
      </w:pPr>
    </w:p>
    <w:p w14:paraId="0F625F76" w14:textId="77777777" w:rsidR="009A3D6D" w:rsidRPr="00063338" w:rsidRDefault="009A3D6D" w:rsidP="009A3D6D">
      <w:pPr>
        <w:jc w:val="both"/>
        <w:rPr>
          <w:sz w:val="24"/>
          <w:szCs w:val="24"/>
        </w:rPr>
      </w:pPr>
      <w:r w:rsidRPr="00063338">
        <w:rPr>
          <w:b/>
          <w:sz w:val="24"/>
          <w:szCs w:val="24"/>
        </w:rPr>
        <w:t xml:space="preserve">QCA Code and Company compliance </w:t>
      </w:r>
      <w:r w:rsidRPr="00063338">
        <w:rPr>
          <w:sz w:val="24"/>
          <w:szCs w:val="24"/>
        </w:rPr>
        <w:t xml:space="preserve"> </w:t>
      </w:r>
    </w:p>
    <w:p w14:paraId="4BF4F201" w14:textId="77777777" w:rsidR="009A3D6D" w:rsidRPr="00414A5A" w:rsidRDefault="009A3D6D" w:rsidP="009A3D6D">
      <w:pPr>
        <w:jc w:val="both"/>
        <w:rPr>
          <w:rFonts w:ascii="Arial" w:hAnsi="Arial" w:cs="Arial"/>
        </w:rPr>
      </w:pPr>
    </w:p>
    <w:p w14:paraId="0EF4FCCA" w14:textId="77777777" w:rsidR="009A3D6D" w:rsidRPr="00202338" w:rsidRDefault="009A3D6D" w:rsidP="009A3D6D">
      <w:pPr>
        <w:jc w:val="both"/>
        <w:rPr>
          <w:sz w:val="22"/>
          <w:szCs w:val="22"/>
        </w:rPr>
      </w:pPr>
      <w:r w:rsidRPr="00202338">
        <w:rPr>
          <w:sz w:val="22"/>
          <w:szCs w:val="22"/>
        </w:rPr>
        <w:t xml:space="preserve">The QCA Code, which the Company has adopted, contains 10 Principles which are set out below together with an explanation of how the Company applies each Principle. </w:t>
      </w:r>
    </w:p>
    <w:p w14:paraId="7A0B6895" w14:textId="77777777" w:rsidR="009A3D6D" w:rsidRPr="00202338" w:rsidRDefault="009A3D6D" w:rsidP="00202338">
      <w:pPr>
        <w:jc w:val="both"/>
        <w:rPr>
          <w:sz w:val="22"/>
          <w:szCs w:val="22"/>
        </w:rPr>
      </w:pPr>
    </w:p>
    <w:p w14:paraId="22B820E7" w14:textId="77777777"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1"/>
          <w:rFonts w:ascii="Times New Roman" w:hAnsi="Times New Roman" w:cs="Times New Roman"/>
          <w:b/>
          <w:sz w:val="22"/>
          <w:szCs w:val="22"/>
        </w:rPr>
        <w:t>Principle One: Establish a strategy and business model which promote long-term value for shareholders.</w:t>
      </w:r>
    </w:p>
    <w:p w14:paraId="0CD312AA" w14:textId="77777777" w:rsidR="009A3D6D" w:rsidRPr="00202338" w:rsidRDefault="009A3D6D" w:rsidP="009A3D6D">
      <w:pPr>
        <w:rPr>
          <w:sz w:val="22"/>
          <w:szCs w:val="22"/>
        </w:rPr>
      </w:pPr>
    </w:p>
    <w:p w14:paraId="187FC7F2" w14:textId="27AEAD27" w:rsidR="009A3D6D" w:rsidRPr="00202338" w:rsidRDefault="009A3D6D" w:rsidP="009A3D6D">
      <w:pPr>
        <w:jc w:val="both"/>
        <w:rPr>
          <w:sz w:val="22"/>
          <w:szCs w:val="22"/>
        </w:rPr>
      </w:pPr>
      <w:r w:rsidRPr="00202338">
        <w:rPr>
          <w:sz w:val="22"/>
          <w:szCs w:val="22"/>
        </w:rPr>
        <w:t>The Company has a clearly defined strategy and business model which has been adopted and implemented by the Board and which it believes will achieve long term value for the shareholders.  Details of the Company</w:t>
      </w:r>
      <w:r w:rsidR="00206ED4">
        <w:rPr>
          <w:sz w:val="22"/>
          <w:szCs w:val="22"/>
        </w:rPr>
        <w:t>’s</w:t>
      </w:r>
      <w:r w:rsidRPr="00202338">
        <w:rPr>
          <w:sz w:val="22"/>
          <w:szCs w:val="22"/>
        </w:rPr>
        <w:t xml:space="preserve"> </w:t>
      </w:r>
      <w:r w:rsidR="00206ED4">
        <w:rPr>
          <w:sz w:val="22"/>
          <w:szCs w:val="22"/>
        </w:rPr>
        <w:t>s</w:t>
      </w:r>
      <w:r w:rsidRPr="00202338">
        <w:rPr>
          <w:sz w:val="22"/>
          <w:szCs w:val="22"/>
        </w:rPr>
        <w:t xml:space="preserve">trategy are set out in the Strategic </w:t>
      </w:r>
      <w:r w:rsidRPr="00063338">
        <w:rPr>
          <w:sz w:val="22"/>
          <w:szCs w:val="22"/>
        </w:rPr>
        <w:t xml:space="preserve">Report on page </w:t>
      </w:r>
      <w:r w:rsidR="00DE44E3" w:rsidRPr="00A128AC">
        <w:rPr>
          <w:sz w:val="22"/>
          <w:szCs w:val="22"/>
        </w:rPr>
        <w:t xml:space="preserve">4 to </w:t>
      </w:r>
      <w:r w:rsidR="00A24082">
        <w:rPr>
          <w:sz w:val="22"/>
          <w:szCs w:val="22"/>
        </w:rPr>
        <w:t>7</w:t>
      </w:r>
      <w:r w:rsidRPr="00A128AC">
        <w:rPr>
          <w:sz w:val="22"/>
          <w:szCs w:val="22"/>
        </w:rPr>
        <w:t>.</w:t>
      </w:r>
      <w:r w:rsidRPr="00202338">
        <w:rPr>
          <w:sz w:val="22"/>
          <w:szCs w:val="22"/>
        </w:rPr>
        <w:t xml:space="preserve">  </w:t>
      </w:r>
    </w:p>
    <w:p w14:paraId="4D7CF49A" w14:textId="77777777" w:rsidR="009A3D6D" w:rsidRPr="00202338" w:rsidRDefault="009A3D6D" w:rsidP="009A3D6D">
      <w:pPr>
        <w:pStyle w:val="Pa0"/>
        <w:spacing w:line="240" w:lineRule="auto"/>
        <w:jc w:val="both"/>
        <w:rPr>
          <w:rStyle w:val="A2"/>
          <w:rFonts w:ascii="Times New Roman" w:hAnsi="Times New Roman" w:cs="Times New Roman"/>
          <w:b/>
          <w:sz w:val="22"/>
          <w:szCs w:val="22"/>
        </w:rPr>
      </w:pPr>
    </w:p>
    <w:p w14:paraId="4DC08CFD" w14:textId="77777777"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Two: </w:t>
      </w:r>
      <w:r w:rsidRPr="00202338">
        <w:rPr>
          <w:rStyle w:val="A1"/>
          <w:rFonts w:ascii="Times New Roman" w:hAnsi="Times New Roman" w:cs="Times New Roman"/>
          <w:b/>
          <w:sz w:val="22"/>
          <w:szCs w:val="22"/>
        </w:rPr>
        <w:t>Seek to understand and meet shareholder needs and expectations.</w:t>
      </w:r>
    </w:p>
    <w:p w14:paraId="6EEDA5F7" w14:textId="77777777" w:rsidR="009A3D6D" w:rsidRPr="00202338" w:rsidRDefault="009A3D6D" w:rsidP="009A3D6D">
      <w:pPr>
        <w:rPr>
          <w:sz w:val="22"/>
          <w:szCs w:val="22"/>
        </w:rPr>
      </w:pPr>
    </w:p>
    <w:p w14:paraId="2E04EFB0" w14:textId="77777777" w:rsidR="009A3D6D" w:rsidRPr="00202338" w:rsidRDefault="009A3D6D" w:rsidP="009A3D6D">
      <w:pPr>
        <w:jc w:val="both"/>
        <w:rPr>
          <w:sz w:val="22"/>
          <w:szCs w:val="22"/>
        </w:rPr>
      </w:pPr>
      <w:r w:rsidRPr="00202338">
        <w:rPr>
          <w:sz w:val="22"/>
          <w:szCs w:val="22"/>
        </w:rPr>
        <w:t>The Board is committed to maintaining good communications with its shareholders and with investors with a view to understanding their needs and expectations.  The Board and, in particular, the Chairman and Chief Executive Officer, maintain close contact with many of the shareholders.</w:t>
      </w:r>
    </w:p>
    <w:p w14:paraId="0E6C0FA1" w14:textId="77777777" w:rsidR="009A3D6D" w:rsidRPr="00202338" w:rsidRDefault="009A3D6D" w:rsidP="009A3D6D">
      <w:pPr>
        <w:jc w:val="both"/>
        <w:rPr>
          <w:sz w:val="22"/>
          <w:szCs w:val="22"/>
        </w:rPr>
      </w:pPr>
    </w:p>
    <w:p w14:paraId="62A03B0C" w14:textId="77777777" w:rsidR="009A3D6D" w:rsidRPr="00202338" w:rsidRDefault="009A3D6D" w:rsidP="009A3D6D">
      <w:pPr>
        <w:jc w:val="both"/>
        <w:rPr>
          <w:sz w:val="22"/>
          <w:szCs w:val="22"/>
        </w:rPr>
      </w:pPr>
      <w:r w:rsidRPr="00202338">
        <w:rPr>
          <w:sz w:val="22"/>
          <w:szCs w:val="22"/>
        </w:rPr>
        <w:t xml:space="preserve">All shareholders are encouraged to attend the Company’s Annual General Meetings where they can meet and directly communicate with the Board. Shareholders and investors are also able to meet with members of the Board at investor presentations and investor shows where the Company may be attending as a presenter or an exhibitor and where up to date corporate presentations may be made after which members of the Board are available to answer questions from shareholders and investors. </w:t>
      </w:r>
    </w:p>
    <w:p w14:paraId="380637F7" w14:textId="77777777" w:rsidR="009A3D6D" w:rsidRPr="00202338" w:rsidRDefault="009A3D6D" w:rsidP="009A3D6D">
      <w:pPr>
        <w:jc w:val="both"/>
        <w:rPr>
          <w:sz w:val="22"/>
          <w:szCs w:val="22"/>
        </w:rPr>
      </w:pPr>
    </w:p>
    <w:p w14:paraId="619DDB31" w14:textId="77777777" w:rsidR="009A3D6D" w:rsidRPr="00202338" w:rsidRDefault="009A3D6D" w:rsidP="009A3D6D">
      <w:pPr>
        <w:jc w:val="both"/>
        <w:rPr>
          <w:sz w:val="22"/>
          <w:szCs w:val="22"/>
        </w:rPr>
      </w:pPr>
      <w:r w:rsidRPr="00202338">
        <w:rPr>
          <w:sz w:val="22"/>
          <w:szCs w:val="22"/>
        </w:rPr>
        <w:t xml:space="preserve">The Company publishes an Annual Report and Accounts and an Interim Results Announcement both of which are posted to the Company’s website.  Annual Report and Accounts provides shareholders and investors with details of the Company’s Financial Statements for the financial year or period under review together with the Strategic and Directors’ Reports and other reports. </w:t>
      </w:r>
    </w:p>
    <w:p w14:paraId="7FEEC62E" w14:textId="77777777" w:rsidR="009A3D6D" w:rsidRPr="00202338" w:rsidRDefault="009A3D6D" w:rsidP="009A3D6D">
      <w:pPr>
        <w:jc w:val="both"/>
        <w:rPr>
          <w:sz w:val="22"/>
          <w:szCs w:val="22"/>
        </w:rPr>
      </w:pPr>
    </w:p>
    <w:p w14:paraId="0635DBAF" w14:textId="77777777" w:rsidR="009A3D6D" w:rsidRPr="00202338" w:rsidRDefault="009A3D6D" w:rsidP="009A3D6D">
      <w:pPr>
        <w:jc w:val="both"/>
        <w:rPr>
          <w:sz w:val="22"/>
          <w:szCs w:val="22"/>
        </w:rPr>
      </w:pPr>
      <w:r w:rsidRPr="00202338">
        <w:rPr>
          <w:sz w:val="22"/>
          <w:szCs w:val="22"/>
        </w:rPr>
        <w:t>The Company also provides regular regulatory announcements and business updates through the Regulatory News Service (RNS) and copies of such announcements are posted to the Company’s website. The Company also provides information and topics for discussion through social media channels.</w:t>
      </w:r>
    </w:p>
    <w:p w14:paraId="5B397D8C" w14:textId="77777777" w:rsidR="009A3D6D" w:rsidRPr="00202338" w:rsidRDefault="009A3D6D" w:rsidP="009A3D6D">
      <w:pPr>
        <w:jc w:val="both"/>
        <w:rPr>
          <w:sz w:val="22"/>
          <w:szCs w:val="22"/>
        </w:rPr>
      </w:pPr>
    </w:p>
    <w:p w14:paraId="47924DCF" w14:textId="5B32B5AE" w:rsidR="009A3D6D" w:rsidRPr="00202338" w:rsidRDefault="009A3D6D" w:rsidP="009A3D6D">
      <w:pPr>
        <w:jc w:val="both"/>
        <w:rPr>
          <w:sz w:val="22"/>
          <w:szCs w:val="22"/>
        </w:rPr>
      </w:pPr>
      <w:r w:rsidRPr="00202338">
        <w:rPr>
          <w:sz w:val="22"/>
          <w:szCs w:val="22"/>
        </w:rPr>
        <w:t xml:space="preserve">Shareholders and investors also have access to information on the Group through the Company’s website, </w:t>
      </w:r>
      <w:hyperlink r:id="rId20" w:history="1">
        <w:r w:rsidRPr="00202338">
          <w:rPr>
            <w:rStyle w:val="Hyperlink"/>
            <w:sz w:val="22"/>
            <w:szCs w:val="22"/>
          </w:rPr>
          <w:t>www.metalnrg.com</w:t>
        </w:r>
      </w:hyperlink>
      <w:r w:rsidRPr="00202338">
        <w:rPr>
          <w:sz w:val="22"/>
          <w:szCs w:val="22"/>
        </w:rPr>
        <w:t xml:space="preserve"> which is updated on a regular basis and which also includes the latest corporate presentation on the Group.</w:t>
      </w:r>
    </w:p>
    <w:p w14:paraId="4AAD1342" w14:textId="6CC8B765" w:rsidR="009A3D6D" w:rsidRDefault="009A3D6D" w:rsidP="009A3D6D"/>
    <w:p w14:paraId="7FDCA3B0" w14:textId="77777777"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Three: </w:t>
      </w:r>
      <w:r w:rsidRPr="00202338">
        <w:rPr>
          <w:rStyle w:val="A1"/>
          <w:rFonts w:ascii="Times New Roman" w:hAnsi="Times New Roman" w:cs="Times New Roman"/>
          <w:b/>
          <w:sz w:val="22"/>
          <w:szCs w:val="22"/>
        </w:rPr>
        <w:t>Take into account wider stakeholder and social responsibilities and their implications for long-term success.</w:t>
      </w:r>
    </w:p>
    <w:p w14:paraId="4E80932B" w14:textId="77777777" w:rsidR="009A3D6D" w:rsidRPr="00202338" w:rsidRDefault="009A3D6D" w:rsidP="009A3D6D">
      <w:pPr>
        <w:rPr>
          <w:sz w:val="22"/>
          <w:szCs w:val="22"/>
        </w:rPr>
      </w:pPr>
    </w:p>
    <w:p w14:paraId="359AB8C1" w14:textId="77777777" w:rsidR="009A3D6D" w:rsidRPr="00202338" w:rsidRDefault="009A3D6D" w:rsidP="009A3D6D">
      <w:pPr>
        <w:jc w:val="both"/>
        <w:rPr>
          <w:sz w:val="22"/>
          <w:szCs w:val="22"/>
        </w:rPr>
      </w:pPr>
      <w:r w:rsidRPr="00202338">
        <w:rPr>
          <w:sz w:val="22"/>
          <w:szCs w:val="22"/>
        </w:rPr>
        <w:t>The Board recognises that the long-term success of the Group is reliant on the efforts and participation of its staff, partners, contractors, suppliers, advisers, and other stakeholders. The Board maintains close contact and liaison with these important relationships.</w:t>
      </w:r>
    </w:p>
    <w:p w14:paraId="0BAE9FAE" w14:textId="77777777" w:rsidR="009A3D6D" w:rsidRPr="00202338" w:rsidRDefault="009A3D6D" w:rsidP="009A3D6D">
      <w:pPr>
        <w:jc w:val="both"/>
        <w:rPr>
          <w:sz w:val="22"/>
          <w:szCs w:val="22"/>
        </w:rPr>
      </w:pPr>
    </w:p>
    <w:p w14:paraId="45308857" w14:textId="77777777" w:rsidR="009A3D6D" w:rsidRPr="00202338" w:rsidRDefault="009A3D6D" w:rsidP="009A3D6D">
      <w:pPr>
        <w:jc w:val="both"/>
        <w:rPr>
          <w:sz w:val="22"/>
          <w:szCs w:val="22"/>
        </w:rPr>
      </w:pPr>
      <w:r w:rsidRPr="00202338">
        <w:rPr>
          <w:sz w:val="22"/>
          <w:szCs w:val="22"/>
        </w:rPr>
        <w:t xml:space="preserve">The Board is very aware of the significance of social, environmental and ethical matters affecting the business of the Group. </w:t>
      </w:r>
    </w:p>
    <w:p w14:paraId="71EB38EF" w14:textId="77777777" w:rsidR="009A3D6D" w:rsidRPr="00202338" w:rsidRDefault="009A3D6D" w:rsidP="009A3D6D">
      <w:pPr>
        <w:jc w:val="both"/>
        <w:rPr>
          <w:sz w:val="22"/>
          <w:szCs w:val="22"/>
        </w:rPr>
      </w:pPr>
    </w:p>
    <w:p w14:paraId="67F42607" w14:textId="63938145" w:rsidR="009A3D6D" w:rsidRPr="00202338" w:rsidRDefault="009A3D6D" w:rsidP="009A3D6D">
      <w:pPr>
        <w:jc w:val="both"/>
        <w:rPr>
          <w:sz w:val="22"/>
          <w:szCs w:val="22"/>
        </w:rPr>
      </w:pPr>
      <w:r w:rsidRPr="00202338">
        <w:rPr>
          <w:sz w:val="22"/>
          <w:szCs w:val="22"/>
        </w:rPr>
        <w:t xml:space="preserve">The Company will engage positively and seek to develop close relationships with local communities, regulatory authorities and stakeholders which are in close proximity to or connected with its overseas </w:t>
      </w:r>
      <w:r w:rsidRPr="00656716">
        <w:rPr>
          <w:sz w:val="22"/>
          <w:szCs w:val="22"/>
        </w:rPr>
        <w:t>operations and where appropriate the Board will take steps to safeguard the interests of such stakeholders.</w:t>
      </w:r>
      <w:r w:rsidRPr="00202338">
        <w:rPr>
          <w:sz w:val="22"/>
          <w:szCs w:val="22"/>
        </w:rPr>
        <w:t xml:space="preserve"> </w:t>
      </w:r>
    </w:p>
    <w:p w14:paraId="1C63C877" w14:textId="77777777" w:rsidR="009A3D6D" w:rsidRPr="00202338" w:rsidRDefault="009A3D6D" w:rsidP="009A3D6D">
      <w:pPr>
        <w:jc w:val="both"/>
        <w:rPr>
          <w:sz w:val="22"/>
          <w:szCs w:val="22"/>
        </w:rPr>
      </w:pPr>
    </w:p>
    <w:p w14:paraId="3B0E429D" w14:textId="66E06A7F" w:rsidR="009A3D6D" w:rsidRPr="00202338" w:rsidRDefault="009A3D6D" w:rsidP="009A3D6D">
      <w:pPr>
        <w:jc w:val="both"/>
        <w:rPr>
          <w:rStyle w:val="A2"/>
          <w:rFonts w:ascii="Times New Roman" w:hAnsi="Times New Roman" w:cs="Times New Roman"/>
          <w:b/>
          <w:sz w:val="22"/>
          <w:szCs w:val="22"/>
        </w:rPr>
      </w:pPr>
      <w:r w:rsidRPr="00810BEB">
        <w:rPr>
          <w:sz w:val="22"/>
          <w:szCs w:val="22"/>
        </w:rPr>
        <w:t>The Board plans, in due course, to adopt</w:t>
      </w:r>
      <w:r w:rsidR="00B35B78" w:rsidRPr="00810BEB">
        <w:rPr>
          <w:sz w:val="22"/>
          <w:szCs w:val="22"/>
        </w:rPr>
        <w:t xml:space="preserve"> appropriate</w:t>
      </w:r>
      <w:r w:rsidRPr="00810BEB">
        <w:rPr>
          <w:sz w:val="22"/>
          <w:szCs w:val="22"/>
        </w:rPr>
        <w:t xml:space="preserve"> environmental and corporate responsibility policies to ensure that the Group’s activities have minimal environmental impact on the local environment and communities close to the Group’s projects</w:t>
      </w:r>
      <w:r w:rsidR="00BC46DA" w:rsidRPr="00810BEB">
        <w:rPr>
          <w:sz w:val="22"/>
          <w:szCs w:val="22"/>
        </w:rPr>
        <w:t>.</w:t>
      </w:r>
    </w:p>
    <w:p w14:paraId="01B647DC" w14:textId="05D031E1" w:rsidR="009A3D6D" w:rsidRDefault="009A3D6D" w:rsidP="009A3D6D">
      <w:pPr>
        <w:jc w:val="both"/>
        <w:rPr>
          <w:rStyle w:val="A2"/>
          <w:rFonts w:ascii="Times New Roman" w:hAnsi="Times New Roman" w:cs="Times New Roman"/>
          <w:b/>
          <w:sz w:val="22"/>
          <w:szCs w:val="22"/>
        </w:rPr>
      </w:pPr>
    </w:p>
    <w:p w14:paraId="57E1B492" w14:textId="062FFF60" w:rsidR="00754CA8" w:rsidRDefault="00754CA8" w:rsidP="00754CA8">
      <w:pPr>
        <w:pStyle w:val="Heading2"/>
      </w:pPr>
      <w:r>
        <w:t>CORPORATE GOVERNANCE STATEMENT</w:t>
      </w:r>
      <w:r w:rsidR="00275562">
        <w:t xml:space="preserve"> (</w:t>
      </w:r>
      <w:r>
        <w:t>continued</w:t>
      </w:r>
      <w:r w:rsidR="00275562">
        <w:t>)</w:t>
      </w:r>
    </w:p>
    <w:p w14:paraId="002BFE39" w14:textId="77777777" w:rsidR="00754CA8" w:rsidRPr="00202338" w:rsidRDefault="00754CA8" w:rsidP="009A3D6D">
      <w:pPr>
        <w:jc w:val="both"/>
        <w:rPr>
          <w:rStyle w:val="A2"/>
          <w:rFonts w:ascii="Times New Roman" w:hAnsi="Times New Roman" w:cs="Times New Roman"/>
          <w:b/>
          <w:sz w:val="22"/>
          <w:szCs w:val="22"/>
        </w:rPr>
      </w:pPr>
    </w:p>
    <w:p w14:paraId="48EF7799" w14:textId="77777777" w:rsidR="009A3D6D" w:rsidRPr="00202338" w:rsidRDefault="009A3D6D" w:rsidP="009A3D6D">
      <w:pPr>
        <w:jc w:val="both"/>
        <w:rPr>
          <w:rStyle w:val="A1"/>
          <w:rFonts w:cs="Times New Roman"/>
          <w:b/>
          <w:sz w:val="22"/>
          <w:szCs w:val="22"/>
        </w:rPr>
      </w:pPr>
      <w:r w:rsidRPr="00202338">
        <w:rPr>
          <w:rStyle w:val="A2"/>
          <w:rFonts w:ascii="Times New Roman" w:hAnsi="Times New Roman" w:cs="Times New Roman"/>
          <w:b/>
          <w:sz w:val="22"/>
          <w:szCs w:val="22"/>
        </w:rPr>
        <w:t xml:space="preserve">Principle Four: </w:t>
      </w:r>
      <w:r w:rsidRPr="00202338">
        <w:rPr>
          <w:rStyle w:val="A1"/>
          <w:rFonts w:cs="Times New Roman"/>
          <w:b/>
          <w:sz w:val="22"/>
          <w:szCs w:val="22"/>
        </w:rPr>
        <w:t>Embed effective risk management, considering both opportunities and threats, throughout the organisation.</w:t>
      </w:r>
    </w:p>
    <w:p w14:paraId="25CBF6A9" w14:textId="77777777" w:rsidR="009A3D6D" w:rsidRPr="00202338" w:rsidRDefault="009A3D6D" w:rsidP="009A3D6D">
      <w:pPr>
        <w:jc w:val="both"/>
        <w:rPr>
          <w:rStyle w:val="A1"/>
          <w:rFonts w:cs="Times New Roman"/>
          <w:b/>
          <w:sz w:val="22"/>
          <w:szCs w:val="22"/>
        </w:rPr>
      </w:pPr>
    </w:p>
    <w:p w14:paraId="1CC28637" w14:textId="77777777" w:rsidR="009A3D6D" w:rsidRPr="00202338" w:rsidRDefault="009A3D6D" w:rsidP="009A3D6D">
      <w:pPr>
        <w:jc w:val="both"/>
        <w:rPr>
          <w:sz w:val="22"/>
          <w:szCs w:val="22"/>
        </w:rPr>
      </w:pPr>
      <w:r w:rsidRPr="00202338">
        <w:rPr>
          <w:sz w:val="22"/>
          <w:szCs w:val="22"/>
        </w:rPr>
        <w:t xml:space="preserve">Mining exploration, evaluation and development generally carry high levels of risk and the Board recognises that the principal risks and uncertainties facing the Group at this stage in relation to its projects are inherently high. </w:t>
      </w:r>
    </w:p>
    <w:p w14:paraId="6DA3B722" w14:textId="77777777" w:rsidR="009A3D6D" w:rsidRPr="00202338" w:rsidRDefault="009A3D6D" w:rsidP="009A3D6D">
      <w:pPr>
        <w:jc w:val="both"/>
        <w:rPr>
          <w:sz w:val="22"/>
          <w:szCs w:val="22"/>
        </w:rPr>
      </w:pPr>
    </w:p>
    <w:p w14:paraId="3CB5744F" w14:textId="10A7A396" w:rsidR="009A3D6D" w:rsidRPr="00202338" w:rsidRDefault="009A3D6D" w:rsidP="009A3D6D">
      <w:pPr>
        <w:jc w:val="both"/>
        <w:rPr>
          <w:rStyle w:val="A1"/>
          <w:rFonts w:cs="Times New Roman"/>
          <w:sz w:val="22"/>
          <w:szCs w:val="22"/>
        </w:rPr>
      </w:pPr>
      <w:r w:rsidRPr="00202338">
        <w:rPr>
          <w:sz w:val="22"/>
          <w:szCs w:val="22"/>
        </w:rPr>
        <w:t xml:space="preserve">The Board regularly reviews its business strategy and in particular identifies and evaluates the risks and uncertainties which the Group is or may be exposed to. As a result of such reviews, the Board will take steps to manage risks or seek to remove or reduce the Group’s exposure to them as much as possible.  The risks and uncertainties to which the Group is exposed at present and in the foreseeable future are detailed in </w:t>
      </w:r>
      <w:r w:rsidR="0007536F">
        <w:rPr>
          <w:sz w:val="22"/>
          <w:szCs w:val="22"/>
        </w:rPr>
        <w:t xml:space="preserve">Risks and Uncertainties in </w:t>
      </w:r>
      <w:r w:rsidRPr="00202338">
        <w:rPr>
          <w:sz w:val="22"/>
          <w:szCs w:val="22"/>
        </w:rPr>
        <w:t xml:space="preserve">the Strategic Report on </w:t>
      </w:r>
      <w:r w:rsidRPr="00063338">
        <w:rPr>
          <w:sz w:val="22"/>
          <w:szCs w:val="22"/>
        </w:rPr>
        <w:t xml:space="preserve">pages </w:t>
      </w:r>
      <w:r w:rsidR="00DE44E3" w:rsidRPr="00063338">
        <w:rPr>
          <w:sz w:val="22"/>
          <w:szCs w:val="22"/>
        </w:rPr>
        <w:t>5</w:t>
      </w:r>
      <w:r w:rsidRPr="00063338">
        <w:rPr>
          <w:sz w:val="22"/>
          <w:szCs w:val="22"/>
        </w:rPr>
        <w:t xml:space="preserve"> and </w:t>
      </w:r>
      <w:r w:rsidR="00DE44E3" w:rsidRPr="00063338">
        <w:rPr>
          <w:sz w:val="22"/>
          <w:szCs w:val="22"/>
        </w:rPr>
        <w:t>6</w:t>
      </w:r>
      <w:r w:rsidRPr="00063338">
        <w:rPr>
          <w:sz w:val="22"/>
          <w:szCs w:val="22"/>
        </w:rPr>
        <w:t xml:space="preserve"> together</w:t>
      </w:r>
      <w:r w:rsidRPr="00202338">
        <w:rPr>
          <w:sz w:val="22"/>
          <w:szCs w:val="22"/>
        </w:rPr>
        <w:t xml:space="preserve"> with risk mitigation strategies employed by the Board.</w:t>
      </w:r>
    </w:p>
    <w:p w14:paraId="4A9A80B3" w14:textId="77777777" w:rsidR="009A3D6D" w:rsidRPr="00202338" w:rsidRDefault="009A3D6D" w:rsidP="009A3D6D">
      <w:pPr>
        <w:pStyle w:val="Pa0"/>
        <w:spacing w:line="240" w:lineRule="auto"/>
        <w:jc w:val="both"/>
        <w:rPr>
          <w:rStyle w:val="A2"/>
          <w:rFonts w:ascii="Times New Roman" w:hAnsi="Times New Roman" w:cs="Times New Roman"/>
          <w:b/>
          <w:sz w:val="22"/>
          <w:szCs w:val="22"/>
        </w:rPr>
      </w:pPr>
    </w:p>
    <w:p w14:paraId="24483C9A" w14:textId="0CED0AFF"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Five: </w:t>
      </w:r>
      <w:r w:rsidRPr="00202338">
        <w:rPr>
          <w:rStyle w:val="A1"/>
          <w:rFonts w:ascii="Times New Roman" w:hAnsi="Times New Roman" w:cs="Times New Roman"/>
          <w:b/>
          <w:sz w:val="22"/>
          <w:szCs w:val="22"/>
        </w:rPr>
        <w:t xml:space="preserve">Maintain the board as a well-functioning, balanced team led by the </w:t>
      </w:r>
      <w:r w:rsidR="001E25F4" w:rsidRPr="00810BEB">
        <w:rPr>
          <w:rStyle w:val="A1"/>
          <w:rFonts w:ascii="Times New Roman" w:hAnsi="Times New Roman" w:cs="Times New Roman"/>
          <w:b/>
          <w:sz w:val="22"/>
          <w:szCs w:val="22"/>
        </w:rPr>
        <w:t>Chairman</w:t>
      </w:r>
      <w:r w:rsidRPr="00202338">
        <w:rPr>
          <w:rStyle w:val="A1"/>
          <w:rFonts w:ascii="Times New Roman" w:hAnsi="Times New Roman" w:cs="Times New Roman"/>
          <w:b/>
          <w:sz w:val="22"/>
          <w:szCs w:val="22"/>
        </w:rPr>
        <w:t>.</w:t>
      </w:r>
    </w:p>
    <w:p w14:paraId="0249B72A" w14:textId="77777777" w:rsidR="009A3D6D" w:rsidRPr="00202338" w:rsidRDefault="009A3D6D" w:rsidP="009A3D6D">
      <w:pPr>
        <w:rPr>
          <w:sz w:val="22"/>
          <w:szCs w:val="22"/>
        </w:rPr>
      </w:pPr>
    </w:p>
    <w:p w14:paraId="482066CB" w14:textId="77777777" w:rsidR="009A3D6D" w:rsidRPr="00202338" w:rsidRDefault="009A3D6D" w:rsidP="009A3D6D">
      <w:pPr>
        <w:jc w:val="both"/>
        <w:rPr>
          <w:sz w:val="22"/>
          <w:szCs w:val="22"/>
        </w:rPr>
      </w:pPr>
      <w:r w:rsidRPr="00202338">
        <w:rPr>
          <w:sz w:val="22"/>
          <w:szCs w:val="22"/>
        </w:rPr>
        <w:t xml:space="preserve">Christopher Latilla-Campbell, the non-executive Chairman, leads the Board and is responsible for the effective performance of the Board through control of the Board’s agendas and the running of its meetings at which through the review of management reports and discussion of the Group’s performance can be regularly monitored.  Christopher Latilla-Campbell, in his capacity as non-executive Chairman, also has overall responsibility for the corporate governance of the Company. The day to day running of the Group is delegated to Rolf Gerritsen, the Chief Executive Officer.  </w:t>
      </w:r>
    </w:p>
    <w:p w14:paraId="1E1465B8" w14:textId="77777777" w:rsidR="009A3D6D" w:rsidRPr="00202338" w:rsidRDefault="009A3D6D" w:rsidP="009A3D6D">
      <w:pPr>
        <w:pStyle w:val="Pa0"/>
        <w:spacing w:line="240" w:lineRule="auto"/>
        <w:jc w:val="both"/>
        <w:rPr>
          <w:rStyle w:val="A2"/>
          <w:rFonts w:ascii="Times New Roman" w:hAnsi="Times New Roman" w:cs="Times New Roman"/>
          <w:b/>
          <w:sz w:val="22"/>
          <w:szCs w:val="22"/>
        </w:rPr>
      </w:pPr>
    </w:p>
    <w:p w14:paraId="0F8F13DF" w14:textId="77777777" w:rsidR="009A3D6D" w:rsidRPr="00202338" w:rsidRDefault="009A3D6D" w:rsidP="009A3D6D">
      <w:pPr>
        <w:jc w:val="both"/>
        <w:rPr>
          <w:sz w:val="22"/>
          <w:szCs w:val="22"/>
        </w:rPr>
      </w:pPr>
      <w:r w:rsidRPr="00202338">
        <w:rPr>
          <w:color w:val="231F20"/>
          <w:spacing w:val="-1"/>
          <w:sz w:val="22"/>
          <w:szCs w:val="22"/>
        </w:rPr>
        <w:t>The Board holds</w:t>
      </w:r>
      <w:r w:rsidRPr="00202338">
        <w:rPr>
          <w:color w:val="231F20"/>
          <w:sz w:val="22"/>
          <w:szCs w:val="22"/>
        </w:rPr>
        <w:t xml:space="preserve"> Board meetings </w:t>
      </w:r>
      <w:r w:rsidRPr="00202338">
        <w:rPr>
          <w:color w:val="231F20"/>
          <w:spacing w:val="-3"/>
          <w:sz w:val="22"/>
          <w:szCs w:val="22"/>
        </w:rPr>
        <w:t>periodically,</w:t>
      </w:r>
      <w:r w:rsidRPr="00202338">
        <w:rPr>
          <w:color w:val="231F20"/>
          <w:sz w:val="22"/>
          <w:szCs w:val="22"/>
        </w:rPr>
        <w:t xml:space="preserve"> </w:t>
      </w:r>
      <w:r w:rsidRPr="00202338">
        <w:rPr>
          <w:color w:val="231F20"/>
          <w:spacing w:val="-1"/>
          <w:sz w:val="22"/>
          <w:szCs w:val="22"/>
        </w:rPr>
        <w:t>and</w:t>
      </w:r>
      <w:r w:rsidRPr="00202338">
        <w:rPr>
          <w:color w:val="231F20"/>
          <w:sz w:val="22"/>
          <w:szCs w:val="22"/>
        </w:rPr>
        <w:t xml:space="preserve"> </w:t>
      </w:r>
      <w:r w:rsidRPr="00202338">
        <w:rPr>
          <w:color w:val="231F20"/>
          <w:spacing w:val="-1"/>
          <w:sz w:val="22"/>
          <w:szCs w:val="22"/>
        </w:rPr>
        <w:t>at</w:t>
      </w:r>
      <w:r w:rsidRPr="00202338">
        <w:rPr>
          <w:color w:val="231F20"/>
          <w:sz w:val="22"/>
          <w:szCs w:val="22"/>
        </w:rPr>
        <w:t xml:space="preserve"> </w:t>
      </w:r>
      <w:r w:rsidRPr="00202338">
        <w:rPr>
          <w:color w:val="231F20"/>
          <w:spacing w:val="-1"/>
          <w:sz w:val="22"/>
          <w:szCs w:val="22"/>
        </w:rPr>
        <w:t>least</w:t>
      </w:r>
      <w:r w:rsidRPr="00202338">
        <w:rPr>
          <w:color w:val="231F20"/>
          <w:sz w:val="22"/>
          <w:szCs w:val="22"/>
        </w:rPr>
        <w:t xml:space="preserve"> four</w:t>
      </w:r>
      <w:r w:rsidRPr="00202338">
        <w:rPr>
          <w:color w:val="231F20"/>
          <w:spacing w:val="-1"/>
          <w:sz w:val="22"/>
          <w:szCs w:val="22"/>
        </w:rPr>
        <w:t xml:space="preserve"> </w:t>
      </w:r>
      <w:r w:rsidRPr="00202338">
        <w:rPr>
          <w:color w:val="231F20"/>
          <w:sz w:val="22"/>
          <w:szCs w:val="22"/>
        </w:rPr>
        <w:t>times</w:t>
      </w:r>
      <w:r w:rsidRPr="00202338">
        <w:rPr>
          <w:color w:val="231F20"/>
          <w:spacing w:val="-1"/>
          <w:sz w:val="22"/>
          <w:szCs w:val="22"/>
        </w:rPr>
        <w:t xml:space="preserve"> </w:t>
      </w:r>
      <w:r w:rsidRPr="00202338">
        <w:rPr>
          <w:color w:val="231F20"/>
          <w:sz w:val="22"/>
          <w:szCs w:val="22"/>
        </w:rPr>
        <w:t xml:space="preserve">a </w:t>
      </w:r>
      <w:r w:rsidRPr="00202338">
        <w:rPr>
          <w:color w:val="231F20"/>
          <w:spacing w:val="-3"/>
          <w:sz w:val="22"/>
          <w:szCs w:val="22"/>
        </w:rPr>
        <w:t>year,</w:t>
      </w:r>
      <w:r w:rsidRPr="00202338">
        <w:rPr>
          <w:color w:val="231F20"/>
          <w:sz w:val="22"/>
          <w:szCs w:val="22"/>
        </w:rPr>
        <w:t xml:space="preserve"> </w:t>
      </w:r>
      <w:r w:rsidRPr="00202338">
        <w:rPr>
          <w:color w:val="231F20"/>
          <w:spacing w:val="-1"/>
          <w:sz w:val="22"/>
          <w:szCs w:val="22"/>
        </w:rPr>
        <w:t>as</w:t>
      </w:r>
      <w:r w:rsidRPr="00202338">
        <w:rPr>
          <w:color w:val="231F20"/>
          <w:sz w:val="22"/>
          <w:szCs w:val="22"/>
        </w:rPr>
        <w:t xml:space="preserve"> </w:t>
      </w:r>
      <w:r w:rsidRPr="00202338">
        <w:rPr>
          <w:color w:val="231F20"/>
          <w:spacing w:val="-1"/>
          <w:sz w:val="22"/>
          <w:szCs w:val="22"/>
        </w:rPr>
        <w:t>issues</w:t>
      </w:r>
      <w:r w:rsidRPr="00202338">
        <w:rPr>
          <w:color w:val="231F20"/>
          <w:sz w:val="22"/>
          <w:szCs w:val="22"/>
        </w:rPr>
        <w:t xml:space="preserve"> </w:t>
      </w:r>
      <w:r w:rsidRPr="00202338">
        <w:rPr>
          <w:color w:val="231F20"/>
          <w:spacing w:val="-1"/>
          <w:sz w:val="22"/>
          <w:szCs w:val="22"/>
        </w:rPr>
        <w:t>arise</w:t>
      </w:r>
      <w:r w:rsidRPr="00202338">
        <w:rPr>
          <w:color w:val="231F20"/>
          <w:spacing w:val="46"/>
          <w:sz w:val="22"/>
          <w:szCs w:val="22"/>
        </w:rPr>
        <w:t xml:space="preserve"> </w:t>
      </w:r>
      <w:r w:rsidRPr="00202338">
        <w:rPr>
          <w:color w:val="231F20"/>
          <w:spacing w:val="-1"/>
          <w:sz w:val="22"/>
          <w:szCs w:val="22"/>
        </w:rPr>
        <w:t>which</w:t>
      </w:r>
      <w:r w:rsidRPr="00202338">
        <w:rPr>
          <w:color w:val="231F20"/>
          <w:sz w:val="22"/>
          <w:szCs w:val="22"/>
        </w:rPr>
        <w:t xml:space="preserve"> require the </w:t>
      </w:r>
      <w:r w:rsidRPr="00202338">
        <w:rPr>
          <w:color w:val="231F20"/>
          <w:spacing w:val="-1"/>
          <w:sz w:val="22"/>
          <w:szCs w:val="22"/>
        </w:rPr>
        <w:t>attention</w:t>
      </w:r>
      <w:r w:rsidRPr="00202338">
        <w:rPr>
          <w:color w:val="231F20"/>
          <w:spacing w:val="1"/>
          <w:sz w:val="22"/>
          <w:szCs w:val="22"/>
        </w:rPr>
        <w:t xml:space="preserve"> </w:t>
      </w:r>
      <w:r w:rsidRPr="00202338">
        <w:rPr>
          <w:color w:val="231F20"/>
          <w:spacing w:val="-1"/>
          <w:sz w:val="22"/>
          <w:szCs w:val="22"/>
        </w:rPr>
        <w:t>of</w:t>
      </w:r>
      <w:r w:rsidRPr="00202338">
        <w:rPr>
          <w:color w:val="231F20"/>
          <w:sz w:val="22"/>
          <w:szCs w:val="22"/>
        </w:rPr>
        <w:t xml:space="preserve"> the Board.</w:t>
      </w:r>
      <w:r w:rsidRPr="00202338">
        <w:rPr>
          <w:color w:val="231F20"/>
          <w:spacing w:val="-3"/>
          <w:sz w:val="22"/>
          <w:szCs w:val="22"/>
        </w:rPr>
        <w:t xml:space="preserve"> </w:t>
      </w:r>
      <w:r w:rsidRPr="00202338">
        <w:rPr>
          <w:color w:val="231F20"/>
          <w:sz w:val="22"/>
          <w:szCs w:val="22"/>
        </w:rPr>
        <w:t xml:space="preserve"> Prior to such meetings, the Board’s members</w:t>
      </w:r>
      <w:r w:rsidRPr="00202338">
        <w:rPr>
          <w:color w:val="231F20"/>
          <w:spacing w:val="-1"/>
          <w:sz w:val="22"/>
          <w:szCs w:val="22"/>
        </w:rPr>
        <w:t xml:space="preserve"> receive an appropriate agenda and relevant information and reports for </w:t>
      </w:r>
      <w:r w:rsidRPr="00202338">
        <w:rPr>
          <w:sz w:val="22"/>
          <w:szCs w:val="22"/>
        </w:rPr>
        <w:t>consideration on all significant strategic, operational and financial matters and other business and investment matters which may be discussed and considered.</w:t>
      </w:r>
    </w:p>
    <w:p w14:paraId="7EFA052F" w14:textId="77777777" w:rsidR="009A3D6D" w:rsidRPr="00202338" w:rsidRDefault="009A3D6D" w:rsidP="009A3D6D">
      <w:pPr>
        <w:jc w:val="both"/>
        <w:rPr>
          <w:sz w:val="22"/>
          <w:szCs w:val="22"/>
        </w:rPr>
      </w:pPr>
    </w:p>
    <w:p w14:paraId="7A347DF8" w14:textId="0D9E9568" w:rsidR="009A3D6D" w:rsidRPr="00202338" w:rsidRDefault="009A3D6D" w:rsidP="009A3D6D">
      <w:pPr>
        <w:jc w:val="both"/>
        <w:rPr>
          <w:sz w:val="22"/>
          <w:szCs w:val="22"/>
        </w:rPr>
      </w:pPr>
      <w:r w:rsidRPr="00202338">
        <w:rPr>
          <w:sz w:val="22"/>
          <w:szCs w:val="22"/>
        </w:rPr>
        <w:t xml:space="preserve">The Board is supported by the Audit and Remuneration Committees, details of which </w:t>
      </w:r>
      <w:r w:rsidR="0007536F">
        <w:rPr>
          <w:sz w:val="22"/>
          <w:szCs w:val="22"/>
        </w:rPr>
        <w:t>are</w:t>
      </w:r>
      <w:r w:rsidR="00754CA8">
        <w:rPr>
          <w:sz w:val="22"/>
          <w:szCs w:val="22"/>
        </w:rPr>
        <w:t xml:space="preserve"> </w:t>
      </w:r>
      <w:r w:rsidR="0007536F">
        <w:rPr>
          <w:sz w:val="22"/>
          <w:szCs w:val="22"/>
        </w:rPr>
        <w:t xml:space="preserve">set out </w:t>
      </w:r>
      <w:r w:rsidRPr="00202338">
        <w:rPr>
          <w:sz w:val="22"/>
          <w:szCs w:val="22"/>
        </w:rPr>
        <w:t>above.</w:t>
      </w:r>
    </w:p>
    <w:p w14:paraId="4AD18B34" w14:textId="77777777" w:rsidR="009A3D6D" w:rsidRPr="00202338" w:rsidRDefault="009A3D6D" w:rsidP="009A3D6D">
      <w:pPr>
        <w:jc w:val="both"/>
        <w:rPr>
          <w:sz w:val="22"/>
          <w:szCs w:val="22"/>
        </w:rPr>
      </w:pPr>
    </w:p>
    <w:p w14:paraId="63D62A52" w14:textId="77777777" w:rsidR="009A3D6D" w:rsidRPr="00202338" w:rsidRDefault="009A3D6D" w:rsidP="009A3D6D">
      <w:pPr>
        <w:jc w:val="both"/>
        <w:rPr>
          <w:sz w:val="22"/>
          <w:szCs w:val="22"/>
        </w:rPr>
      </w:pPr>
      <w:r w:rsidRPr="00202338">
        <w:rPr>
          <w:sz w:val="22"/>
          <w:szCs w:val="22"/>
        </w:rPr>
        <w:t>In accordance with the Company’s Articles of Association, one third of the Board is required to retire each year at the Company’s Annual General Meeting and any such retiring director may offer himself for re-election.</w:t>
      </w:r>
    </w:p>
    <w:p w14:paraId="76D016A0" w14:textId="77777777" w:rsidR="009A3D6D" w:rsidRPr="00202338" w:rsidRDefault="009A3D6D" w:rsidP="009A3D6D">
      <w:pPr>
        <w:pStyle w:val="Pa0"/>
        <w:spacing w:line="240" w:lineRule="auto"/>
        <w:jc w:val="both"/>
        <w:rPr>
          <w:rStyle w:val="A2"/>
          <w:rFonts w:ascii="Times New Roman" w:hAnsi="Times New Roman" w:cs="Times New Roman"/>
          <w:b/>
          <w:sz w:val="22"/>
          <w:szCs w:val="22"/>
        </w:rPr>
      </w:pPr>
    </w:p>
    <w:p w14:paraId="09111015" w14:textId="178224F2"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Six: </w:t>
      </w:r>
      <w:r w:rsidRPr="00202338">
        <w:rPr>
          <w:rStyle w:val="A1"/>
          <w:rFonts w:ascii="Times New Roman" w:hAnsi="Times New Roman" w:cs="Times New Roman"/>
          <w:b/>
          <w:sz w:val="22"/>
          <w:szCs w:val="22"/>
        </w:rPr>
        <w:t>Ensure that between them the directors have the necessary up to date experience, skills and capabilities.</w:t>
      </w:r>
    </w:p>
    <w:p w14:paraId="6EA29818" w14:textId="77777777" w:rsidR="009A3D6D" w:rsidRPr="00202338" w:rsidRDefault="009A3D6D" w:rsidP="009A3D6D">
      <w:pPr>
        <w:rPr>
          <w:sz w:val="22"/>
          <w:szCs w:val="22"/>
        </w:rPr>
      </w:pPr>
    </w:p>
    <w:p w14:paraId="6EB1BFD6" w14:textId="455DC62D" w:rsidR="009A3D6D" w:rsidRPr="00202338" w:rsidRDefault="009A3D6D" w:rsidP="009A3D6D">
      <w:pPr>
        <w:jc w:val="both"/>
        <w:rPr>
          <w:sz w:val="22"/>
          <w:szCs w:val="22"/>
        </w:rPr>
      </w:pPr>
      <w:r w:rsidRPr="00202338">
        <w:rPr>
          <w:sz w:val="22"/>
          <w:szCs w:val="22"/>
        </w:rPr>
        <w:t xml:space="preserve">The </w:t>
      </w:r>
      <w:r w:rsidR="0031081D">
        <w:rPr>
          <w:sz w:val="22"/>
          <w:szCs w:val="22"/>
        </w:rPr>
        <w:t>D</w:t>
      </w:r>
      <w:r w:rsidRPr="00202338">
        <w:rPr>
          <w:sz w:val="22"/>
          <w:szCs w:val="22"/>
        </w:rPr>
        <w:t xml:space="preserve">irectors have a wide range of skills and experience which cover sector, technical, financial, operational and public markets areas which are relevant to the management of the Group’s business.  </w:t>
      </w:r>
    </w:p>
    <w:p w14:paraId="34195CF8" w14:textId="77777777" w:rsidR="009A3D6D" w:rsidRPr="00202338" w:rsidRDefault="009A3D6D" w:rsidP="009A3D6D">
      <w:pPr>
        <w:jc w:val="both"/>
        <w:rPr>
          <w:sz w:val="22"/>
          <w:szCs w:val="22"/>
        </w:rPr>
      </w:pPr>
    </w:p>
    <w:p w14:paraId="4C10630B" w14:textId="40CB818B" w:rsidR="009A3D6D" w:rsidRPr="00202338" w:rsidRDefault="009A3D6D" w:rsidP="009A3D6D">
      <w:pPr>
        <w:jc w:val="both"/>
        <w:rPr>
          <w:sz w:val="22"/>
          <w:szCs w:val="22"/>
        </w:rPr>
      </w:pPr>
      <w:r w:rsidRPr="00202338">
        <w:rPr>
          <w:sz w:val="22"/>
          <w:szCs w:val="22"/>
        </w:rPr>
        <w:t xml:space="preserve">Details of the current Board of </w:t>
      </w:r>
      <w:r w:rsidR="00426971">
        <w:rPr>
          <w:sz w:val="22"/>
          <w:szCs w:val="22"/>
        </w:rPr>
        <w:t>D</w:t>
      </w:r>
      <w:r w:rsidRPr="00202338">
        <w:rPr>
          <w:sz w:val="22"/>
          <w:szCs w:val="22"/>
        </w:rPr>
        <w:t xml:space="preserve">irectors’ biographies are set out </w:t>
      </w:r>
      <w:r w:rsidRPr="00063338">
        <w:rPr>
          <w:sz w:val="22"/>
          <w:szCs w:val="22"/>
        </w:rPr>
        <w:t>on page</w:t>
      </w:r>
      <w:r w:rsidR="00DE44E3" w:rsidRPr="00063338">
        <w:rPr>
          <w:sz w:val="22"/>
          <w:szCs w:val="22"/>
        </w:rPr>
        <w:t>s 2 and 3.</w:t>
      </w:r>
    </w:p>
    <w:p w14:paraId="2BB48BBE" w14:textId="77777777" w:rsidR="009A3D6D" w:rsidRPr="00202338" w:rsidRDefault="009A3D6D" w:rsidP="009A3D6D">
      <w:pPr>
        <w:jc w:val="both"/>
        <w:rPr>
          <w:sz w:val="22"/>
          <w:szCs w:val="22"/>
        </w:rPr>
      </w:pPr>
    </w:p>
    <w:p w14:paraId="4861BD55" w14:textId="77777777" w:rsidR="009A3D6D" w:rsidRPr="00202338" w:rsidRDefault="009A3D6D" w:rsidP="009A3D6D">
      <w:pPr>
        <w:jc w:val="both"/>
        <w:rPr>
          <w:sz w:val="22"/>
          <w:szCs w:val="22"/>
        </w:rPr>
      </w:pPr>
      <w:r w:rsidRPr="00202338">
        <w:rPr>
          <w:sz w:val="22"/>
          <w:szCs w:val="22"/>
        </w:rPr>
        <w:t xml:space="preserve">The Board regularly reviews its structure and whether it has the right mix of relevant skills and experience for the effective management of the Group’s business.  The Board considers that the current balance of sector, technical, financial, operational and public markets skills and experience which its directors have is appropriate for the current size and stage of development of the Company.  </w:t>
      </w:r>
    </w:p>
    <w:p w14:paraId="68A94064" w14:textId="77777777" w:rsidR="009A3D6D" w:rsidRPr="00202338" w:rsidRDefault="009A3D6D" w:rsidP="009A3D6D">
      <w:pPr>
        <w:jc w:val="both"/>
        <w:rPr>
          <w:rStyle w:val="Hyperlink"/>
          <w:sz w:val="22"/>
          <w:szCs w:val="22"/>
        </w:rPr>
      </w:pPr>
    </w:p>
    <w:p w14:paraId="4018265A" w14:textId="6282E8D1" w:rsidR="009A3D6D" w:rsidRPr="00202338" w:rsidRDefault="009A3D6D" w:rsidP="009A3D6D">
      <w:pPr>
        <w:jc w:val="both"/>
        <w:rPr>
          <w:sz w:val="22"/>
          <w:szCs w:val="22"/>
        </w:rPr>
      </w:pPr>
      <w:r w:rsidRPr="00202338">
        <w:rPr>
          <w:sz w:val="22"/>
          <w:szCs w:val="22"/>
        </w:rPr>
        <w:t xml:space="preserve">The </w:t>
      </w:r>
      <w:r w:rsidR="0031081D">
        <w:rPr>
          <w:sz w:val="22"/>
          <w:szCs w:val="22"/>
        </w:rPr>
        <w:t>D</w:t>
      </w:r>
      <w:r w:rsidRPr="00202338">
        <w:rPr>
          <w:sz w:val="22"/>
          <w:szCs w:val="22"/>
        </w:rPr>
        <w:t xml:space="preserve">irectors maintain their skills through membership of various professional bodies, attendance at mining conferences and seminars and through their various external appointments. </w:t>
      </w:r>
    </w:p>
    <w:p w14:paraId="2EB9B097" w14:textId="77777777" w:rsidR="00754CA8" w:rsidRDefault="00754CA8" w:rsidP="00754CA8">
      <w:pPr>
        <w:jc w:val="both"/>
        <w:rPr>
          <w:sz w:val="22"/>
          <w:szCs w:val="22"/>
        </w:rPr>
      </w:pPr>
    </w:p>
    <w:p w14:paraId="29CB3220" w14:textId="7910F6F6" w:rsidR="00754CA8" w:rsidRPr="00202338" w:rsidRDefault="00754CA8" w:rsidP="00754CA8">
      <w:pPr>
        <w:jc w:val="both"/>
        <w:rPr>
          <w:sz w:val="22"/>
          <w:szCs w:val="22"/>
        </w:rPr>
      </w:pPr>
      <w:r w:rsidRPr="00202338">
        <w:rPr>
          <w:sz w:val="22"/>
          <w:szCs w:val="22"/>
        </w:rPr>
        <w:t xml:space="preserve">All </w:t>
      </w:r>
      <w:r w:rsidR="0031081D">
        <w:rPr>
          <w:sz w:val="22"/>
          <w:szCs w:val="22"/>
        </w:rPr>
        <w:t>D</w:t>
      </w:r>
      <w:r w:rsidRPr="00202338">
        <w:rPr>
          <w:sz w:val="22"/>
          <w:szCs w:val="22"/>
        </w:rPr>
        <w:t xml:space="preserve">irectors have access to the Company Secretary, City Group PLC, which is responsible for ensuring that Board procedures and applicable rules and regulations are observed and relevant corporate and regulatory information is provided to the </w:t>
      </w:r>
      <w:r w:rsidR="0031081D">
        <w:rPr>
          <w:sz w:val="22"/>
          <w:szCs w:val="22"/>
        </w:rPr>
        <w:t>D</w:t>
      </w:r>
      <w:r w:rsidRPr="00202338">
        <w:rPr>
          <w:sz w:val="22"/>
          <w:szCs w:val="22"/>
        </w:rPr>
        <w:t xml:space="preserve">irectors. </w:t>
      </w:r>
    </w:p>
    <w:p w14:paraId="7984255B" w14:textId="77777777" w:rsidR="009A3D6D" w:rsidRPr="00202338" w:rsidRDefault="009A3D6D" w:rsidP="009A3D6D">
      <w:pPr>
        <w:jc w:val="both"/>
        <w:rPr>
          <w:sz w:val="22"/>
          <w:szCs w:val="22"/>
        </w:rPr>
      </w:pPr>
    </w:p>
    <w:p w14:paraId="72515DA8" w14:textId="77777777" w:rsidR="00754CA8" w:rsidRDefault="00754CA8" w:rsidP="009A3D6D">
      <w:pPr>
        <w:jc w:val="both"/>
        <w:rPr>
          <w:sz w:val="22"/>
          <w:szCs w:val="22"/>
        </w:rPr>
      </w:pPr>
    </w:p>
    <w:p w14:paraId="57C5DDC8" w14:textId="77777777" w:rsidR="00754CA8" w:rsidRDefault="00754CA8" w:rsidP="009A3D6D">
      <w:pPr>
        <w:jc w:val="both"/>
        <w:rPr>
          <w:sz w:val="22"/>
          <w:szCs w:val="22"/>
        </w:rPr>
      </w:pPr>
    </w:p>
    <w:p w14:paraId="3AD89535" w14:textId="77777777" w:rsidR="00754CA8" w:rsidRDefault="00754CA8" w:rsidP="009A3D6D">
      <w:pPr>
        <w:jc w:val="both"/>
        <w:rPr>
          <w:sz w:val="22"/>
          <w:szCs w:val="22"/>
        </w:rPr>
      </w:pPr>
    </w:p>
    <w:p w14:paraId="54B32097" w14:textId="706DA293" w:rsidR="00754CA8" w:rsidRDefault="00754CA8" w:rsidP="00754CA8">
      <w:pPr>
        <w:pStyle w:val="Heading2"/>
      </w:pPr>
      <w:r>
        <w:t>CORPORATE GOVERNANCE STATEMENT</w:t>
      </w:r>
      <w:r w:rsidR="00275562">
        <w:t xml:space="preserve"> (</w:t>
      </w:r>
      <w:r>
        <w:t>continued</w:t>
      </w:r>
      <w:r w:rsidR="00275562">
        <w:t>)</w:t>
      </w:r>
    </w:p>
    <w:p w14:paraId="79CBEE4F" w14:textId="77777777" w:rsidR="009A3D6D" w:rsidRPr="00202338" w:rsidRDefault="009A3D6D" w:rsidP="009A3D6D">
      <w:pPr>
        <w:jc w:val="both"/>
        <w:rPr>
          <w:sz w:val="22"/>
          <w:szCs w:val="22"/>
        </w:rPr>
      </w:pPr>
    </w:p>
    <w:p w14:paraId="1F824C61" w14:textId="662DF23E" w:rsidR="009A3D6D" w:rsidRPr="00202338" w:rsidRDefault="009A3D6D" w:rsidP="009A3D6D">
      <w:pPr>
        <w:jc w:val="both"/>
        <w:rPr>
          <w:sz w:val="22"/>
          <w:szCs w:val="22"/>
        </w:rPr>
      </w:pPr>
      <w:r w:rsidRPr="00202338">
        <w:rPr>
          <w:sz w:val="22"/>
          <w:szCs w:val="22"/>
        </w:rPr>
        <w:t xml:space="preserve">In the Autumn </w:t>
      </w:r>
      <w:r w:rsidR="000F6CE5">
        <w:rPr>
          <w:sz w:val="22"/>
          <w:szCs w:val="22"/>
        </w:rPr>
        <w:t>of 2019</w:t>
      </w:r>
      <w:r w:rsidRPr="00202338">
        <w:rPr>
          <w:sz w:val="22"/>
          <w:szCs w:val="22"/>
        </w:rPr>
        <w:t xml:space="preserve">, the Board considered the appointment of an executive to provide the Board with relevant experience, expertise and support in connection with a new business opportunity in the oil and gas sector. On 29 November 2019, the Board approved the appointment of Pierpaolo Rocco as an executive </w:t>
      </w:r>
      <w:r w:rsidR="0031081D">
        <w:rPr>
          <w:sz w:val="22"/>
          <w:szCs w:val="22"/>
        </w:rPr>
        <w:t>D</w:t>
      </w:r>
      <w:r w:rsidRPr="00202338">
        <w:rPr>
          <w:sz w:val="22"/>
          <w:szCs w:val="22"/>
        </w:rPr>
        <w:t>irector to head up a new oil and gas division for the Group. Save for Pierpaolo Rocco, no new Board appointments were considered necessary during the period under review.</w:t>
      </w:r>
    </w:p>
    <w:p w14:paraId="64B8EC7E" w14:textId="77777777" w:rsidR="009A3D6D" w:rsidRPr="00202338" w:rsidRDefault="009A3D6D" w:rsidP="009A3D6D">
      <w:pPr>
        <w:jc w:val="both"/>
        <w:rPr>
          <w:sz w:val="22"/>
          <w:szCs w:val="22"/>
        </w:rPr>
      </w:pPr>
    </w:p>
    <w:p w14:paraId="5F1C02B1" w14:textId="77777777"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Seven: </w:t>
      </w:r>
      <w:r w:rsidRPr="00202338">
        <w:rPr>
          <w:rStyle w:val="A1"/>
          <w:rFonts w:ascii="Times New Roman" w:hAnsi="Times New Roman" w:cs="Times New Roman"/>
          <w:b/>
          <w:sz w:val="22"/>
          <w:szCs w:val="22"/>
        </w:rPr>
        <w:t>Evaluate board performance based on clear and relevant objectives, seeking continuous improvement.</w:t>
      </w:r>
    </w:p>
    <w:p w14:paraId="50A024B4" w14:textId="77777777" w:rsidR="009A3D6D" w:rsidRPr="00202338" w:rsidRDefault="009A3D6D" w:rsidP="009A3D6D">
      <w:pPr>
        <w:rPr>
          <w:sz w:val="22"/>
          <w:szCs w:val="22"/>
        </w:rPr>
      </w:pPr>
    </w:p>
    <w:p w14:paraId="2AACF684" w14:textId="77777777" w:rsidR="009A3D6D" w:rsidRPr="00202338" w:rsidRDefault="009A3D6D" w:rsidP="009A3D6D">
      <w:pPr>
        <w:jc w:val="both"/>
        <w:rPr>
          <w:sz w:val="22"/>
          <w:szCs w:val="22"/>
        </w:rPr>
      </w:pPr>
      <w:r w:rsidRPr="00202338">
        <w:rPr>
          <w:sz w:val="22"/>
          <w:szCs w:val="22"/>
        </w:rPr>
        <w:t>The Board’s performance as a whole is reviewed and considered in the light of the progress and achievements against the Group’s long-term strategy and its strategic objectives. This progress is regularly reviewed in Board meetings and the structure, size and composition of the Board are also considered.</w:t>
      </w:r>
    </w:p>
    <w:p w14:paraId="4879F9B9" w14:textId="77777777" w:rsidR="009A3D6D" w:rsidRPr="00202338" w:rsidRDefault="009A3D6D" w:rsidP="009A3D6D">
      <w:pPr>
        <w:jc w:val="both"/>
        <w:rPr>
          <w:sz w:val="22"/>
          <w:szCs w:val="22"/>
        </w:rPr>
      </w:pPr>
    </w:p>
    <w:p w14:paraId="0A6E0AE6" w14:textId="71815467" w:rsidR="009A3D6D" w:rsidRPr="00202338" w:rsidRDefault="009A3D6D" w:rsidP="009A3D6D">
      <w:pPr>
        <w:jc w:val="both"/>
        <w:rPr>
          <w:sz w:val="22"/>
          <w:szCs w:val="22"/>
        </w:rPr>
      </w:pPr>
      <w:r w:rsidRPr="00B77B57">
        <w:rPr>
          <w:sz w:val="22"/>
          <w:szCs w:val="22"/>
        </w:rPr>
        <w:t xml:space="preserve">The Board evaluates its own performance, and in due course will evaluate the performance of its committees, through the completion and review of questionnaires.  All </w:t>
      </w:r>
      <w:r w:rsidR="0031081D">
        <w:rPr>
          <w:sz w:val="22"/>
          <w:szCs w:val="22"/>
        </w:rPr>
        <w:t>D</w:t>
      </w:r>
      <w:r w:rsidRPr="00B77B57">
        <w:rPr>
          <w:sz w:val="22"/>
          <w:szCs w:val="22"/>
        </w:rPr>
        <w:t xml:space="preserve">irectors are encouraged to maintain personal continuing professional education programmes and all </w:t>
      </w:r>
      <w:r w:rsidR="0031081D">
        <w:rPr>
          <w:sz w:val="22"/>
          <w:szCs w:val="22"/>
        </w:rPr>
        <w:t>D</w:t>
      </w:r>
      <w:r w:rsidRPr="00B77B57">
        <w:rPr>
          <w:sz w:val="22"/>
          <w:szCs w:val="22"/>
        </w:rPr>
        <w:t>irectors are entitled to receive relevant and appropriate training if required.</w:t>
      </w:r>
      <w:r w:rsidRPr="00202338">
        <w:rPr>
          <w:sz w:val="22"/>
          <w:szCs w:val="22"/>
        </w:rPr>
        <w:t xml:space="preserve"> </w:t>
      </w:r>
    </w:p>
    <w:p w14:paraId="5D917224" w14:textId="1D9AD923" w:rsidR="009A3D6D" w:rsidRPr="00202338" w:rsidRDefault="009A3D6D" w:rsidP="00202338">
      <w:pPr>
        <w:jc w:val="both"/>
        <w:rPr>
          <w:rStyle w:val="A2"/>
          <w:rFonts w:ascii="Times New Roman" w:hAnsi="Times New Roman" w:cs="Times New Roman"/>
          <w:b/>
          <w:sz w:val="22"/>
          <w:szCs w:val="22"/>
        </w:rPr>
      </w:pPr>
      <w:r w:rsidRPr="00202338">
        <w:rPr>
          <w:sz w:val="22"/>
          <w:szCs w:val="22"/>
        </w:rPr>
        <w:t xml:space="preserve"> </w:t>
      </w:r>
    </w:p>
    <w:p w14:paraId="2FD4AB8A" w14:textId="77777777" w:rsidR="009A3D6D" w:rsidRPr="00202338" w:rsidRDefault="009A3D6D" w:rsidP="009A3D6D">
      <w:pPr>
        <w:pStyle w:val="Pa0"/>
        <w:spacing w:line="240" w:lineRule="auto"/>
        <w:jc w:val="both"/>
        <w:rPr>
          <w:rStyle w:val="A1"/>
          <w:rFonts w:ascii="Times New Roman" w:hAnsi="Times New Roman" w:cs="Times New Roman"/>
          <w:b/>
          <w:sz w:val="22"/>
          <w:szCs w:val="22"/>
        </w:rPr>
      </w:pPr>
      <w:r w:rsidRPr="00202338">
        <w:rPr>
          <w:rStyle w:val="A2"/>
          <w:rFonts w:ascii="Times New Roman" w:hAnsi="Times New Roman" w:cs="Times New Roman"/>
          <w:b/>
          <w:sz w:val="22"/>
          <w:szCs w:val="22"/>
        </w:rPr>
        <w:t xml:space="preserve">Principle Eight: </w:t>
      </w:r>
      <w:r w:rsidRPr="00202338">
        <w:rPr>
          <w:rStyle w:val="A1"/>
          <w:rFonts w:ascii="Times New Roman" w:hAnsi="Times New Roman" w:cs="Times New Roman"/>
          <w:b/>
          <w:sz w:val="22"/>
          <w:szCs w:val="22"/>
        </w:rPr>
        <w:t>Promote a corporate culture that is based on ethical values and behaviours.</w:t>
      </w:r>
    </w:p>
    <w:p w14:paraId="0CC5AC85" w14:textId="77777777" w:rsidR="009A3D6D" w:rsidRPr="00202338" w:rsidRDefault="009A3D6D" w:rsidP="009A3D6D">
      <w:pPr>
        <w:rPr>
          <w:sz w:val="22"/>
          <w:szCs w:val="22"/>
        </w:rPr>
      </w:pPr>
    </w:p>
    <w:p w14:paraId="16782690" w14:textId="77777777" w:rsidR="009A3D6D" w:rsidRPr="00202338" w:rsidRDefault="009A3D6D" w:rsidP="009A3D6D">
      <w:pPr>
        <w:jc w:val="both"/>
        <w:rPr>
          <w:sz w:val="22"/>
          <w:szCs w:val="22"/>
        </w:rPr>
      </w:pPr>
      <w:r w:rsidRPr="00202338">
        <w:rPr>
          <w:sz w:val="22"/>
          <w:szCs w:val="22"/>
        </w:rPr>
        <w:t xml:space="preserve">The Company has established corporate governance arrangements which the Board believes are appropriate for the current size and stage of development of the Company.  </w:t>
      </w:r>
    </w:p>
    <w:p w14:paraId="1A6C174A" w14:textId="77777777" w:rsidR="009A3D6D" w:rsidRPr="00202338" w:rsidRDefault="009A3D6D" w:rsidP="009A3D6D">
      <w:pPr>
        <w:jc w:val="both"/>
        <w:rPr>
          <w:rStyle w:val="Hyperlink"/>
          <w:sz w:val="22"/>
          <w:szCs w:val="22"/>
        </w:rPr>
      </w:pPr>
    </w:p>
    <w:p w14:paraId="3FC63578" w14:textId="72FAA713" w:rsidR="009A3D6D" w:rsidRPr="00202338" w:rsidRDefault="009A3D6D" w:rsidP="009A3D6D">
      <w:pPr>
        <w:jc w:val="both"/>
        <w:rPr>
          <w:sz w:val="22"/>
          <w:szCs w:val="22"/>
        </w:rPr>
      </w:pPr>
      <w:r w:rsidRPr="00202338">
        <w:rPr>
          <w:sz w:val="22"/>
          <w:szCs w:val="22"/>
        </w:rPr>
        <w:t xml:space="preserve">The Company has adopted a number of policies applicable to directors, officers and employees and, in some cases, to suppliers and contractors as well, which, in addition to the Company’s corporate governance arrangements set out above, are designed to provide the Company with a positive corporate culture that understands and meets shareholder and stakeholder needs and expectations whilst delivering long-term value for shareholders.  The Company’s policies include a Share Dealing Policy; an Insider Dealing and Market Abuse Policy, an Anti-Bribery and Corruption Policy, a Whistleblowing Policy, a Social Media Policy and the Company’s Code of Conduct; </w:t>
      </w:r>
    </w:p>
    <w:p w14:paraId="31FE104A" w14:textId="77777777" w:rsidR="009A3D6D" w:rsidRPr="00202338" w:rsidRDefault="009A3D6D" w:rsidP="009A3D6D">
      <w:pPr>
        <w:jc w:val="both"/>
        <w:rPr>
          <w:sz w:val="22"/>
          <w:szCs w:val="22"/>
        </w:rPr>
      </w:pPr>
    </w:p>
    <w:p w14:paraId="7AC3BC99" w14:textId="1E782276" w:rsidR="009A3D6D" w:rsidRPr="00202338" w:rsidRDefault="009A3D6D" w:rsidP="009A3D6D">
      <w:pPr>
        <w:jc w:val="both"/>
        <w:rPr>
          <w:sz w:val="22"/>
          <w:szCs w:val="22"/>
        </w:rPr>
      </w:pPr>
      <w:r w:rsidRPr="00202338">
        <w:rPr>
          <w:sz w:val="22"/>
          <w:szCs w:val="22"/>
        </w:rPr>
        <w:t xml:space="preserve">The Board recognises that its mineral exploration and development activities can have an impact on the local environment and communities in close proximity to its operations.  The Company seeks to engage positively and to develop close relationships with local communities, regulatory authorities and stakeholders which are in close proximity to or connected with its </w:t>
      </w:r>
      <w:r w:rsidRPr="00656716">
        <w:rPr>
          <w:sz w:val="22"/>
          <w:szCs w:val="22"/>
        </w:rPr>
        <w:t>operations and where appropriate the Board will take steps to safeguard the interests of such stakeholders.</w:t>
      </w:r>
      <w:r w:rsidRPr="00202338">
        <w:rPr>
          <w:sz w:val="22"/>
          <w:szCs w:val="22"/>
        </w:rPr>
        <w:t xml:space="preserve">  </w:t>
      </w:r>
    </w:p>
    <w:p w14:paraId="422731FE" w14:textId="0881FC2F" w:rsidR="009A3D6D" w:rsidRPr="00202338" w:rsidRDefault="009A3D6D" w:rsidP="009A3D6D">
      <w:pPr>
        <w:jc w:val="both"/>
        <w:rPr>
          <w:sz w:val="22"/>
          <w:szCs w:val="22"/>
        </w:rPr>
      </w:pPr>
    </w:p>
    <w:p w14:paraId="3234EC71" w14:textId="77777777" w:rsidR="009A3D6D" w:rsidRPr="00202338" w:rsidRDefault="009A3D6D" w:rsidP="009A3D6D">
      <w:pPr>
        <w:jc w:val="both"/>
        <w:rPr>
          <w:rStyle w:val="A1"/>
          <w:rFonts w:cs="Times New Roman"/>
          <w:b/>
          <w:sz w:val="22"/>
          <w:szCs w:val="22"/>
        </w:rPr>
      </w:pPr>
      <w:r w:rsidRPr="00202338">
        <w:rPr>
          <w:rStyle w:val="A2"/>
          <w:rFonts w:ascii="Times New Roman" w:hAnsi="Times New Roman" w:cs="Times New Roman"/>
          <w:b/>
          <w:sz w:val="22"/>
          <w:szCs w:val="22"/>
        </w:rPr>
        <w:t xml:space="preserve">Principle Nine: </w:t>
      </w:r>
      <w:r w:rsidRPr="00202338">
        <w:rPr>
          <w:rStyle w:val="A1"/>
          <w:rFonts w:cs="Times New Roman"/>
          <w:b/>
          <w:sz w:val="22"/>
          <w:szCs w:val="22"/>
        </w:rPr>
        <w:t>Maintain governance structures and processes that are fit for purpose and support good decision-making by the Board.</w:t>
      </w:r>
    </w:p>
    <w:p w14:paraId="335F6CD7" w14:textId="77777777" w:rsidR="009A3D6D" w:rsidRPr="00202338" w:rsidRDefault="009A3D6D" w:rsidP="009A3D6D">
      <w:pPr>
        <w:jc w:val="both"/>
        <w:rPr>
          <w:rStyle w:val="A1"/>
          <w:rFonts w:cs="Times New Roman"/>
          <w:b/>
          <w:sz w:val="22"/>
          <w:szCs w:val="22"/>
        </w:rPr>
      </w:pPr>
    </w:p>
    <w:p w14:paraId="6EDF3A03" w14:textId="77777777" w:rsidR="009A3D6D" w:rsidRPr="00202338" w:rsidRDefault="009A3D6D" w:rsidP="009A3D6D">
      <w:pPr>
        <w:jc w:val="both"/>
        <w:rPr>
          <w:sz w:val="22"/>
          <w:szCs w:val="22"/>
        </w:rPr>
      </w:pPr>
      <w:r w:rsidRPr="00202338">
        <w:rPr>
          <w:rStyle w:val="A1"/>
          <w:rFonts w:cs="Times New Roman"/>
          <w:sz w:val="22"/>
          <w:szCs w:val="22"/>
        </w:rPr>
        <w:t>Whilst the Board has overall responsibility for all aspects of the business, Christopher Latilla-Campbell, the</w:t>
      </w:r>
      <w:r w:rsidRPr="00202338">
        <w:rPr>
          <w:sz w:val="22"/>
          <w:szCs w:val="22"/>
        </w:rPr>
        <w:t xml:space="preserve"> non-executive Chairman, is responsible for overseeing the running of the Board and ensuring that Board focuses on and agrees the Group’s long-term direction and its business strategy and reviews and monitors the general performance of the Group in implementing its strategic objectives and its achievements. Key operational and financial decisions are reserved for the Board through quarterly project reviews, annual budgets, and quarterly budget and cash-flow forecasts and on an ad hoc basis where required.</w:t>
      </w:r>
    </w:p>
    <w:p w14:paraId="04C170FE" w14:textId="77777777" w:rsidR="009A3D6D" w:rsidRPr="00202338" w:rsidRDefault="009A3D6D" w:rsidP="009A3D6D">
      <w:pPr>
        <w:jc w:val="both"/>
        <w:rPr>
          <w:sz w:val="22"/>
          <w:szCs w:val="22"/>
        </w:rPr>
      </w:pPr>
    </w:p>
    <w:p w14:paraId="0C1862F8" w14:textId="30B99368" w:rsidR="009A3D6D" w:rsidRDefault="009A3D6D" w:rsidP="009A3D6D">
      <w:pPr>
        <w:jc w:val="both"/>
        <w:rPr>
          <w:sz w:val="22"/>
          <w:szCs w:val="22"/>
        </w:rPr>
      </w:pPr>
      <w:r w:rsidRPr="00202338">
        <w:rPr>
          <w:sz w:val="22"/>
          <w:szCs w:val="22"/>
        </w:rPr>
        <w:t xml:space="preserve">As non-executive Chairman, Christopher Latilla-Campbell has overall responsibility for corporate governance matters in the Group. Christopher Latilla-Campbell and Christian </w:t>
      </w:r>
      <w:proofErr w:type="spellStart"/>
      <w:r w:rsidRPr="00202338">
        <w:rPr>
          <w:sz w:val="22"/>
          <w:szCs w:val="22"/>
        </w:rPr>
        <w:t>Schaffalitzky</w:t>
      </w:r>
      <w:proofErr w:type="spellEnd"/>
      <w:r w:rsidR="008D1B64">
        <w:rPr>
          <w:sz w:val="22"/>
          <w:szCs w:val="22"/>
        </w:rPr>
        <w:t xml:space="preserve"> de </w:t>
      </w:r>
      <w:proofErr w:type="spellStart"/>
      <w:r w:rsidR="008D1B64">
        <w:rPr>
          <w:sz w:val="22"/>
          <w:szCs w:val="22"/>
        </w:rPr>
        <w:t>Muckadell</w:t>
      </w:r>
      <w:proofErr w:type="spellEnd"/>
      <w:r w:rsidRPr="00202338">
        <w:rPr>
          <w:sz w:val="22"/>
          <w:szCs w:val="22"/>
        </w:rPr>
        <w:t xml:space="preserve">, the Company’s </w:t>
      </w:r>
      <w:r w:rsidRPr="00202338">
        <w:rPr>
          <w:rStyle w:val="A1"/>
          <w:rFonts w:cs="Times New Roman"/>
          <w:sz w:val="22"/>
          <w:szCs w:val="22"/>
        </w:rPr>
        <w:t xml:space="preserve">two non-executive </w:t>
      </w:r>
      <w:r w:rsidR="0031081D">
        <w:rPr>
          <w:rStyle w:val="A1"/>
          <w:rFonts w:cs="Times New Roman"/>
          <w:sz w:val="22"/>
          <w:szCs w:val="22"/>
        </w:rPr>
        <w:t>D</w:t>
      </w:r>
      <w:r w:rsidRPr="00202338">
        <w:rPr>
          <w:rStyle w:val="A1"/>
          <w:rFonts w:cs="Times New Roman"/>
          <w:sz w:val="22"/>
          <w:szCs w:val="22"/>
        </w:rPr>
        <w:t xml:space="preserve">irectors, are responsible </w:t>
      </w:r>
      <w:r w:rsidRPr="00202338">
        <w:rPr>
          <w:sz w:val="22"/>
          <w:szCs w:val="22"/>
        </w:rPr>
        <w:t xml:space="preserve">for bringing independent and objective judgment to Board decisions. </w:t>
      </w:r>
    </w:p>
    <w:p w14:paraId="5B1F556F" w14:textId="5C1D7178" w:rsidR="00B77B57" w:rsidRDefault="00B77B57" w:rsidP="009A3D6D">
      <w:pPr>
        <w:jc w:val="both"/>
        <w:rPr>
          <w:sz w:val="22"/>
          <w:szCs w:val="22"/>
        </w:rPr>
      </w:pPr>
    </w:p>
    <w:p w14:paraId="592897C5" w14:textId="77777777" w:rsidR="00B77B57" w:rsidRPr="00202338" w:rsidRDefault="00B77B57" w:rsidP="00B77B57">
      <w:pPr>
        <w:jc w:val="both"/>
        <w:rPr>
          <w:sz w:val="22"/>
          <w:szCs w:val="22"/>
        </w:rPr>
      </w:pPr>
      <w:r w:rsidRPr="00202338">
        <w:rPr>
          <w:sz w:val="22"/>
          <w:szCs w:val="22"/>
        </w:rPr>
        <w:t>The Board has established Audit and Remuneration Committees with formally delegated duties and responsibilities. Further details of these committees are set out above.</w:t>
      </w:r>
    </w:p>
    <w:p w14:paraId="0553559C" w14:textId="77777777" w:rsidR="00B77B57" w:rsidRPr="00202338" w:rsidRDefault="00B77B57" w:rsidP="00B77B57">
      <w:pPr>
        <w:jc w:val="both"/>
        <w:rPr>
          <w:sz w:val="22"/>
          <w:szCs w:val="22"/>
        </w:rPr>
      </w:pPr>
    </w:p>
    <w:p w14:paraId="6907EA81" w14:textId="77777777" w:rsidR="00B77B57" w:rsidRPr="00202338" w:rsidRDefault="00B77B57" w:rsidP="00B77B57">
      <w:pPr>
        <w:jc w:val="both"/>
        <w:rPr>
          <w:sz w:val="22"/>
          <w:szCs w:val="22"/>
        </w:rPr>
      </w:pPr>
      <w:r w:rsidRPr="00202338">
        <w:rPr>
          <w:sz w:val="22"/>
          <w:szCs w:val="22"/>
        </w:rPr>
        <w:t>Rolf Gerritsen, the Chief Executive Officer, has the responsibility for implementing the strategy of the Board and managing the business activities of the Group on a day to day basis.</w:t>
      </w:r>
    </w:p>
    <w:p w14:paraId="63E09E92" w14:textId="65722289" w:rsidR="00AB192C" w:rsidRDefault="00AB192C" w:rsidP="00AB192C">
      <w:pPr>
        <w:pStyle w:val="Heading2"/>
      </w:pPr>
      <w:r>
        <w:t>CORPORATE GOVERNANCE STATEMENT</w:t>
      </w:r>
      <w:r w:rsidR="00275562">
        <w:t xml:space="preserve"> (</w:t>
      </w:r>
      <w:r>
        <w:t>continued</w:t>
      </w:r>
      <w:r w:rsidR="00275562">
        <w:t>)</w:t>
      </w:r>
    </w:p>
    <w:p w14:paraId="450DC91C" w14:textId="77777777" w:rsidR="00AB192C" w:rsidRDefault="00AB192C" w:rsidP="009A3D6D">
      <w:pPr>
        <w:jc w:val="both"/>
        <w:rPr>
          <w:sz w:val="22"/>
          <w:szCs w:val="22"/>
        </w:rPr>
      </w:pPr>
    </w:p>
    <w:p w14:paraId="2A936F83" w14:textId="77777777" w:rsidR="009A3D6D" w:rsidRPr="00202338" w:rsidRDefault="009A3D6D" w:rsidP="009A3D6D">
      <w:pPr>
        <w:jc w:val="both"/>
        <w:rPr>
          <w:sz w:val="22"/>
          <w:szCs w:val="22"/>
        </w:rPr>
      </w:pPr>
      <w:r w:rsidRPr="00202338">
        <w:rPr>
          <w:sz w:val="22"/>
          <w:szCs w:val="22"/>
        </w:rPr>
        <w:t xml:space="preserve">City Group, the Company Secretary, is responsible for ensuring that Board procedures are followed, and applicable rules and regulations are complied with. </w:t>
      </w:r>
    </w:p>
    <w:p w14:paraId="7529ABA9" w14:textId="77777777" w:rsidR="009A3D6D" w:rsidRPr="00202338" w:rsidRDefault="009A3D6D" w:rsidP="009A3D6D">
      <w:pPr>
        <w:jc w:val="both"/>
        <w:rPr>
          <w:sz w:val="22"/>
          <w:szCs w:val="22"/>
        </w:rPr>
      </w:pPr>
    </w:p>
    <w:p w14:paraId="5AAB5FA4" w14:textId="77777777" w:rsidR="009A3D6D" w:rsidRPr="00202338" w:rsidRDefault="009A3D6D" w:rsidP="009A3D6D">
      <w:pPr>
        <w:jc w:val="both"/>
        <w:rPr>
          <w:rStyle w:val="A2"/>
          <w:rFonts w:ascii="Times New Roman" w:hAnsi="Times New Roman" w:cs="Times New Roman"/>
          <w:sz w:val="22"/>
          <w:szCs w:val="22"/>
        </w:rPr>
      </w:pPr>
      <w:r w:rsidRPr="00202338">
        <w:rPr>
          <w:rStyle w:val="A2"/>
          <w:rFonts w:ascii="Times New Roman" w:hAnsi="Times New Roman" w:cs="Times New Roman"/>
          <w:sz w:val="22"/>
          <w:szCs w:val="22"/>
        </w:rPr>
        <w:t>This Corporate Governance Statement will be reviewed at least annually to ensure that the Company’s corporate governance framework evolves in line with the Company’s strategy and business plan.</w:t>
      </w:r>
    </w:p>
    <w:p w14:paraId="1BA29569" w14:textId="77777777" w:rsidR="009A3D6D" w:rsidRPr="00202338" w:rsidRDefault="009A3D6D" w:rsidP="009A3D6D">
      <w:pPr>
        <w:jc w:val="both"/>
        <w:rPr>
          <w:rStyle w:val="A2"/>
          <w:rFonts w:ascii="Times New Roman" w:hAnsi="Times New Roman" w:cs="Times New Roman"/>
          <w:sz w:val="22"/>
          <w:szCs w:val="22"/>
        </w:rPr>
      </w:pPr>
    </w:p>
    <w:p w14:paraId="474A9138" w14:textId="77777777" w:rsidR="009A3D6D" w:rsidRPr="00202338" w:rsidRDefault="009A3D6D" w:rsidP="009A3D6D">
      <w:pPr>
        <w:jc w:val="both"/>
        <w:rPr>
          <w:rStyle w:val="A1"/>
          <w:rFonts w:cs="Times New Roman"/>
          <w:b/>
          <w:sz w:val="22"/>
          <w:szCs w:val="22"/>
        </w:rPr>
      </w:pPr>
      <w:r w:rsidRPr="00202338">
        <w:rPr>
          <w:rStyle w:val="A2"/>
          <w:rFonts w:ascii="Times New Roman" w:hAnsi="Times New Roman" w:cs="Times New Roman"/>
          <w:b/>
          <w:sz w:val="22"/>
          <w:szCs w:val="22"/>
        </w:rPr>
        <w:t xml:space="preserve">Principle Ten: </w:t>
      </w:r>
      <w:r w:rsidRPr="00202338">
        <w:rPr>
          <w:rStyle w:val="A1"/>
          <w:rFonts w:cs="Times New Roman"/>
          <w:b/>
          <w:sz w:val="22"/>
          <w:szCs w:val="22"/>
        </w:rPr>
        <w:t>Communicate how the Company is governed and is performing by maintaining a dialogue with shareholders and other relevant stakeholders.</w:t>
      </w:r>
    </w:p>
    <w:p w14:paraId="12B1F467" w14:textId="77777777" w:rsidR="009A3D6D" w:rsidRPr="00202338" w:rsidRDefault="009A3D6D" w:rsidP="009A3D6D">
      <w:pPr>
        <w:jc w:val="both"/>
        <w:rPr>
          <w:rStyle w:val="A1"/>
          <w:rFonts w:cs="Times New Roman"/>
          <w:b/>
          <w:sz w:val="22"/>
          <w:szCs w:val="22"/>
        </w:rPr>
      </w:pPr>
    </w:p>
    <w:p w14:paraId="4FF9CBD7" w14:textId="056118AA" w:rsidR="009A3D6D" w:rsidRPr="00202338" w:rsidRDefault="009A3D6D" w:rsidP="009A3D6D">
      <w:pPr>
        <w:jc w:val="both"/>
        <w:rPr>
          <w:sz w:val="22"/>
          <w:szCs w:val="22"/>
        </w:rPr>
      </w:pPr>
      <w:r w:rsidRPr="00202338">
        <w:rPr>
          <w:sz w:val="22"/>
          <w:szCs w:val="22"/>
        </w:rPr>
        <w:t xml:space="preserve">The Company is committed to maintaining good communication with its shareholders, the Company’s key stakeholder group. Members of the Board regularly communicate with, and encourage feedback from, its shareholders. The Company’s website is regularly </w:t>
      </w:r>
      <w:r w:rsidRPr="00B77B57">
        <w:rPr>
          <w:sz w:val="22"/>
          <w:szCs w:val="22"/>
        </w:rPr>
        <w:t xml:space="preserve">updated and users, including shareholders, can </w:t>
      </w:r>
      <w:r w:rsidR="00B77B57">
        <w:rPr>
          <w:sz w:val="22"/>
          <w:szCs w:val="22"/>
        </w:rPr>
        <w:t xml:space="preserve">contact the Company using </w:t>
      </w:r>
      <w:r w:rsidR="003E1C58">
        <w:rPr>
          <w:sz w:val="22"/>
          <w:szCs w:val="22"/>
        </w:rPr>
        <w:t xml:space="preserve">the </w:t>
      </w:r>
      <w:r w:rsidRPr="00202338">
        <w:rPr>
          <w:sz w:val="22"/>
          <w:szCs w:val="22"/>
        </w:rPr>
        <w:t>contact details on the website should stakeholders wish to make enquiries of management.</w:t>
      </w:r>
    </w:p>
    <w:p w14:paraId="3D0DC854" w14:textId="77777777" w:rsidR="009A3D6D" w:rsidRPr="00202338" w:rsidRDefault="009A3D6D" w:rsidP="009A3D6D">
      <w:pPr>
        <w:jc w:val="both"/>
        <w:rPr>
          <w:sz w:val="22"/>
          <w:szCs w:val="22"/>
        </w:rPr>
      </w:pPr>
    </w:p>
    <w:p w14:paraId="54CB1475" w14:textId="119524CA" w:rsidR="009A3D6D" w:rsidRPr="00202338" w:rsidRDefault="009A3D6D" w:rsidP="009A3D6D">
      <w:pPr>
        <w:jc w:val="both"/>
        <w:rPr>
          <w:sz w:val="22"/>
          <w:szCs w:val="22"/>
        </w:rPr>
      </w:pPr>
      <w:r w:rsidRPr="00202338">
        <w:rPr>
          <w:sz w:val="22"/>
          <w:szCs w:val="22"/>
        </w:rPr>
        <w:t xml:space="preserve">The Group’s financial reports, its Annual Report and Accounts and Interim </w:t>
      </w:r>
      <w:r w:rsidR="0007536F">
        <w:rPr>
          <w:sz w:val="22"/>
          <w:szCs w:val="22"/>
        </w:rPr>
        <w:t>R</w:t>
      </w:r>
      <w:r w:rsidRPr="00202338">
        <w:rPr>
          <w:sz w:val="22"/>
          <w:szCs w:val="22"/>
        </w:rPr>
        <w:t xml:space="preserve">esults Announcements, can be found in the Investors section of the website, </w:t>
      </w:r>
      <w:hyperlink r:id="rId21" w:history="1">
        <w:r w:rsidRPr="00202338">
          <w:rPr>
            <w:rStyle w:val="Hyperlink"/>
            <w:sz w:val="22"/>
            <w:szCs w:val="22"/>
          </w:rPr>
          <w:t>www.metalnrg.com</w:t>
        </w:r>
      </w:hyperlink>
    </w:p>
    <w:p w14:paraId="0DDCB375" w14:textId="77777777" w:rsidR="009A3D6D" w:rsidRPr="00202338" w:rsidRDefault="009A3D6D" w:rsidP="009A3D6D">
      <w:pPr>
        <w:jc w:val="both"/>
        <w:rPr>
          <w:color w:val="393939"/>
          <w:sz w:val="22"/>
          <w:szCs w:val="22"/>
        </w:rPr>
      </w:pPr>
    </w:p>
    <w:p w14:paraId="66DD5902" w14:textId="77777777" w:rsidR="009A3D6D" w:rsidRPr="00202338" w:rsidRDefault="009A3D6D" w:rsidP="009A3D6D">
      <w:pPr>
        <w:jc w:val="both"/>
        <w:rPr>
          <w:sz w:val="22"/>
          <w:szCs w:val="22"/>
        </w:rPr>
      </w:pPr>
      <w:r w:rsidRPr="00202338">
        <w:rPr>
          <w:sz w:val="22"/>
          <w:szCs w:val="22"/>
        </w:rPr>
        <w:t>Notices of General Meetings are posted to shareholders and copies for the past four years are available on the Company’s website.</w:t>
      </w:r>
    </w:p>
    <w:p w14:paraId="54AC82D5" w14:textId="77777777" w:rsidR="009A3D6D" w:rsidRPr="00202338" w:rsidRDefault="009A3D6D" w:rsidP="009A3D6D">
      <w:pPr>
        <w:jc w:val="both"/>
        <w:rPr>
          <w:sz w:val="22"/>
          <w:szCs w:val="22"/>
        </w:rPr>
      </w:pPr>
    </w:p>
    <w:p w14:paraId="79240ECD" w14:textId="6EE828A2" w:rsidR="009A3D6D" w:rsidRPr="00202338" w:rsidRDefault="009A3D6D" w:rsidP="009A3D6D">
      <w:pPr>
        <w:jc w:val="both"/>
        <w:rPr>
          <w:b/>
          <w:bCs/>
          <w:color w:val="000000"/>
          <w:sz w:val="22"/>
          <w:szCs w:val="22"/>
        </w:rPr>
      </w:pPr>
      <w:r w:rsidRPr="003E1C58">
        <w:rPr>
          <w:sz w:val="22"/>
          <w:szCs w:val="22"/>
        </w:rPr>
        <w:t>The results of voting on all resolutions in future general meetings will be posted to the Company’s website, including any actions to be taken as a result of resolutions for which votes against have been received from 20 per cent</w:t>
      </w:r>
      <w:r w:rsidR="002F76A8">
        <w:rPr>
          <w:sz w:val="22"/>
          <w:szCs w:val="22"/>
        </w:rPr>
        <w:t xml:space="preserve"> or more</w:t>
      </w:r>
      <w:r w:rsidRPr="003E1C58">
        <w:rPr>
          <w:sz w:val="22"/>
          <w:szCs w:val="22"/>
        </w:rPr>
        <w:t xml:space="preserve"> of independent votes</w:t>
      </w:r>
      <w:r w:rsidR="002F76A8">
        <w:rPr>
          <w:sz w:val="22"/>
          <w:szCs w:val="22"/>
        </w:rPr>
        <w:t xml:space="preserve"> cast</w:t>
      </w:r>
      <w:r w:rsidRPr="003E1C58">
        <w:rPr>
          <w:sz w:val="22"/>
          <w:szCs w:val="22"/>
        </w:rPr>
        <w:t>.</w:t>
      </w:r>
    </w:p>
    <w:p w14:paraId="042003D8" w14:textId="18679607" w:rsidR="000F7CE3" w:rsidRDefault="000F7CE3">
      <w:pPr>
        <w:overflowPunct/>
        <w:autoSpaceDE/>
        <w:autoSpaceDN/>
        <w:adjustRightInd/>
        <w:textAlignment w:val="auto"/>
      </w:pPr>
    </w:p>
    <w:p w14:paraId="58F33CD2" w14:textId="06711990" w:rsidR="007D0070" w:rsidRDefault="007D0070">
      <w:pPr>
        <w:overflowPunct/>
        <w:autoSpaceDE/>
        <w:autoSpaceDN/>
        <w:adjustRightInd/>
        <w:textAlignment w:val="auto"/>
      </w:pPr>
    </w:p>
    <w:p w14:paraId="3BEE518D" w14:textId="40BB5674" w:rsidR="007D0070" w:rsidRDefault="007D0070">
      <w:pPr>
        <w:overflowPunct/>
        <w:autoSpaceDE/>
        <w:autoSpaceDN/>
        <w:adjustRightInd/>
        <w:textAlignment w:val="auto"/>
      </w:pPr>
    </w:p>
    <w:p w14:paraId="6DF07DE0" w14:textId="3E19DD22" w:rsidR="007D0070" w:rsidRDefault="007D0070">
      <w:pPr>
        <w:overflowPunct/>
        <w:autoSpaceDE/>
        <w:autoSpaceDN/>
        <w:adjustRightInd/>
        <w:textAlignment w:val="auto"/>
      </w:pPr>
    </w:p>
    <w:p w14:paraId="0145246B" w14:textId="5492BFC9" w:rsidR="007D0070" w:rsidRDefault="007D0070">
      <w:pPr>
        <w:overflowPunct/>
        <w:autoSpaceDE/>
        <w:autoSpaceDN/>
        <w:adjustRightInd/>
        <w:textAlignment w:val="auto"/>
      </w:pPr>
    </w:p>
    <w:p w14:paraId="1CD47497" w14:textId="1D897962" w:rsidR="007D0070" w:rsidRDefault="007D0070">
      <w:pPr>
        <w:overflowPunct/>
        <w:autoSpaceDE/>
        <w:autoSpaceDN/>
        <w:adjustRightInd/>
        <w:textAlignment w:val="auto"/>
      </w:pPr>
    </w:p>
    <w:p w14:paraId="3E0264BE" w14:textId="7CDF9314" w:rsidR="007D0070" w:rsidRDefault="007D0070">
      <w:pPr>
        <w:overflowPunct/>
        <w:autoSpaceDE/>
        <w:autoSpaceDN/>
        <w:adjustRightInd/>
        <w:textAlignment w:val="auto"/>
      </w:pPr>
    </w:p>
    <w:p w14:paraId="281A601A" w14:textId="16E58669" w:rsidR="007D0070" w:rsidRDefault="007D0070">
      <w:pPr>
        <w:overflowPunct/>
        <w:autoSpaceDE/>
        <w:autoSpaceDN/>
        <w:adjustRightInd/>
        <w:textAlignment w:val="auto"/>
      </w:pPr>
    </w:p>
    <w:p w14:paraId="7E623020" w14:textId="17DD2E7E" w:rsidR="007D0070" w:rsidRDefault="007D0070">
      <w:pPr>
        <w:overflowPunct/>
        <w:autoSpaceDE/>
        <w:autoSpaceDN/>
        <w:adjustRightInd/>
        <w:textAlignment w:val="auto"/>
      </w:pPr>
    </w:p>
    <w:p w14:paraId="1B4D5CC9" w14:textId="01ED49AA" w:rsidR="007D0070" w:rsidRDefault="007D0070">
      <w:pPr>
        <w:overflowPunct/>
        <w:autoSpaceDE/>
        <w:autoSpaceDN/>
        <w:adjustRightInd/>
        <w:textAlignment w:val="auto"/>
      </w:pPr>
    </w:p>
    <w:p w14:paraId="072FAC8B" w14:textId="4AFB034D" w:rsidR="007D0070" w:rsidRDefault="007D0070">
      <w:pPr>
        <w:overflowPunct/>
        <w:autoSpaceDE/>
        <w:autoSpaceDN/>
        <w:adjustRightInd/>
        <w:textAlignment w:val="auto"/>
      </w:pPr>
    </w:p>
    <w:p w14:paraId="1ABA714A" w14:textId="7D98E3A5" w:rsidR="007D0070" w:rsidRDefault="007D0070">
      <w:pPr>
        <w:overflowPunct/>
        <w:autoSpaceDE/>
        <w:autoSpaceDN/>
        <w:adjustRightInd/>
        <w:textAlignment w:val="auto"/>
      </w:pPr>
    </w:p>
    <w:p w14:paraId="6D6220E2" w14:textId="68946653" w:rsidR="007D0070" w:rsidRDefault="007D0070">
      <w:pPr>
        <w:overflowPunct/>
        <w:autoSpaceDE/>
        <w:autoSpaceDN/>
        <w:adjustRightInd/>
        <w:textAlignment w:val="auto"/>
      </w:pPr>
    </w:p>
    <w:p w14:paraId="20267178" w14:textId="7DDBD0F9" w:rsidR="007D0070" w:rsidRDefault="007D0070">
      <w:pPr>
        <w:overflowPunct/>
        <w:autoSpaceDE/>
        <w:autoSpaceDN/>
        <w:adjustRightInd/>
        <w:textAlignment w:val="auto"/>
      </w:pPr>
    </w:p>
    <w:p w14:paraId="74ECCC20" w14:textId="3B5FE894" w:rsidR="007D0070" w:rsidRDefault="007D0070">
      <w:pPr>
        <w:overflowPunct/>
        <w:autoSpaceDE/>
        <w:autoSpaceDN/>
        <w:adjustRightInd/>
        <w:textAlignment w:val="auto"/>
      </w:pPr>
    </w:p>
    <w:p w14:paraId="696A4078" w14:textId="2C38191B" w:rsidR="007D0070" w:rsidRDefault="007D0070">
      <w:pPr>
        <w:overflowPunct/>
        <w:autoSpaceDE/>
        <w:autoSpaceDN/>
        <w:adjustRightInd/>
        <w:textAlignment w:val="auto"/>
      </w:pPr>
    </w:p>
    <w:p w14:paraId="7F27EEA8" w14:textId="39FB98AB" w:rsidR="007D0070" w:rsidRDefault="007D0070">
      <w:pPr>
        <w:overflowPunct/>
        <w:autoSpaceDE/>
        <w:autoSpaceDN/>
        <w:adjustRightInd/>
        <w:textAlignment w:val="auto"/>
      </w:pPr>
    </w:p>
    <w:p w14:paraId="041CB8DC" w14:textId="5CEC7024" w:rsidR="007D0070" w:rsidRDefault="007D0070">
      <w:pPr>
        <w:overflowPunct/>
        <w:autoSpaceDE/>
        <w:autoSpaceDN/>
        <w:adjustRightInd/>
        <w:textAlignment w:val="auto"/>
      </w:pPr>
    </w:p>
    <w:p w14:paraId="7596F2F6" w14:textId="3AF3B80F" w:rsidR="007D0070" w:rsidRDefault="007D0070">
      <w:pPr>
        <w:overflowPunct/>
        <w:autoSpaceDE/>
        <w:autoSpaceDN/>
        <w:adjustRightInd/>
        <w:textAlignment w:val="auto"/>
      </w:pPr>
    </w:p>
    <w:p w14:paraId="32E8F87C" w14:textId="2E916924" w:rsidR="007D0070" w:rsidRDefault="007D0070">
      <w:pPr>
        <w:overflowPunct/>
        <w:autoSpaceDE/>
        <w:autoSpaceDN/>
        <w:adjustRightInd/>
        <w:textAlignment w:val="auto"/>
      </w:pPr>
    </w:p>
    <w:p w14:paraId="1B7B577B" w14:textId="65D7D582" w:rsidR="007D0070" w:rsidRDefault="007D0070">
      <w:pPr>
        <w:overflowPunct/>
        <w:autoSpaceDE/>
        <w:autoSpaceDN/>
        <w:adjustRightInd/>
        <w:textAlignment w:val="auto"/>
      </w:pPr>
    </w:p>
    <w:p w14:paraId="2426D58A" w14:textId="00DAC589" w:rsidR="007D0070" w:rsidRDefault="007D0070">
      <w:pPr>
        <w:overflowPunct/>
        <w:autoSpaceDE/>
        <w:autoSpaceDN/>
        <w:adjustRightInd/>
        <w:textAlignment w:val="auto"/>
      </w:pPr>
    </w:p>
    <w:p w14:paraId="63D8C74C" w14:textId="0E62A719" w:rsidR="007D0070" w:rsidRDefault="007D0070">
      <w:pPr>
        <w:overflowPunct/>
        <w:autoSpaceDE/>
        <w:autoSpaceDN/>
        <w:adjustRightInd/>
        <w:textAlignment w:val="auto"/>
      </w:pPr>
    </w:p>
    <w:p w14:paraId="79B12C04" w14:textId="1CF28FAA" w:rsidR="007D0070" w:rsidRDefault="007D0070">
      <w:pPr>
        <w:overflowPunct/>
        <w:autoSpaceDE/>
        <w:autoSpaceDN/>
        <w:adjustRightInd/>
        <w:textAlignment w:val="auto"/>
      </w:pPr>
    </w:p>
    <w:p w14:paraId="207E2A20" w14:textId="2322DE66" w:rsidR="007D0070" w:rsidRDefault="007D0070">
      <w:pPr>
        <w:overflowPunct/>
        <w:autoSpaceDE/>
        <w:autoSpaceDN/>
        <w:adjustRightInd/>
        <w:textAlignment w:val="auto"/>
      </w:pPr>
    </w:p>
    <w:p w14:paraId="0BBAC18E" w14:textId="16A0178A" w:rsidR="007D0070" w:rsidRDefault="007D0070">
      <w:pPr>
        <w:overflowPunct/>
        <w:autoSpaceDE/>
        <w:autoSpaceDN/>
        <w:adjustRightInd/>
        <w:textAlignment w:val="auto"/>
      </w:pPr>
    </w:p>
    <w:p w14:paraId="16B3D064" w14:textId="0B4E5C35" w:rsidR="007D0070" w:rsidRDefault="007D0070">
      <w:pPr>
        <w:overflowPunct/>
        <w:autoSpaceDE/>
        <w:autoSpaceDN/>
        <w:adjustRightInd/>
        <w:textAlignment w:val="auto"/>
      </w:pPr>
    </w:p>
    <w:p w14:paraId="5834027E" w14:textId="5E50802D" w:rsidR="007D0070" w:rsidRDefault="007D0070">
      <w:pPr>
        <w:overflowPunct/>
        <w:autoSpaceDE/>
        <w:autoSpaceDN/>
        <w:adjustRightInd/>
        <w:textAlignment w:val="auto"/>
      </w:pPr>
    </w:p>
    <w:p w14:paraId="51522779" w14:textId="57C120BA" w:rsidR="007D0070" w:rsidRDefault="007D0070">
      <w:pPr>
        <w:overflowPunct/>
        <w:autoSpaceDE/>
        <w:autoSpaceDN/>
        <w:adjustRightInd/>
        <w:textAlignment w:val="auto"/>
      </w:pPr>
    </w:p>
    <w:p w14:paraId="27115C42" w14:textId="600D1DE6" w:rsidR="007D0070" w:rsidRDefault="007D0070">
      <w:pPr>
        <w:overflowPunct/>
        <w:autoSpaceDE/>
        <w:autoSpaceDN/>
        <w:adjustRightInd/>
        <w:textAlignment w:val="auto"/>
      </w:pPr>
    </w:p>
    <w:p w14:paraId="7240FD28" w14:textId="423CEA5B" w:rsidR="007D0070" w:rsidRDefault="007D0070">
      <w:pPr>
        <w:overflowPunct/>
        <w:autoSpaceDE/>
        <w:autoSpaceDN/>
        <w:adjustRightInd/>
        <w:textAlignment w:val="auto"/>
      </w:pPr>
    </w:p>
    <w:p w14:paraId="35F78498" w14:textId="73A68565" w:rsidR="007D0070" w:rsidRDefault="007D0070">
      <w:pPr>
        <w:overflowPunct/>
        <w:autoSpaceDE/>
        <w:autoSpaceDN/>
        <w:adjustRightInd/>
        <w:textAlignment w:val="auto"/>
      </w:pPr>
    </w:p>
    <w:p w14:paraId="56586D26" w14:textId="19603595" w:rsidR="007D0070" w:rsidRDefault="007D0070">
      <w:pPr>
        <w:overflowPunct/>
        <w:autoSpaceDE/>
        <w:autoSpaceDN/>
        <w:adjustRightInd/>
        <w:textAlignment w:val="auto"/>
      </w:pPr>
    </w:p>
    <w:p w14:paraId="1AF44263" w14:textId="27A39EB7" w:rsidR="007D0070" w:rsidRDefault="007D0070">
      <w:pPr>
        <w:overflowPunct/>
        <w:autoSpaceDE/>
        <w:autoSpaceDN/>
        <w:adjustRightInd/>
        <w:textAlignment w:val="auto"/>
      </w:pPr>
    </w:p>
    <w:p w14:paraId="4B0CA8A6" w14:textId="77777777" w:rsidR="007D0070" w:rsidRDefault="007D0070">
      <w:pPr>
        <w:overflowPunct/>
        <w:autoSpaceDE/>
        <w:autoSpaceDN/>
        <w:adjustRightInd/>
        <w:textAlignment w:val="auto"/>
      </w:pPr>
    </w:p>
    <w:p w14:paraId="50BCAD9D" w14:textId="66A3C3A0" w:rsidR="007D0070" w:rsidRPr="00FC1793" w:rsidRDefault="007D0070" w:rsidP="00275562">
      <w:pPr>
        <w:spacing w:after="120"/>
        <w:jc w:val="center"/>
        <w:rPr>
          <w:b/>
          <w:bCs/>
          <w:sz w:val="22"/>
          <w:szCs w:val="22"/>
        </w:rPr>
      </w:pPr>
      <w:r w:rsidRPr="001C10F8">
        <w:rPr>
          <w:b/>
          <w:bCs/>
          <w:sz w:val="22"/>
          <w:szCs w:val="22"/>
        </w:rPr>
        <w:t>DIRECTORS’ REMUNERATION REPORT</w:t>
      </w:r>
    </w:p>
    <w:p w14:paraId="715D3108" w14:textId="50F8A3A5" w:rsidR="007D0070" w:rsidRPr="00FC1793" w:rsidRDefault="007D0070" w:rsidP="007D0070">
      <w:pPr>
        <w:spacing w:after="120"/>
        <w:jc w:val="both"/>
        <w:rPr>
          <w:sz w:val="22"/>
          <w:szCs w:val="22"/>
        </w:rPr>
      </w:pPr>
      <w:r w:rsidRPr="00FC1793">
        <w:rPr>
          <w:sz w:val="22"/>
          <w:szCs w:val="22"/>
        </w:rPr>
        <w:t xml:space="preserve">The Company </w:t>
      </w:r>
      <w:r>
        <w:rPr>
          <w:sz w:val="22"/>
          <w:szCs w:val="22"/>
        </w:rPr>
        <w:t xml:space="preserve">has </w:t>
      </w:r>
      <w:r w:rsidRPr="00FC1793">
        <w:rPr>
          <w:sz w:val="22"/>
          <w:szCs w:val="22"/>
        </w:rPr>
        <w:t>establish</w:t>
      </w:r>
      <w:r>
        <w:rPr>
          <w:sz w:val="22"/>
          <w:szCs w:val="22"/>
        </w:rPr>
        <w:t>ed</w:t>
      </w:r>
      <w:r w:rsidRPr="00FC1793">
        <w:rPr>
          <w:sz w:val="22"/>
          <w:szCs w:val="22"/>
        </w:rPr>
        <w:t xml:space="preserve"> a </w:t>
      </w:r>
      <w:r>
        <w:rPr>
          <w:sz w:val="22"/>
          <w:szCs w:val="22"/>
        </w:rPr>
        <w:t>R</w:t>
      </w:r>
      <w:r w:rsidRPr="00FC1793">
        <w:rPr>
          <w:sz w:val="22"/>
          <w:szCs w:val="22"/>
        </w:rPr>
        <w:t xml:space="preserve">emuneration </w:t>
      </w:r>
      <w:r>
        <w:rPr>
          <w:sz w:val="22"/>
          <w:szCs w:val="22"/>
        </w:rPr>
        <w:t>C</w:t>
      </w:r>
      <w:r w:rsidRPr="00FC1793">
        <w:rPr>
          <w:sz w:val="22"/>
          <w:szCs w:val="22"/>
        </w:rPr>
        <w:t xml:space="preserve">ommittee </w:t>
      </w:r>
      <w:r>
        <w:rPr>
          <w:sz w:val="22"/>
          <w:szCs w:val="22"/>
        </w:rPr>
        <w:t xml:space="preserve">which is responsible for reviewing, determining and recommending to the Board the future policy for the remuneration of the directors, </w:t>
      </w:r>
      <w:r w:rsidRPr="00FC1793">
        <w:rPr>
          <w:sz w:val="22"/>
          <w:szCs w:val="22"/>
        </w:rPr>
        <w:t xml:space="preserve">the scale and structure of the </w:t>
      </w:r>
      <w:r w:rsidR="0031081D">
        <w:rPr>
          <w:sz w:val="22"/>
          <w:szCs w:val="22"/>
        </w:rPr>
        <w:t>D</w:t>
      </w:r>
      <w:r w:rsidRPr="00FC1793">
        <w:rPr>
          <w:sz w:val="22"/>
          <w:szCs w:val="22"/>
        </w:rPr>
        <w:t xml:space="preserve">irectors’ fees, taking into account the interests of shareholders and the performance of the Company and </w:t>
      </w:r>
      <w:r w:rsidR="0031081D">
        <w:rPr>
          <w:sz w:val="22"/>
          <w:szCs w:val="22"/>
        </w:rPr>
        <w:t>D</w:t>
      </w:r>
      <w:r w:rsidRPr="00FC1793">
        <w:rPr>
          <w:sz w:val="22"/>
          <w:szCs w:val="22"/>
        </w:rPr>
        <w:t xml:space="preserve">irectors. </w:t>
      </w:r>
    </w:p>
    <w:p w14:paraId="1F2EE74F" w14:textId="77777777" w:rsidR="007D0070" w:rsidRPr="00FC1793" w:rsidRDefault="007D0070" w:rsidP="007D0070">
      <w:pPr>
        <w:spacing w:after="120"/>
        <w:jc w:val="both"/>
        <w:rPr>
          <w:sz w:val="22"/>
          <w:szCs w:val="22"/>
        </w:rPr>
      </w:pPr>
      <w:r w:rsidRPr="00FC1793">
        <w:rPr>
          <w:sz w:val="22"/>
          <w:szCs w:val="22"/>
        </w:rPr>
        <w:t>The items included in this report are audited unless otherwise stated.</w:t>
      </w:r>
    </w:p>
    <w:p w14:paraId="656C8EA6" w14:textId="1482E15A" w:rsidR="007D0070" w:rsidRPr="00FC1793" w:rsidRDefault="007D0070" w:rsidP="007D0070">
      <w:pPr>
        <w:spacing w:after="120"/>
        <w:jc w:val="both"/>
        <w:rPr>
          <w:b/>
          <w:sz w:val="22"/>
          <w:szCs w:val="22"/>
        </w:rPr>
      </w:pPr>
      <w:r w:rsidRPr="00FC1793">
        <w:rPr>
          <w:b/>
          <w:sz w:val="22"/>
          <w:szCs w:val="22"/>
        </w:rPr>
        <w:t>Statement of</w:t>
      </w:r>
      <w:r>
        <w:rPr>
          <w:b/>
          <w:sz w:val="22"/>
          <w:szCs w:val="22"/>
        </w:rPr>
        <w:t xml:space="preserve"> MetalNRG </w:t>
      </w:r>
      <w:r w:rsidRPr="00FC1793">
        <w:rPr>
          <w:b/>
          <w:sz w:val="22"/>
          <w:szCs w:val="22"/>
        </w:rPr>
        <w:t xml:space="preserve">Plc’s policy on </w:t>
      </w:r>
      <w:r>
        <w:rPr>
          <w:b/>
          <w:sz w:val="22"/>
          <w:szCs w:val="22"/>
        </w:rPr>
        <w:t>d</w:t>
      </w:r>
      <w:r w:rsidRPr="00FC1793">
        <w:rPr>
          <w:b/>
          <w:sz w:val="22"/>
          <w:szCs w:val="22"/>
        </w:rPr>
        <w:t xml:space="preserve">irectors’ remuneration by the </w:t>
      </w:r>
      <w:r>
        <w:rPr>
          <w:b/>
          <w:sz w:val="22"/>
          <w:szCs w:val="22"/>
        </w:rPr>
        <w:t xml:space="preserve">Chairman of the Remuneration Committee, Christian </w:t>
      </w:r>
      <w:proofErr w:type="spellStart"/>
      <w:r>
        <w:rPr>
          <w:b/>
          <w:sz w:val="22"/>
          <w:szCs w:val="22"/>
        </w:rPr>
        <w:t>Schaffalitzky</w:t>
      </w:r>
      <w:proofErr w:type="spellEnd"/>
      <w:r w:rsidR="008D1B64">
        <w:rPr>
          <w:b/>
          <w:sz w:val="22"/>
          <w:szCs w:val="22"/>
        </w:rPr>
        <w:t xml:space="preserve"> de </w:t>
      </w:r>
      <w:proofErr w:type="spellStart"/>
      <w:r w:rsidR="008D1B64">
        <w:rPr>
          <w:b/>
          <w:sz w:val="22"/>
          <w:szCs w:val="22"/>
        </w:rPr>
        <w:t>Muckadell</w:t>
      </w:r>
      <w:proofErr w:type="spellEnd"/>
    </w:p>
    <w:p w14:paraId="10A9650D" w14:textId="460EEB60" w:rsidR="007D0070" w:rsidRPr="00FC1793" w:rsidRDefault="007D0070" w:rsidP="007D0070">
      <w:pPr>
        <w:spacing w:after="120"/>
        <w:jc w:val="both"/>
        <w:rPr>
          <w:sz w:val="22"/>
          <w:szCs w:val="22"/>
        </w:rPr>
      </w:pPr>
      <w:r w:rsidRPr="00FC1793">
        <w:rPr>
          <w:sz w:val="22"/>
          <w:szCs w:val="22"/>
        </w:rPr>
        <w:t xml:space="preserve">As </w:t>
      </w:r>
      <w:r>
        <w:rPr>
          <w:sz w:val="22"/>
          <w:szCs w:val="22"/>
        </w:rPr>
        <w:t xml:space="preserve">Chairman of the Remuneration Committee, </w:t>
      </w:r>
      <w:r w:rsidRPr="00FC1793">
        <w:rPr>
          <w:sz w:val="22"/>
          <w:szCs w:val="22"/>
        </w:rPr>
        <w:t xml:space="preserve">I am pleased to introduce our Directors’ Remuneration Report. The Directors’ Remuneration Policy, which is set </w:t>
      </w:r>
      <w:r w:rsidRPr="00315A68">
        <w:rPr>
          <w:sz w:val="22"/>
          <w:szCs w:val="22"/>
        </w:rPr>
        <w:t xml:space="preserve">out on pages </w:t>
      </w:r>
      <w:r w:rsidR="007752DC" w:rsidRPr="00315A68">
        <w:rPr>
          <w:sz w:val="22"/>
          <w:szCs w:val="22"/>
        </w:rPr>
        <w:t>19</w:t>
      </w:r>
      <w:r w:rsidR="00A24082" w:rsidRPr="00315A68">
        <w:rPr>
          <w:sz w:val="22"/>
          <w:szCs w:val="22"/>
        </w:rPr>
        <w:t xml:space="preserve"> </w:t>
      </w:r>
      <w:r w:rsidRPr="00315A68">
        <w:rPr>
          <w:sz w:val="22"/>
          <w:szCs w:val="22"/>
        </w:rPr>
        <w:t xml:space="preserve">to </w:t>
      </w:r>
      <w:r w:rsidR="0021174F" w:rsidRPr="00315A68">
        <w:rPr>
          <w:sz w:val="22"/>
          <w:szCs w:val="22"/>
        </w:rPr>
        <w:t>2</w:t>
      </w:r>
      <w:r w:rsidR="007752DC" w:rsidRPr="00315A68">
        <w:rPr>
          <w:sz w:val="22"/>
          <w:szCs w:val="22"/>
        </w:rPr>
        <w:t>2</w:t>
      </w:r>
      <w:r w:rsidRPr="00315A68">
        <w:rPr>
          <w:sz w:val="22"/>
          <w:szCs w:val="22"/>
        </w:rPr>
        <w:t xml:space="preserve"> of this report, will be submitted to shareholders for approval at our Annual General Meeting on </w:t>
      </w:r>
      <w:r w:rsidR="005E5EB6" w:rsidRPr="00315A68">
        <w:rPr>
          <w:sz w:val="22"/>
          <w:szCs w:val="22"/>
        </w:rPr>
        <w:t>8 June</w:t>
      </w:r>
      <w:r w:rsidR="002C67F8" w:rsidRPr="00315A68">
        <w:rPr>
          <w:sz w:val="22"/>
          <w:szCs w:val="22"/>
        </w:rPr>
        <w:t xml:space="preserve"> 2021</w:t>
      </w:r>
      <w:r w:rsidRPr="00315A68">
        <w:rPr>
          <w:sz w:val="22"/>
          <w:szCs w:val="22"/>
        </w:rPr>
        <w:t>.</w:t>
      </w:r>
      <w:r w:rsidRPr="00FC1793">
        <w:rPr>
          <w:sz w:val="22"/>
          <w:szCs w:val="22"/>
        </w:rPr>
        <w:t xml:space="preserve"> </w:t>
      </w:r>
    </w:p>
    <w:p w14:paraId="4D966908" w14:textId="77777777" w:rsidR="007D0070" w:rsidRPr="00FC1793" w:rsidRDefault="007D0070" w:rsidP="007D0070">
      <w:pPr>
        <w:spacing w:after="120"/>
        <w:jc w:val="both"/>
        <w:rPr>
          <w:sz w:val="22"/>
          <w:szCs w:val="22"/>
        </w:rPr>
      </w:pPr>
      <w:r w:rsidRPr="00FC1793">
        <w:rPr>
          <w:sz w:val="22"/>
          <w:szCs w:val="22"/>
        </w:rPr>
        <w:t xml:space="preserve">A key focus of the Directors’ Remuneration Policy is to align the interests of the </w:t>
      </w:r>
      <w:r>
        <w:rPr>
          <w:sz w:val="22"/>
          <w:szCs w:val="22"/>
        </w:rPr>
        <w:t>d</w:t>
      </w:r>
      <w:r w:rsidRPr="00FC1793">
        <w:rPr>
          <w:sz w:val="22"/>
          <w:szCs w:val="22"/>
        </w:rPr>
        <w:t xml:space="preserve">irectors to the long-term interests of the shareholders and </w:t>
      </w:r>
      <w:r>
        <w:rPr>
          <w:sz w:val="22"/>
          <w:szCs w:val="22"/>
        </w:rPr>
        <w:t xml:space="preserve">it </w:t>
      </w:r>
      <w:r w:rsidRPr="00FC1793">
        <w:rPr>
          <w:sz w:val="22"/>
          <w:szCs w:val="22"/>
        </w:rPr>
        <w:t xml:space="preserve">aims to support a high performance culture with appropriate reward for superior performance, without creating incentives that will encourage excessive risk taking or unsustainable company performance. This </w:t>
      </w:r>
      <w:r>
        <w:rPr>
          <w:sz w:val="22"/>
          <w:szCs w:val="22"/>
        </w:rPr>
        <w:t xml:space="preserve">will be </w:t>
      </w:r>
      <w:r w:rsidRPr="00FC1793">
        <w:rPr>
          <w:sz w:val="22"/>
          <w:szCs w:val="22"/>
        </w:rPr>
        <w:t>underpinned through the implementation and operation of incentive plans.</w:t>
      </w:r>
    </w:p>
    <w:p w14:paraId="1E48326C" w14:textId="45F971D5" w:rsidR="007D0070" w:rsidRPr="00FC1793" w:rsidRDefault="007D0070" w:rsidP="007D0070">
      <w:pPr>
        <w:spacing w:after="120"/>
        <w:jc w:val="both"/>
        <w:rPr>
          <w:sz w:val="22"/>
          <w:szCs w:val="22"/>
        </w:rPr>
      </w:pPr>
      <w:r w:rsidRPr="00FA300E">
        <w:rPr>
          <w:sz w:val="22"/>
          <w:szCs w:val="22"/>
        </w:rPr>
        <w:t xml:space="preserve">The </w:t>
      </w:r>
      <w:r>
        <w:rPr>
          <w:sz w:val="22"/>
          <w:szCs w:val="22"/>
        </w:rPr>
        <w:t>R</w:t>
      </w:r>
      <w:r w:rsidRPr="00FA300E">
        <w:rPr>
          <w:sz w:val="22"/>
          <w:szCs w:val="22"/>
        </w:rPr>
        <w:t xml:space="preserve">emuneration </w:t>
      </w:r>
      <w:r>
        <w:rPr>
          <w:sz w:val="22"/>
          <w:szCs w:val="22"/>
        </w:rPr>
        <w:t>C</w:t>
      </w:r>
      <w:r w:rsidRPr="00FA300E">
        <w:rPr>
          <w:sz w:val="22"/>
          <w:szCs w:val="22"/>
        </w:rPr>
        <w:t xml:space="preserve">ommittee which comprises </w:t>
      </w:r>
      <w:r>
        <w:rPr>
          <w:sz w:val="22"/>
          <w:szCs w:val="22"/>
        </w:rPr>
        <w:t xml:space="preserve">myself </w:t>
      </w:r>
      <w:r w:rsidRPr="00FA300E">
        <w:rPr>
          <w:sz w:val="22"/>
          <w:szCs w:val="22"/>
        </w:rPr>
        <w:t xml:space="preserve">as </w:t>
      </w:r>
      <w:r>
        <w:rPr>
          <w:sz w:val="22"/>
          <w:szCs w:val="22"/>
        </w:rPr>
        <w:t>C</w:t>
      </w:r>
      <w:r w:rsidRPr="00FA300E">
        <w:rPr>
          <w:sz w:val="22"/>
          <w:szCs w:val="22"/>
        </w:rPr>
        <w:t>hairman</w:t>
      </w:r>
      <w:r>
        <w:rPr>
          <w:sz w:val="22"/>
          <w:szCs w:val="22"/>
        </w:rPr>
        <w:t>,</w:t>
      </w:r>
      <w:r w:rsidRPr="00FA300E">
        <w:rPr>
          <w:sz w:val="22"/>
          <w:szCs w:val="22"/>
        </w:rPr>
        <w:t xml:space="preserve"> and Christopher Latilla-Campbell</w:t>
      </w:r>
      <w:r>
        <w:rPr>
          <w:sz w:val="22"/>
          <w:szCs w:val="22"/>
        </w:rPr>
        <w:t>,</w:t>
      </w:r>
      <w:r w:rsidRPr="00FA300E">
        <w:rPr>
          <w:sz w:val="22"/>
          <w:szCs w:val="22"/>
        </w:rPr>
        <w:t xml:space="preserve"> </w:t>
      </w:r>
      <w:r>
        <w:rPr>
          <w:sz w:val="22"/>
          <w:szCs w:val="22"/>
        </w:rPr>
        <w:t xml:space="preserve">will </w:t>
      </w:r>
      <w:r w:rsidRPr="00FA300E">
        <w:rPr>
          <w:sz w:val="22"/>
          <w:szCs w:val="22"/>
        </w:rPr>
        <w:t>meet at least once</w:t>
      </w:r>
      <w:r w:rsidRPr="009A3D6D">
        <w:rPr>
          <w:sz w:val="22"/>
          <w:szCs w:val="22"/>
        </w:rPr>
        <w:t xml:space="preserve"> a year</w:t>
      </w:r>
      <w:r>
        <w:rPr>
          <w:sz w:val="22"/>
          <w:szCs w:val="22"/>
        </w:rPr>
        <w:t>.</w:t>
      </w:r>
      <w:r w:rsidRPr="00FC1793">
        <w:rPr>
          <w:sz w:val="22"/>
          <w:szCs w:val="22"/>
        </w:rPr>
        <w:t xml:space="preserve"> </w:t>
      </w:r>
      <w:r>
        <w:rPr>
          <w:sz w:val="22"/>
          <w:szCs w:val="22"/>
        </w:rPr>
        <w:t>Directors’ r</w:t>
      </w:r>
      <w:r w:rsidRPr="00FC1793">
        <w:rPr>
          <w:sz w:val="22"/>
          <w:szCs w:val="22"/>
        </w:rPr>
        <w:t xml:space="preserve">emuneration is fixed although </w:t>
      </w:r>
      <w:r>
        <w:rPr>
          <w:sz w:val="22"/>
          <w:szCs w:val="22"/>
        </w:rPr>
        <w:t>B</w:t>
      </w:r>
      <w:r w:rsidRPr="00FC1793">
        <w:rPr>
          <w:sz w:val="22"/>
          <w:szCs w:val="22"/>
        </w:rPr>
        <w:t xml:space="preserve">oard meetings are held where the remuneration of </w:t>
      </w:r>
      <w:r w:rsidR="0031081D">
        <w:rPr>
          <w:sz w:val="22"/>
          <w:szCs w:val="22"/>
        </w:rPr>
        <w:t>D</w:t>
      </w:r>
      <w:r w:rsidRPr="00FC1793">
        <w:rPr>
          <w:sz w:val="22"/>
          <w:szCs w:val="22"/>
        </w:rPr>
        <w:t xml:space="preserve">irectors is considered. </w:t>
      </w:r>
    </w:p>
    <w:p w14:paraId="52C31CE5" w14:textId="77777777" w:rsidR="007D0070" w:rsidRPr="00FC1793" w:rsidRDefault="007D0070" w:rsidP="007D0070">
      <w:pPr>
        <w:spacing w:after="120"/>
        <w:jc w:val="both"/>
        <w:rPr>
          <w:b/>
          <w:sz w:val="22"/>
          <w:szCs w:val="22"/>
        </w:rPr>
      </w:pPr>
      <w:r w:rsidRPr="00FC1793">
        <w:rPr>
          <w:b/>
          <w:sz w:val="22"/>
          <w:szCs w:val="22"/>
        </w:rPr>
        <w:t>Remuneration Components</w:t>
      </w:r>
    </w:p>
    <w:p w14:paraId="223857DB" w14:textId="3E0BD8F2" w:rsidR="007D0070" w:rsidRPr="00FC1793" w:rsidRDefault="007D0070" w:rsidP="007D0070">
      <w:pPr>
        <w:spacing w:after="120"/>
        <w:jc w:val="both"/>
        <w:rPr>
          <w:sz w:val="22"/>
          <w:szCs w:val="22"/>
        </w:rPr>
      </w:pPr>
      <w:r w:rsidRPr="00FC1793">
        <w:rPr>
          <w:sz w:val="22"/>
          <w:szCs w:val="22"/>
        </w:rPr>
        <w:t xml:space="preserve">The Company remunerates </w:t>
      </w:r>
      <w:r w:rsidR="0031081D">
        <w:rPr>
          <w:sz w:val="22"/>
          <w:szCs w:val="22"/>
        </w:rPr>
        <w:t>D</w:t>
      </w:r>
      <w:r w:rsidRPr="00FC1793">
        <w:rPr>
          <w:sz w:val="22"/>
          <w:szCs w:val="22"/>
        </w:rPr>
        <w:t xml:space="preserve">irectors in line with best market practice in the industry in which it operates. The components of </w:t>
      </w:r>
      <w:r w:rsidR="0031081D">
        <w:rPr>
          <w:sz w:val="22"/>
          <w:szCs w:val="22"/>
        </w:rPr>
        <w:t>D</w:t>
      </w:r>
      <w:r w:rsidRPr="00FC1793">
        <w:rPr>
          <w:sz w:val="22"/>
          <w:szCs w:val="22"/>
        </w:rPr>
        <w:t>irector remuneration that are considered by the Board for the remuneration of directors consist of:</w:t>
      </w:r>
    </w:p>
    <w:p w14:paraId="668F3E27" w14:textId="77777777" w:rsidR="007D0070" w:rsidRPr="00EC241B" w:rsidRDefault="007D0070" w:rsidP="007D0070">
      <w:pPr>
        <w:pStyle w:val="ListParagraph"/>
        <w:numPr>
          <w:ilvl w:val="0"/>
          <w:numId w:val="21"/>
        </w:numPr>
        <w:spacing w:after="0" w:line="240" w:lineRule="auto"/>
        <w:jc w:val="both"/>
        <w:rPr>
          <w:rFonts w:ascii="Times New Roman" w:hAnsi="Times New Roman"/>
        </w:rPr>
      </w:pPr>
      <w:r w:rsidRPr="00EC241B">
        <w:rPr>
          <w:rFonts w:ascii="Times New Roman" w:hAnsi="Times New Roman"/>
        </w:rPr>
        <w:t>Base salaries</w:t>
      </w:r>
    </w:p>
    <w:p w14:paraId="205056F4" w14:textId="77777777" w:rsidR="007D0070" w:rsidRPr="00EC241B" w:rsidRDefault="007D0070" w:rsidP="007D0070">
      <w:pPr>
        <w:pStyle w:val="ListParagraph"/>
        <w:numPr>
          <w:ilvl w:val="0"/>
          <w:numId w:val="21"/>
        </w:numPr>
        <w:spacing w:after="0" w:line="240" w:lineRule="auto"/>
        <w:jc w:val="both"/>
        <w:rPr>
          <w:rFonts w:ascii="Times New Roman" w:hAnsi="Times New Roman"/>
        </w:rPr>
      </w:pPr>
      <w:r w:rsidRPr="00EC241B">
        <w:rPr>
          <w:rFonts w:ascii="Times New Roman" w:hAnsi="Times New Roman"/>
        </w:rPr>
        <w:t>Pension and other benefits</w:t>
      </w:r>
    </w:p>
    <w:p w14:paraId="4524A0FD" w14:textId="77777777" w:rsidR="007D0070" w:rsidRPr="00EC241B" w:rsidRDefault="007D0070" w:rsidP="007D0070">
      <w:pPr>
        <w:pStyle w:val="ListParagraph"/>
        <w:numPr>
          <w:ilvl w:val="0"/>
          <w:numId w:val="21"/>
        </w:numPr>
        <w:spacing w:after="0" w:line="240" w:lineRule="auto"/>
        <w:jc w:val="both"/>
        <w:rPr>
          <w:rFonts w:ascii="Times New Roman" w:hAnsi="Times New Roman"/>
        </w:rPr>
      </w:pPr>
      <w:r w:rsidRPr="00EC241B">
        <w:rPr>
          <w:rFonts w:ascii="Times New Roman" w:hAnsi="Times New Roman"/>
        </w:rPr>
        <w:t>Annual bonus</w:t>
      </w:r>
    </w:p>
    <w:p w14:paraId="2940D54A" w14:textId="558952CD" w:rsidR="007D0070" w:rsidRDefault="007D0070" w:rsidP="007D0070">
      <w:pPr>
        <w:pStyle w:val="ListParagraph"/>
        <w:numPr>
          <w:ilvl w:val="0"/>
          <w:numId w:val="21"/>
        </w:numPr>
        <w:spacing w:after="0" w:line="240" w:lineRule="auto"/>
        <w:jc w:val="both"/>
        <w:rPr>
          <w:rFonts w:ascii="Times New Roman" w:hAnsi="Times New Roman"/>
        </w:rPr>
      </w:pPr>
      <w:r w:rsidRPr="00EC241B">
        <w:rPr>
          <w:rFonts w:ascii="Times New Roman" w:hAnsi="Times New Roman"/>
        </w:rPr>
        <w:t xml:space="preserve">Share </w:t>
      </w:r>
      <w:r w:rsidR="00112788">
        <w:rPr>
          <w:rFonts w:ascii="Times New Roman" w:hAnsi="Times New Roman"/>
        </w:rPr>
        <w:t>i</w:t>
      </w:r>
      <w:r w:rsidRPr="00EC241B">
        <w:rPr>
          <w:rFonts w:ascii="Times New Roman" w:hAnsi="Times New Roman"/>
        </w:rPr>
        <w:t>ncentive arrangements</w:t>
      </w:r>
    </w:p>
    <w:p w14:paraId="131C28B3" w14:textId="7DBB6460" w:rsidR="00112788" w:rsidRPr="00EC241B" w:rsidRDefault="00112788" w:rsidP="007D0070">
      <w:pPr>
        <w:pStyle w:val="ListParagraph"/>
        <w:numPr>
          <w:ilvl w:val="0"/>
          <w:numId w:val="21"/>
        </w:numPr>
        <w:spacing w:after="0" w:line="240" w:lineRule="auto"/>
        <w:jc w:val="both"/>
        <w:rPr>
          <w:rFonts w:ascii="Times New Roman" w:hAnsi="Times New Roman"/>
        </w:rPr>
      </w:pPr>
      <w:r>
        <w:rPr>
          <w:rFonts w:ascii="Times New Roman" w:hAnsi="Times New Roman"/>
        </w:rPr>
        <w:t>Share options</w:t>
      </w:r>
    </w:p>
    <w:p w14:paraId="37434762" w14:textId="10CA525A" w:rsidR="007D0070" w:rsidRPr="00FC1793" w:rsidRDefault="007D0070" w:rsidP="007D0070">
      <w:pPr>
        <w:spacing w:before="240" w:after="120"/>
        <w:jc w:val="both"/>
        <w:rPr>
          <w:sz w:val="22"/>
          <w:szCs w:val="22"/>
        </w:rPr>
      </w:pPr>
      <w:r w:rsidRPr="003815CA">
        <w:rPr>
          <w:sz w:val="22"/>
          <w:szCs w:val="22"/>
        </w:rPr>
        <w:t>Rolf Gerritsen, Pierpaolo Rocco</w:t>
      </w:r>
      <w:r w:rsidR="00D575D4">
        <w:rPr>
          <w:sz w:val="22"/>
          <w:szCs w:val="22"/>
        </w:rPr>
        <w:t>, and Windell Callaghan</w:t>
      </w:r>
      <w:r w:rsidRPr="003815CA">
        <w:rPr>
          <w:sz w:val="22"/>
          <w:szCs w:val="22"/>
        </w:rPr>
        <w:t xml:space="preserve"> have entered into service agreements with the Company and are also paid base salaries. </w:t>
      </w:r>
      <w:r w:rsidR="002F76A8">
        <w:rPr>
          <w:sz w:val="22"/>
          <w:szCs w:val="22"/>
        </w:rPr>
        <w:t xml:space="preserve">Christopher Latilla-Campbell and </w:t>
      </w:r>
      <w:r w:rsidR="00D575D4">
        <w:rPr>
          <w:sz w:val="22"/>
          <w:szCs w:val="22"/>
        </w:rPr>
        <w:t xml:space="preserve">Christian </w:t>
      </w:r>
      <w:proofErr w:type="spellStart"/>
      <w:r w:rsidR="00D575D4">
        <w:rPr>
          <w:sz w:val="22"/>
          <w:szCs w:val="22"/>
        </w:rPr>
        <w:t>Schaffalitzky</w:t>
      </w:r>
      <w:proofErr w:type="spellEnd"/>
      <w:r w:rsidR="008D1B64">
        <w:rPr>
          <w:sz w:val="22"/>
          <w:szCs w:val="22"/>
        </w:rPr>
        <w:t xml:space="preserve"> de </w:t>
      </w:r>
      <w:proofErr w:type="spellStart"/>
      <w:r w:rsidR="008D1B64">
        <w:rPr>
          <w:sz w:val="22"/>
          <w:szCs w:val="22"/>
        </w:rPr>
        <w:t>Muckadell</w:t>
      </w:r>
      <w:proofErr w:type="spellEnd"/>
      <w:r w:rsidR="00D575D4">
        <w:rPr>
          <w:sz w:val="22"/>
          <w:szCs w:val="22"/>
        </w:rPr>
        <w:t xml:space="preserve"> </w:t>
      </w:r>
      <w:r w:rsidR="002F76A8">
        <w:rPr>
          <w:sz w:val="22"/>
          <w:szCs w:val="22"/>
        </w:rPr>
        <w:t>are</w:t>
      </w:r>
      <w:r w:rsidRPr="003815CA">
        <w:rPr>
          <w:sz w:val="22"/>
          <w:szCs w:val="22"/>
        </w:rPr>
        <w:t xml:space="preserve"> appointed by letter</w:t>
      </w:r>
      <w:r w:rsidR="002F76A8">
        <w:rPr>
          <w:sz w:val="22"/>
          <w:szCs w:val="22"/>
        </w:rPr>
        <w:t>s</w:t>
      </w:r>
      <w:r w:rsidRPr="003815CA">
        <w:rPr>
          <w:sz w:val="22"/>
          <w:szCs w:val="22"/>
        </w:rPr>
        <w:t xml:space="preserve"> of appointment</w:t>
      </w:r>
      <w:r w:rsidR="00D575D4">
        <w:rPr>
          <w:sz w:val="22"/>
          <w:szCs w:val="22"/>
        </w:rPr>
        <w:t xml:space="preserve"> and </w:t>
      </w:r>
      <w:r w:rsidR="002F76A8">
        <w:rPr>
          <w:sz w:val="22"/>
          <w:szCs w:val="22"/>
        </w:rPr>
        <w:t>are</w:t>
      </w:r>
      <w:r w:rsidR="00D575D4">
        <w:rPr>
          <w:sz w:val="22"/>
          <w:szCs w:val="22"/>
        </w:rPr>
        <w:t xml:space="preserve"> paid Directors’ fee</w:t>
      </w:r>
      <w:r w:rsidR="002F76A8">
        <w:rPr>
          <w:sz w:val="22"/>
          <w:szCs w:val="22"/>
        </w:rPr>
        <w:t>s</w:t>
      </w:r>
      <w:r w:rsidRPr="003815CA">
        <w:rPr>
          <w:sz w:val="22"/>
          <w:szCs w:val="22"/>
        </w:rPr>
        <w:t xml:space="preserve">. </w:t>
      </w:r>
    </w:p>
    <w:p w14:paraId="2B1649BA" w14:textId="0CB1A993" w:rsidR="007D0070" w:rsidRPr="00FC1793" w:rsidRDefault="007D0070" w:rsidP="007D0070">
      <w:pPr>
        <w:spacing w:after="120"/>
        <w:jc w:val="both"/>
        <w:rPr>
          <w:sz w:val="22"/>
          <w:szCs w:val="22"/>
        </w:rPr>
      </w:pPr>
      <w:r w:rsidRPr="00FA300E">
        <w:rPr>
          <w:sz w:val="22"/>
          <w:szCs w:val="22"/>
        </w:rPr>
        <w:t xml:space="preserve">All such contracts impose certain restrictions as regards the use of confidential information and intellectual property and the </w:t>
      </w:r>
      <w:r>
        <w:rPr>
          <w:sz w:val="22"/>
          <w:szCs w:val="22"/>
        </w:rPr>
        <w:t>e</w:t>
      </w:r>
      <w:r w:rsidRPr="00FA300E">
        <w:rPr>
          <w:sz w:val="22"/>
          <w:szCs w:val="22"/>
        </w:rPr>
        <w:t>xecutive Director</w:t>
      </w:r>
      <w:r>
        <w:rPr>
          <w:sz w:val="22"/>
          <w:szCs w:val="22"/>
        </w:rPr>
        <w:t>s</w:t>
      </w:r>
      <w:r w:rsidRPr="00FA300E">
        <w:rPr>
          <w:sz w:val="22"/>
          <w:szCs w:val="22"/>
        </w:rPr>
        <w:t xml:space="preserve">’ </w:t>
      </w:r>
      <w:r w:rsidR="00D575D4">
        <w:rPr>
          <w:sz w:val="22"/>
          <w:szCs w:val="22"/>
        </w:rPr>
        <w:t xml:space="preserve">and Officer’s </w:t>
      </w:r>
      <w:r w:rsidRPr="00FA300E">
        <w:rPr>
          <w:sz w:val="22"/>
          <w:szCs w:val="22"/>
        </w:rPr>
        <w:t>service contract</w:t>
      </w:r>
      <w:r>
        <w:rPr>
          <w:sz w:val="22"/>
          <w:szCs w:val="22"/>
        </w:rPr>
        <w:t>s</w:t>
      </w:r>
      <w:r w:rsidRPr="00FA300E">
        <w:rPr>
          <w:sz w:val="22"/>
          <w:szCs w:val="22"/>
        </w:rPr>
        <w:t xml:space="preserve"> impose restrictive covenants which apply following the termination of the agreement</w:t>
      </w:r>
      <w:r>
        <w:rPr>
          <w:sz w:val="22"/>
          <w:szCs w:val="22"/>
        </w:rPr>
        <w:t>s</w:t>
      </w:r>
      <w:r w:rsidRPr="00FA300E">
        <w:rPr>
          <w:sz w:val="22"/>
          <w:szCs w:val="22"/>
        </w:rPr>
        <w:t>.</w:t>
      </w:r>
    </w:p>
    <w:p w14:paraId="11173738" w14:textId="77777777" w:rsidR="007D0070" w:rsidRPr="00FC1793" w:rsidRDefault="007D0070" w:rsidP="007D0070">
      <w:pPr>
        <w:spacing w:after="120"/>
        <w:jc w:val="both"/>
        <w:rPr>
          <w:b/>
          <w:sz w:val="22"/>
          <w:szCs w:val="22"/>
        </w:rPr>
      </w:pPr>
      <w:r w:rsidRPr="00FC1793">
        <w:rPr>
          <w:b/>
          <w:sz w:val="22"/>
          <w:szCs w:val="22"/>
        </w:rPr>
        <w:t>Other matters</w:t>
      </w:r>
    </w:p>
    <w:p w14:paraId="42AE203B" w14:textId="6579E4C4" w:rsidR="007D0070" w:rsidRDefault="007D0070" w:rsidP="007D0070">
      <w:pPr>
        <w:spacing w:after="120"/>
        <w:jc w:val="both"/>
        <w:rPr>
          <w:sz w:val="22"/>
          <w:szCs w:val="22"/>
        </w:rPr>
      </w:pPr>
      <w:r w:rsidRPr="00FC1793">
        <w:rPr>
          <w:sz w:val="22"/>
          <w:szCs w:val="22"/>
        </w:rPr>
        <w:t xml:space="preserve">The Company does not currently have any annual or long-term incentive schemes or any other scheme interests in place for any of the Directors, </w:t>
      </w:r>
      <w:r w:rsidRPr="003815CA">
        <w:rPr>
          <w:sz w:val="22"/>
          <w:szCs w:val="22"/>
        </w:rPr>
        <w:t>other than the 2018 Company Share Option scheme</w:t>
      </w:r>
      <w:r>
        <w:rPr>
          <w:sz w:val="22"/>
          <w:szCs w:val="22"/>
        </w:rPr>
        <w:t xml:space="preserve"> under which Rolf Gerritsen was awarded 5,000,000 options exercisable up until </w:t>
      </w:r>
      <w:r w:rsidRPr="005D3652">
        <w:rPr>
          <w:sz w:val="22"/>
          <w:szCs w:val="22"/>
        </w:rPr>
        <w:t>2</w:t>
      </w:r>
      <w:r w:rsidR="005D3652" w:rsidRPr="005D3652">
        <w:rPr>
          <w:sz w:val="22"/>
          <w:szCs w:val="22"/>
        </w:rPr>
        <w:t>3</w:t>
      </w:r>
      <w:r w:rsidRPr="005D3652">
        <w:rPr>
          <w:sz w:val="22"/>
          <w:szCs w:val="22"/>
        </w:rPr>
        <w:t xml:space="preserve"> February 2021 </w:t>
      </w:r>
      <w:r>
        <w:rPr>
          <w:sz w:val="22"/>
          <w:szCs w:val="22"/>
        </w:rPr>
        <w:t>at 3p per share</w:t>
      </w:r>
      <w:r w:rsidRPr="00FC1793">
        <w:rPr>
          <w:sz w:val="22"/>
          <w:szCs w:val="22"/>
        </w:rPr>
        <w:t>.</w:t>
      </w:r>
    </w:p>
    <w:p w14:paraId="104A25D9" w14:textId="48FD1F7D" w:rsidR="00523E2C" w:rsidRDefault="00523E2C" w:rsidP="007D0070">
      <w:pPr>
        <w:spacing w:after="120"/>
        <w:jc w:val="both"/>
        <w:rPr>
          <w:sz w:val="22"/>
          <w:szCs w:val="22"/>
        </w:rPr>
      </w:pPr>
      <w:r>
        <w:rPr>
          <w:sz w:val="22"/>
          <w:szCs w:val="22"/>
        </w:rPr>
        <w:t>In February 2021 the Company introduced a Share Option Plan 2021 (the “Plan”) for executives and selected senior management, designed to promote the retention, recruitment and incentivisation of the Company’s leadership team.</w:t>
      </w:r>
    </w:p>
    <w:p w14:paraId="2D175CD0" w14:textId="5346D8AE" w:rsidR="007D0070" w:rsidRPr="00FC1793" w:rsidRDefault="007D0070" w:rsidP="007D0070">
      <w:pPr>
        <w:spacing w:after="120"/>
        <w:jc w:val="both"/>
        <w:rPr>
          <w:sz w:val="22"/>
          <w:szCs w:val="22"/>
        </w:rPr>
      </w:pPr>
      <w:r w:rsidRPr="00445F6E">
        <w:rPr>
          <w:sz w:val="22"/>
          <w:szCs w:val="22"/>
        </w:rPr>
        <w:t>The Company has established a workplace pension scheme and Rolf Gerritsen</w:t>
      </w:r>
      <w:r w:rsidR="00526A74">
        <w:rPr>
          <w:sz w:val="22"/>
          <w:szCs w:val="22"/>
        </w:rPr>
        <w:t>, Pierpaolo Rocco and Windell Callaghan</w:t>
      </w:r>
      <w:r w:rsidRPr="00445F6E">
        <w:rPr>
          <w:sz w:val="22"/>
          <w:szCs w:val="22"/>
        </w:rPr>
        <w:t xml:space="preserve"> qualif</w:t>
      </w:r>
      <w:r w:rsidR="00526A74">
        <w:rPr>
          <w:sz w:val="22"/>
          <w:szCs w:val="22"/>
        </w:rPr>
        <w:t>y</w:t>
      </w:r>
      <w:r w:rsidRPr="00445F6E">
        <w:rPr>
          <w:sz w:val="22"/>
          <w:szCs w:val="22"/>
        </w:rPr>
        <w:t xml:space="preserve"> </w:t>
      </w:r>
      <w:r w:rsidR="00526A74">
        <w:rPr>
          <w:sz w:val="22"/>
          <w:szCs w:val="22"/>
        </w:rPr>
        <w:t>whereas Christopher Latilla-Campbell is eligible</w:t>
      </w:r>
      <w:r w:rsidRPr="00445F6E">
        <w:rPr>
          <w:sz w:val="22"/>
          <w:szCs w:val="22"/>
        </w:rPr>
        <w:t xml:space="preserve"> </w:t>
      </w:r>
      <w:r w:rsidR="00526A74" w:rsidRPr="00445F6E">
        <w:rPr>
          <w:sz w:val="22"/>
          <w:szCs w:val="22"/>
        </w:rPr>
        <w:t>under the auto-enrolment pension rules</w:t>
      </w:r>
      <w:r w:rsidR="00526A74">
        <w:rPr>
          <w:sz w:val="22"/>
          <w:szCs w:val="22"/>
        </w:rPr>
        <w:t xml:space="preserve"> </w:t>
      </w:r>
      <w:r w:rsidRPr="00445F6E">
        <w:rPr>
          <w:sz w:val="22"/>
          <w:szCs w:val="22"/>
        </w:rPr>
        <w:t xml:space="preserve">and it currently pays pension amounts in relation to </w:t>
      </w:r>
      <w:r>
        <w:rPr>
          <w:sz w:val="22"/>
          <w:szCs w:val="22"/>
        </w:rPr>
        <w:t>d</w:t>
      </w:r>
      <w:r w:rsidRPr="00445F6E">
        <w:rPr>
          <w:sz w:val="22"/>
          <w:szCs w:val="22"/>
        </w:rPr>
        <w:t xml:space="preserve">irectors’ </w:t>
      </w:r>
      <w:r w:rsidR="00526A74">
        <w:rPr>
          <w:sz w:val="22"/>
          <w:szCs w:val="22"/>
        </w:rPr>
        <w:t xml:space="preserve">and officer’s </w:t>
      </w:r>
      <w:r w:rsidRPr="00445F6E">
        <w:rPr>
          <w:sz w:val="22"/>
          <w:szCs w:val="22"/>
        </w:rPr>
        <w:t xml:space="preserve">remuneration. The Company has not paid out any excess retirement benefits to any </w:t>
      </w:r>
      <w:r>
        <w:rPr>
          <w:sz w:val="22"/>
          <w:szCs w:val="22"/>
        </w:rPr>
        <w:t>d</w:t>
      </w:r>
      <w:r w:rsidRPr="00445F6E">
        <w:rPr>
          <w:sz w:val="22"/>
          <w:szCs w:val="22"/>
        </w:rPr>
        <w:t xml:space="preserve">irectors or past </w:t>
      </w:r>
      <w:r>
        <w:rPr>
          <w:sz w:val="22"/>
          <w:szCs w:val="22"/>
        </w:rPr>
        <w:t>d</w:t>
      </w:r>
      <w:r w:rsidRPr="00445F6E">
        <w:rPr>
          <w:sz w:val="22"/>
          <w:szCs w:val="22"/>
        </w:rPr>
        <w:t xml:space="preserve">irectors. </w:t>
      </w:r>
    </w:p>
    <w:p w14:paraId="02724274" w14:textId="77777777" w:rsidR="007D0070" w:rsidRPr="00FC1793" w:rsidRDefault="007D0070" w:rsidP="007D0070">
      <w:pPr>
        <w:spacing w:after="120"/>
        <w:jc w:val="both"/>
        <w:rPr>
          <w:b/>
          <w:sz w:val="22"/>
          <w:szCs w:val="22"/>
        </w:rPr>
      </w:pPr>
      <w:r w:rsidRPr="00FC1793">
        <w:rPr>
          <w:b/>
          <w:sz w:val="22"/>
          <w:szCs w:val="22"/>
        </w:rPr>
        <w:t>Recruitment Policy</w:t>
      </w:r>
    </w:p>
    <w:p w14:paraId="746C0174" w14:textId="77777777" w:rsidR="007D0070" w:rsidRPr="00FC1793" w:rsidRDefault="007D0070" w:rsidP="007D0070">
      <w:pPr>
        <w:spacing w:after="120"/>
        <w:jc w:val="both"/>
        <w:rPr>
          <w:sz w:val="22"/>
          <w:szCs w:val="22"/>
        </w:rPr>
      </w:pPr>
      <w:r w:rsidRPr="00FC1793">
        <w:rPr>
          <w:sz w:val="22"/>
          <w:szCs w:val="22"/>
        </w:rPr>
        <w:t xml:space="preserve">Base salary </w:t>
      </w:r>
      <w:r w:rsidRPr="00445F6E">
        <w:rPr>
          <w:sz w:val="22"/>
          <w:szCs w:val="22"/>
        </w:rPr>
        <w:t>levels take into account</w:t>
      </w:r>
      <w:r w:rsidRPr="00FC1793">
        <w:rPr>
          <w:sz w:val="22"/>
          <w:szCs w:val="22"/>
        </w:rPr>
        <w:t xml:space="preserve"> market data for the relevant role, internal relativities, their individual experience and their current base salary. Where an individual is recruited at below market norms, they may be re-aligned over time, subject to performance in the role. Benefits will generally be in accordance with the approved policy. For external and internal appointments, the Board may agree that the Company will meet certain relocation and/or incidental expenses as appropriate.</w:t>
      </w:r>
    </w:p>
    <w:p w14:paraId="4BB9BDFF" w14:textId="77777777" w:rsidR="007D0070" w:rsidRDefault="007D0070" w:rsidP="007D0070">
      <w:pPr>
        <w:spacing w:after="120"/>
        <w:jc w:val="both"/>
        <w:rPr>
          <w:b/>
          <w:sz w:val="22"/>
          <w:szCs w:val="22"/>
        </w:rPr>
      </w:pPr>
    </w:p>
    <w:p w14:paraId="3B00444B" w14:textId="787452D2" w:rsidR="007D0070" w:rsidRPr="00D71043" w:rsidRDefault="007D0070" w:rsidP="00275562">
      <w:pPr>
        <w:spacing w:after="120"/>
        <w:jc w:val="center"/>
        <w:rPr>
          <w:b/>
          <w:bCs/>
          <w:sz w:val="22"/>
          <w:szCs w:val="22"/>
        </w:rPr>
      </w:pPr>
      <w:r w:rsidRPr="001C10F8">
        <w:rPr>
          <w:b/>
          <w:bCs/>
          <w:sz w:val="22"/>
          <w:szCs w:val="22"/>
        </w:rPr>
        <w:t>DIRECTORS’ REMUNERATION REPORT</w:t>
      </w:r>
      <w:r w:rsidR="00275562">
        <w:rPr>
          <w:b/>
          <w:bCs/>
          <w:sz w:val="22"/>
          <w:szCs w:val="22"/>
        </w:rPr>
        <w:t xml:space="preserve"> (continued)</w:t>
      </w:r>
      <w:r w:rsidRPr="001C10F8">
        <w:rPr>
          <w:b/>
          <w:bCs/>
          <w:sz w:val="22"/>
          <w:szCs w:val="22"/>
        </w:rPr>
        <w:t xml:space="preserve"> </w:t>
      </w:r>
    </w:p>
    <w:p w14:paraId="21E67139" w14:textId="77777777" w:rsidR="007D0070" w:rsidRPr="00FC1793" w:rsidRDefault="007D0070" w:rsidP="007D0070">
      <w:pPr>
        <w:spacing w:after="120"/>
        <w:jc w:val="both"/>
        <w:rPr>
          <w:b/>
          <w:sz w:val="22"/>
          <w:szCs w:val="22"/>
        </w:rPr>
      </w:pPr>
      <w:r w:rsidRPr="00FC1793">
        <w:rPr>
          <w:b/>
          <w:sz w:val="22"/>
          <w:szCs w:val="22"/>
        </w:rPr>
        <w:t>Payment for loss of Office</w:t>
      </w:r>
    </w:p>
    <w:p w14:paraId="2092553A" w14:textId="77777777" w:rsidR="007D0070" w:rsidRPr="00FC1793" w:rsidRDefault="007D0070" w:rsidP="007D0070">
      <w:pPr>
        <w:spacing w:after="120"/>
        <w:jc w:val="both"/>
        <w:rPr>
          <w:sz w:val="22"/>
          <w:szCs w:val="22"/>
        </w:rPr>
      </w:pPr>
      <w:r w:rsidRPr="00FC1793">
        <w:rPr>
          <w:sz w:val="22"/>
          <w:szCs w:val="22"/>
        </w:rPr>
        <w:t xml:space="preserve">If a </w:t>
      </w:r>
      <w:r>
        <w:rPr>
          <w:sz w:val="22"/>
          <w:szCs w:val="22"/>
        </w:rPr>
        <w:t xml:space="preserve">service </w:t>
      </w:r>
      <w:r w:rsidRPr="00FC1793">
        <w:rPr>
          <w:sz w:val="22"/>
          <w:szCs w:val="22"/>
        </w:rPr>
        <w:t xml:space="preserve">contract is to be terminated, the Company will determine such mitigation as it considers fair and reasonable in each case. </w:t>
      </w:r>
    </w:p>
    <w:p w14:paraId="28DC4A6B" w14:textId="77777777" w:rsidR="007D0070" w:rsidRPr="00FC1793" w:rsidRDefault="007D0070" w:rsidP="007D0070">
      <w:pPr>
        <w:spacing w:after="120"/>
        <w:jc w:val="both"/>
        <w:rPr>
          <w:sz w:val="22"/>
          <w:szCs w:val="22"/>
        </w:rPr>
      </w:pPr>
      <w:r w:rsidRPr="00FC1793">
        <w:rPr>
          <w:sz w:val="22"/>
          <w:szCs w:val="22"/>
        </w:rPr>
        <w:t xml:space="preserve">The Company reserves the right to make additional payments where such payments are made in good faith in discharge of an existing legal obligation (or by way of damages for breach of such an obligation); or by way of settlement or compromise of any claim arising in connection with the termination of </w:t>
      </w:r>
      <w:r w:rsidRPr="00F00131">
        <w:rPr>
          <w:sz w:val="22"/>
          <w:szCs w:val="22"/>
        </w:rPr>
        <w:t xml:space="preserve">an </w:t>
      </w:r>
      <w:r>
        <w:rPr>
          <w:sz w:val="22"/>
          <w:szCs w:val="22"/>
        </w:rPr>
        <w:t>e</w:t>
      </w:r>
      <w:r w:rsidRPr="00F00131">
        <w:rPr>
          <w:sz w:val="22"/>
          <w:szCs w:val="22"/>
        </w:rPr>
        <w:t xml:space="preserve">xecutive </w:t>
      </w:r>
      <w:r>
        <w:rPr>
          <w:sz w:val="22"/>
          <w:szCs w:val="22"/>
        </w:rPr>
        <w:t>d</w:t>
      </w:r>
      <w:r w:rsidRPr="00F00131">
        <w:rPr>
          <w:sz w:val="22"/>
          <w:szCs w:val="22"/>
        </w:rPr>
        <w:t>irector’s</w:t>
      </w:r>
      <w:r w:rsidRPr="00FC1793">
        <w:rPr>
          <w:sz w:val="22"/>
          <w:szCs w:val="22"/>
        </w:rPr>
        <w:t xml:space="preserve"> office or employment.</w:t>
      </w:r>
    </w:p>
    <w:p w14:paraId="261FB520" w14:textId="77777777" w:rsidR="007D0070" w:rsidRPr="00FC1793" w:rsidRDefault="007D0070" w:rsidP="007D0070">
      <w:pPr>
        <w:spacing w:after="120"/>
        <w:jc w:val="both"/>
        <w:rPr>
          <w:b/>
          <w:sz w:val="22"/>
          <w:szCs w:val="22"/>
        </w:rPr>
      </w:pPr>
      <w:r w:rsidRPr="00FC1793">
        <w:rPr>
          <w:b/>
          <w:sz w:val="22"/>
          <w:szCs w:val="22"/>
        </w:rPr>
        <w:t>Service Agreements and letters of appointment</w:t>
      </w:r>
    </w:p>
    <w:p w14:paraId="297466B1" w14:textId="7DA88637" w:rsidR="007D0070" w:rsidRPr="00FC1793" w:rsidRDefault="007D0070" w:rsidP="007D0070">
      <w:pPr>
        <w:spacing w:after="120"/>
        <w:jc w:val="both"/>
        <w:rPr>
          <w:sz w:val="22"/>
          <w:szCs w:val="22"/>
        </w:rPr>
      </w:pPr>
      <w:r w:rsidRPr="00FC1793">
        <w:rPr>
          <w:sz w:val="22"/>
          <w:szCs w:val="22"/>
        </w:rPr>
        <w:t xml:space="preserve">The terms of </w:t>
      </w:r>
      <w:r w:rsidR="00961D5E">
        <w:rPr>
          <w:sz w:val="22"/>
          <w:szCs w:val="22"/>
        </w:rPr>
        <w:t xml:space="preserve">all </w:t>
      </w:r>
      <w:r w:rsidRPr="00FC1793">
        <w:rPr>
          <w:sz w:val="22"/>
          <w:szCs w:val="22"/>
        </w:rPr>
        <w:t xml:space="preserve">the </w:t>
      </w:r>
      <w:r>
        <w:rPr>
          <w:sz w:val="22"/>
          <w:szCs w:val="22"/>
        </w:rPr>
        <w:t>d</w:t>
      </w:r>
      <w:r w:rsidRPr="00FC1793">
        <w:rPr>
          <w:sz w:val="22"/>
          <w:szCs w:val="22"/>
        </w:rPr>
        <w:t>irectors’ appointments are subject to their re-election by the Company’s shareholders at Annual General Meeting</w:t>
      </w:r>
      <w:r>
        <w:rPr>
          <w:sz w:val="22"/>
          <w:szCs w:val="22"/>
        </w:rPr>
        <w:t>s</w:t>
      </w:r>
      <w:r w:rsidRPr="00FC1793">
        <w:rPr>
          <w:sz w:val="22"/>
          <w:szCs w:val="22"/>
        </w:rPr>
        <w:t xml:space="preserve"> at which </w:t>
      </w:r>
      <w:r>
        <w:rPr>
          <w:sz w:val="22"/>
          <w:szCs w:val="22"/>
        </w:rPr>
        <w:t>certain of the d</w:t>
      </w:r>
      <w:r w:rsidRPr="00FC1793">
        <w:rPr>
          <w:sz w:val="22"/>
          <w:szCs w:val="22"/>
        </w:rPr>
        <w:t xml:space="preserve">irectors </w:t>
      </w:r>
      <w:r>
        <w:rPr>
          <w:sz w:val="22"/>
          <w:szCs w:val="22"/>
        </w:rPr>
        <w:t xml:space="preserve">will retire on a rotational basis and offer themselves </w:t>
      </w:r>
      <w:r w:rsidRPr="00FC1793">
        <w:rPr>
          <w:sz w:val="22"/>
          <w:szCs w:val="22"/>
        </w:rPr>
        <w:t>for re-election.</w:t>
      </w:r>
    </w:p>
    <w:p w14:paraId="71945483" w14:textId="6673EE81" w:rsidR="007D0070" w:rsidRDefault="007D0070" w:rsidP="007D0070">
      <w:pPr>
        <w:spacing w:after="120"/>
        <w:jc w:val="both"/>
        <w:rPr>
          <w:sz w:val="22"/>
          <w:szCs w:val="22"/>
        </w:rPr>
      </w:pPr>
      <w:r w:rsidRPr="00FC1793">
        <w:rPr>
          <w:sz w:val="22"/>
          <w:szCs w:val="22"/>
        </w:rPr>
        <w:t xml:space="preserve">The </w:t>
      </w:r>
      <w:r w:rsidR="001C7907">
        <w:rPr>
          <w:sz w:val="22"/>
          <w:szCs w:val="22"/>
        </w:rPr>
        <w:t>E</w:t>
      </w:r>
      <w:r w:rsidRPr="00FC1793">
        <w:rPr>
          <w:sz w:val="22"/>
          <w:szCs w:val="22"/>
        </w:rPr>
        <w:t xml:space="preserve">xecutive </w:t>
      </w:r>
      <w:r w:rsidR="001C7907">
        <w:rPr>
          <w:sz w:val="22"/>
          <w:szCs w:val="22"/>
        </w:rPr>
        <w:t>D</w:t>
      </w:r>
      <w:r w:rsidRPr="00FC1793">
        <w:rPr>
          <w:sz w:val="22"/>
          <w:szCs w:val="22"/>
        </w:rPr>
        <w:t>irectors</w:t>
      </w:r>
      <w:r w:rsidR="00D76B62">
        <w:rPr>
          <w:sz w:val="22"/>
          <w:szCs w:val="22"/>
        </w:rPr>
        <w:t>’</w:t>
      </w:r>
      <w:r w:rsidRPr="00FC1793">
        <w:rPr>
          <w:sz w:val="22"/>
          <w:szCs w:val="22"/>
        </w:rPr>
        <w:t xml:space="preserve"> </w:t>
      </w:r>
      <w:r w:rsidRPr="00646EEF">
        <w:rPr>
          <w:sz w:val="22"/>
          <w:szCs w:val="22"/>
        </w:rPr>
        <w:t xml:space="preserve">service agreements </w:t>
      </w:r>
      <w:r w:rsidR="006C7AF0" w:rsidRPr="00646EEF">
        <w:rPr>
          <w:sz w:val="22"/>
          <w:szCs w:val="22"/>
        </w:rPr>
        <w:t>are set</w:t>
      </w:r>
      <w:r w:rsidR="006C7AF0">
        <w:rPr>
          <w:sz w:val="22"/>
          <w:szCs w:val="22"/>
        </w:rPr>
        <w:t xml:space="preserve"> out in the table below. The agreements </w:t>
      </w:r>
      <w:r>
        <w:rPr>
          <w:sz w:val="22"/>
          <w:szCs w:val="22"/>
        </w:rPr>
        <w:t>are</w:t>
      </w:r>
      <w:r w:rsidRPr="00FC1793">
        <w:rPr>
          <w:sz w:val="22"/>
          <w:szCs w:val="22"/>
        </w:rPr>
        <w:t xml:space="preserve"> not for a fixed term and may be terminated by </w:t>
      </w:r>
      <w:r w:rsidR="006C7AF0">
        <w:rPr>
          <w:sz w:val="22"/>
          <w:szCs w:val="22"/>
        </w:rPr>
        <w:t xml:space="preserve">either </w:t>
      </w:r>
      <w:r w:rsidRPr="00FC1793">
        <w:rPr>
          <w:sz w:val="22"/>
          <w:szCs w:val="22"/>
        </w:rPr>
        <w:t xml:space="preserve">the Company or the </w:t>
      </w:r>
      <w:r w:rsidR="001C7907">
        <w:rPr>
          <w:sz w:val="22"/>
          <w:szCs w:val="22"/>
        </w:rPr>
        <w:t>E</w:t>
      </w:r>
      <w:r w:rsidRPr="00FC1793">
        <w:rPr>
          <w:sz w:val="22"/>
          <w:szCs w:val="22"/>
        </w:rPr>
        <w:t xml:space="preserve">xecutive </w:t>
      </w:r>
      <w:r w:rsidR="001C7907">
        <w:rPr>
          <w:sz w:val="22"/>
          <w:szCs w:val="22"/>
        </w:rPr>
        <w:t>D</w:t>
      </w:r>
      <w:r w:rsidRPr="00FC1793">
        <w:rPr>
          <w:sz w:val="22"/>
          <w:szCs w:val="22"/>
        </w:rPr>
        <w:t xml:space="preserve">irector </w:t>
      </w:r>
      <w:r w:rsidR="006C7AF0">
        <w:rPr>
          <w:sz w:val="22"/>
          <w:szCs w:val="22"/>
        </w:rPr>
        <w:t>on giving appropriate notice.</w:t>
      </w:r>
    </w:p>
    <w:p w14:paraId="627B18FA" w14:textId="3E9824FE" w:rsidR="007D0070" w:rsidRPr="00FC1793" w:rsidRDefault="006C7AF0" w:rsidP="007D0070">
      <w:pPr>
        <w:spacing w:after="120"/>
        <w:jc w:val="both"/>
        <w:rPr>
          <w:sz w:val="22"/>
          <w:szCs w:val="22"/>
        </w:rPr>
      </w:pPr>
      <w:r>
        <w:rPr>
          <w:sz w:val="22"/>
          <w:szCs w:val="22"/>
        </w:rPr>
        <w:t xml:space="preserve">Details of the terms of the agreement for each </w:t>
      </w:r>
      <w:r w:rsidR="001C7907">
        <w:rPr>
          <w:sz w:val="22"/>
          <w:szCs w:val="22"/>
        </w:rPr>
        <w:t>E</w:t>
      </w:r>
      <w:r>
        <w:rPr>
          <w:sz w:val="22"/>
          <w:szCs w:val="22"/>
        </w:rPr>
        <w:t xml:space="preserve">xecutive </w:t>
      </w:r>
      <w:r w:rsidR="001C7907">
        <w:rPr>
          <w:sz w:val="22"/>
          <w:szCs w:val="22"/>
        </w:rPr>
        <w:t>D</w:t>
      </w:r>
      <w:r>
        <w:rPr>
          <w:sz w:val="22"/>
          <w:szCs w:val="22"/>
        </w:rPr>
        <w:t xml:space="preserve">irector are </w:t>
      </w:r>
      <w:r w:rsidR="007D0070" w:rsidRPr="00FC1793">
        <w:rPr>
          <w:sz w:val="22"/>
          <w:szCs w:val="22"/>
        </w:rPr>
        <w:t>set out below:</w:t>
      </w:r>
    </w:p>
    <w:tbl>
      <w:tblPr>
        <w:tblStyle w:val="TableGrid"/>
        <w:tblW w:w="0" w:type="auto"/>
        <w:tblLook w:val="04A0" w:firstRow="1" w:lastRow="0" w:firstColumn="1" w:lastColumn="0" w:noHBand="0" w:noVBand="1"/>
      </w:tblPr>
      <w:tblGrid>
        <w:gridCol w:w="2405"/>
        <w:gridCol w:w="2268"/>
        <w:gridCol w:w="2268"/>
        <w:gridCol w:w="2977"/>
      </w:tblGrid>
      <w:tr w:rsidR="007D0070" w:rsidRPr="000D4173" w14:paraId="08294EA9" w14:textId="77777777" w:rsidTr="007D0070">
        <w:tc>
          <w:tcPr>
            <w:tcW w:w="2405" w:type="dxa"/>
            <w:tcBorders>
              <w:bottom w:val="single" w:sz="4" w:space="0" w:color="auto"/>
            </w:tcBorders>
          </w:tcPr>
          <w:p w14:paraId="277A2489" w14:textId="77777777" w:rsidR="007D0070" w:rsidRPr="00646EEF" w:rsidRDefault="007D0070" w:rsidP="00294781">
            <w:pPr>
              <w:spacing w:after="120"/>
              <w:jc w:val="both"/>
              <w:rPr>
                <w:sz w:val="22"/>
                <w:szCs w:val="22"/>
              </w:rPr>
            </w:pPr>
          </w:p>
          <w:p w14:paraId="13D85CF6" w14:textId="77777777" w:rsidR="007D0070" w:rsidRPr="00646EEF" w:rsidRDefault="007D0070" w:rsidP="00294781">
            <w:pPr>
              <w:spacing w:after="120"/>
              <w:jc w:val="both"/>
              <w:rPr>
                <w:sz w:val="22"/>
                <w:szCs w:val="22"/>
              </w:rPr>
            </w:pPr>
            <w:r w:rsidRPr="00646EEF">
              <w:rPr>
                <w:sz w:val="22"/>
                <w:szCs w:val="22"/>
              </w:rPr>
              <w:t>Name</w:t>
            </w:r>
          </w:p>
        </w:tc>
        <w:tc>
          <w:tcPr>
            <w:tcW w:w="2268" w:type="dxa"/>
            <w:tcBorders>
              <w:bottom w:val="single" w:sz="4" w:space="0" w:color="auto"/>
            </w:tcBorders>
          </w:tcPr>
          <w:p w14:paraId="6E72FDE4" w14:textId="77777777" w:rsidR="007D0070" w:rsidRPr="00646EEF" w:rsidRDefault="007D0070" w:rsidP="00294781">
            <w:pPr>
              <w:spacing w:after="120"/>
              <w:jc w:val="both"/>
              <w:rPr>
                <w:sz w:val="22"/>
                <w:szCs w:val="22"/>
              </w:rPr>
            </w:pPr>
            <w:r w:rsidRPr="00646EEF">
              <w:rPr>
                <w:sz w:val="22"/>
                <w:szCs w:val="22"/>
              </w:rPr>
              <w:t>Date of service agreement</w:t>
            </w:r>
          </w:p>
        </w:tc>
        <w:tc>
          <w:tcPr>
            <w:tcW w:w="2268" w:type="dxa"/>
            <w:tcBorders>
              <w:bottom w:val="single" w:sz="4" w:space="0" w:color="auto"/>
            </w:tcBorders>
          </w:tcPr>
          <w:p w14:paraId="4C82FA54" w14:textId="77777777" w:rsidR="007D0070" w:rsidRPr="00646EEF" w:rsidRDefault="007D0070" w:rsidP="00294781">
            <w:pPr>
              <w:spacing w:after="120"/>
              <w:jc w:val="both"/>
              <w:rPr>
                <w:sz w:val="22"/>
                <w:szCs w:val="22"/>
              </w:rPr>
            </w:pPr>
            <w:r w:rsidRPr="00646EEF">
              <w:rPr>
                <w:sz w:val="22"/>
                <w:szCs w:val="22"/>
              </w:rPr>
              <w:t>Notice period by Company (months)</w:t>
            </w:r>
          </w:p>
        </w:tc>
        <w:tc>
          <w:tcPr>
            <w:tcW w:w="2977" w:type="dxa"/>
            <w:tcBorders>
              <w:bottom w:val="single" w:sz="4" w:space="0" w:color="auto"/>
            </w:tcBorders>
          </w:tcPr>
          <w:p w14:paraId="57CA54F0" w14:textId="77777777" w:rsidR="007D0070" w:rsidRPr="00646EEF" w:rsidRDefault="007D0070" w:rsidP="00294781">
            <w:pPr>
              <w:spacing w:after="120"/>
              <w:jc w:val="both"/>
              <w:rPr>
                <w:sz w:val="22"/>
                <w:szCs w:val="22"/>
              </w:rPr>
            </w:pPr>
            <w:r w:rsidRPr="00646EEF">
              <w:rPr>
                <w:sz w:val="22"/>
                <w:szCs w:val="22"/>
              </w:rPr>
              <w:t>Notice period by director (months)</w:t>
            </w:r>
          </w:p>
        </w:tc>
      </w:tr>
      <w:tr w:rsidR="007D0070" w:rsidRPr="000D4173" w14:paraId="4DDE9970" w14:textId="77777777" w:rsidTr="00ED5811">
        <w:tc>
          <w:tcPr>
            <w:tcW w:w="2405" w:type="dxa"/>
            <w:tcBorders>
              <w:bottom w:val="nil"/>
            </w:tcBorders>
          </w:tcPr>
          <w:p w14:paraId="33BB6A35" w14:textId="76D4F80A" w:rsidR="007D0070" w:rsidRPr="00646EEF" w:rsidRDefault="007D0070" w:rsidP="00294781">
            <w:pPr>
              <w:spacing w:after="120"/>
              <w:jc w:val="both"/>
              <w:rPr>
                <w:sz w:val="22"/>
                <w:szCs w:val="22"/>
              </w:rPr>
            </w:pPr>
            <w:r w:rsidRPr="00646EEF">
              <w:rPr>
                <w:sz w:val="22"/>
                <w:szCs w:val="22"/>
              </w:rPr>
              <w:t>R Gerritsen</w:t>
            </w:r>
            <w:r w:rsidR="000159E8">
              <w:rPr>
                <w:sz w:val="22"/>
                <w:szCs w:val="22"/>
              </w:rPr>
              <w:t>*</w:t>
            </w:r>
          </w:p>
        </w:tc>
        <w:tc>
          <w:tcPr>
            <w:tcW w:w="2268" w:type="dxa"/>
            <w:tcBorders>
              <w:bottom w:val="nil"/>
            </w:tcBorders>
          </w:tcPr>
          <w:p w14:paraId="37E651AA" w14:textId="70354EC0" w:rsidR="007D0070" w:rsidRPr="005D3652" w:rsidRDefault="007D0070" w:rsidP="00294781">
            <w:pPr>
              <w:spacing w:after="120"/>
              <w:jc w:val="both"/>
              <w:rPr>
                <w:sz w:val="22"/>
                <w:szCs w:val="22"/>
              </w:rPr>
            </w:pPr>
            <w:r w:rsidRPr="005D3652">
              <w:rPr>
                <w:sz w:val="22"/>
                <w:szCs w:val="22"/>
              </w:rPr>
              <w:t xml:space="preserve"> </w:t>
            </w:r>
            <w:r w:rsidR="00646EEF" w:rsidRPr="005D3652">
              <w:rPr>
                <w:sz w:val="22"/>
                <w:szCs w:val="22"/>
              </w:rPr>
              <w:t xml:space="preserve">1 </w:t>
            </w:r>
            <w:r w:rsidR="005D3652" w:rsidRPr="005D3652">
              <w:rPr>
                <w:sz w:val="22"/>
                <w:szCs w:val="22"/>
              </w:rPr>
              <w:t xml:space="preserve">June </w:t>
            </w:r>
            <w:r w:rsidR="00646EEF" w:rsidRPr="005D3652">
              <w:rPr>
                <w:sz w:val="22"/>
                <w:szCs w:val="22"/>
              </w:rPr>
              <w:t>2020</w:t>
            </w:r>
          </w:p>
        </w:tc>
        <w:tc>
          <w:tcPr>
            <w:tcW w:w="2268" w:type="dxa"/>
            <w:tcBorders>
              <w:bottom w:val="nil"/>
            </w:tcBorders>
          </w:tcPr>
          <w:p w14:paraId="19D7BB81" w14:textId="0ADD3D03" w:rsidR="007D0070" w:rsidRPr="00646EEF" w:rsidRDefault="00294781" w:rsidP="00294781">
            <w:pPr>
              <w:spacing w:after="120"/>
              <w:jc w:val="both"/>
              <w:rPr>
                <w:sz w:val="22"/>
                <w:szCs w:val="22"/>
              </w:rPr>
            </w:pPr>
            <w:r w:rsidRPr="00646EEF">
              <w:rPr>
                <w:sz w:val="22"/>
                <w:szCs w:val="22"/>
              </w:rPr>
              <w:t>6</w:t>
            </w:r>
            <w:r w:rsidR="007D0070" w:rsidRPr="00646EEF">
              <w:rPr>
                <w:sz w:val="22"/>
                <w:szCs w:val="22"/>
              </w:rPr>
              <w:t xml:space="preserve"> months</w:t>
            </w:r>
          </w:p>
        </w:tc>
        <w:tc>
          <w:tcPr>
            <w:tcW w:w="2977" w:type="dxa"/>
            <w:tcBorders>
              <w:bottom w:val="nil"/>
            </w:tcBorders>
          </w:tcPr>
          <w:p w14:paraId="0441080D" w14:textId="647A65E4" w:rsidR="007D0070" w:rsidRPr="00646EEF" w:rsidRDefault="00294781" w:rsidP="00294781">
            <w:pPr>
              <w:spacing w:after="120"/>
              <w:jc w:val="both"/>
              <w:rPr>
                <w:sz w:val="22"/>
                <w:szCs w:val="22"/>
              </w:rPr>
            </w:pPr>
            <w:r w:rsidRPr="00646EEF">
              <w:rPr>
                <w:sz w:val="22"/>
                <w:szCs w:val="22"/>
              </w:rPr>
              <w:t>6</w:t>
            </w:r>
            <w:r w:rsidR="007D0070" w:rsidRPr="00646EEF">
              <w:rPr>
                <w:sz w:val="22"/>
                <w:szCs w:val="22"/>
              </w:rPr>
              <w:t xml:space="preserve"> months</w:t>
            </w:r>
          </w:p>
        </w:tc>
      </w:tr>
      <w:tr w:rsidR="00ED5811" w:rsidRPr="000D4173" w14:paraId="737285CA" w14:textId="77777777" w:rsidTr="00ED5811">
        <w:tc>
          <w:tcPr>
            <w:tcW w:w="2405" w:type="dxa"/>
            <w:tcBorders>
              <w:top w:val="single" w:sz="4" w:space="0" w:color="auto"/>
            </w:tcBorders>
          </w:tcPr>
          <w:p w14:paraId="130BA971" w14:textId="633C8CD2" w:rsidR="00ED5811" w:rsidRPr="00646EEF" w:rsidRDefault="00ED5811" w:rsidP="00294781">
            <w:pPr>
              <w:spacing w:after="120"/>
              <w:jc w:val="both"/>
              <w:rPr>
                <w:sz w:val="22"/>
                <w:szCs w:val="22"/>
              </w:rPr>
            </w:pPr>
            <w:r w:rsidRPr="00646EEF">
              <w:rPr>
                <w:sz w:val="22"/>
                <w:szCs w:val="22"/>
              </w:rPr>
              <w:t>P Rocco*</w:t>
            </w:r>
            <w:r w:rsidR="000159E8">
              <w:rPr>
                <w:sz w:val="22"/>
                <w:szCs w:val="22"/>
              </w:rPr>
              <w:t>*</w:t>
            </w:r>
          </w:p>
        </w:tc>
        <w:tc>
          <w:tcPr>
            <w:tcW w:w="2268" w:type="dxa"/>
            <w:tcBorders>
              <w:top w:val="single" w:sz="4" w:space="0" w:color="auto"/>
            </w:tcBorders>
          </w:tcPr>
          <w:p w14:paraId="41700641" w14:textId="6DA39B47" w:rsidR="00ED5811" w:rsidRPr="00646EEF" w:rsidRDefault="00646EEF" w:rsidP="00294781">
            <w:pPr>
              <w:spacing w:after="120"/>
              <w:jc w:val="both"/>
              <w:rPr>
                <w:sz w:val="22"/>
                <w:szCs w:val="22"/>
              </w:rPr>
            </w:pPr>
            <w:r w:rsidRPr="00646EEF">
              <w:rPr>
                <w:sz w:val="22"/>
                <w:szCs w:val="22"/>
              </w:rPr>
              <w:t>14 November 2020</w:t>
            </w:r>
          </w:p>
        </w:tc>
        <w:tc>
          <w:tcPr>
            <w:tcW w:w="2268" w:type="dxa"/>
            <w:tcBorders>
              <w:top w:val="single" w:sz="4" w:space="0" w:color="auto"/>
            </w:tcBorders>
          </w:tcPr>
          <w:p w14:paraId="01ACB9EB" w14:textId="3888E8CE" w:rsidR="00ED5811" w:rsidRPr="00646EEF" w:rsidRDefault="00646EEF" w:rsidP="00294781">
            <w:pPr>
              <w:spacing w:after="120"/>
              <w:jc w:val="both"/>
              <w:rPr>
                <w:sz w:val="22"/>
                <w:szCs w:val="22"/>
              </w:rPr>
            </w:pPr>
            <w:r w:rsidRPr="00646EEF">
              <w:rPr>
                <w:sz w:val="22"/>
                <w:szCs w:val="22"/>
              </w:rPr>
              <w:t>6 months</w:t>
            </w:r>
          </w:p>
        </w:tc>
        <w:tc>
          <w:tcPr>
            <w:tcW w:w="2977" w:type="dxa"/>
            <w:tcBorders>
              <w:top w:val="single" w:sz="4" w:space="0" w:color="auto"/>
            </w:tcBorders>
          </w:tcPr>
          <w:p w14:paraId="5A6518BA" w14:textId="775803F8" w:rsidR="00ED5811" w:rsidRPr="00646EEF" w:rsidRDefault="00646EEF" w:rsidP="00294781">
            <w:pPr>
              <w:spacing w:after="120"/>
              <w:jc w:val="both"/>
              <w:rPr>
                <w:sz w:val="22"/>
                <w:szCs w:val="22"/>
              </w:rPr>
            </w:pPr>
            <w:r w:rsidRPr="00646EEF">
              <w:rPr>
                <w:sz w:val="22"/>
                <w:szCs w:val="22"/>
              </w:rPr>
              <w:t>6 months</w:t>
            </w:r>
          </w:p>
        </w:tc>
      </w:tr>
    </w:tbl>
    <w:p w14:paraId="2E52AC7D" w14:textId="4F1DDA2C" w:rsidR="007D0070" w:rsidRPr="000D4173" w:rsidRDefault="007D0070" w:rsidP="007D0070">
      <w:pPr>
        <w:spacing w:after="120"/>
        <w:jc w:val="both"/>
        <w:rPr>
          <w:sz w:val="22"/>
          <w:szCs w:val="22"/>
          <w:highlight w:val="yellow"/>
        </w:rPr>
      </w:pPr>
    </w:p>
    <w:p w14:paraId="4812084B" w14:textId="4B65F54A" w:rsidR="000159E8" w:rsidRPr="00A128AC" w:rsidRDefault="000159E8" w:rsidP="00ED5811">
      <w:pPr>
        <w:spacing w:after="120"/>
        <w:jc w:val="both"/>
        <w:rPr>
          <w:bCs/>
          <w:sz w:val="22"/>
          <w:szCs w:val="22"/>
        </w:rPr>
      </w:pPr>
      <w:r w:rsidRPr="00A128AC">
        <w:rPr>
          <w:bCs/>
          <w:sz w:val="22"/>
          <w:szCs w:val="22"/>
        </w:rPr>
        <w:t xml:space="preserve">* R Gerritsen services were partly provided through his consultancy business, ECRG Limited, until 30 November 2020. </w:t>
      </w:r>
    </w:p>
    <w:p w14:paraId="18C6923D" w14:textId="42A5E8DE" w:rsidR="00ED5811" w:rsidRPr="00A128AC" w:rsidRDefault="00ED5811" w:rsidP="00ED5811">
      <w:pPr>
        <w:spacing w:after="120"/>
        <w:jc w:val="both"/>
        <w:rPr>
          <w:sz w:val="22"/>
          <w:szCs w:val="22"/>
        </w:rPr>
      </w:pPr>
      <w:r w:rsidRPr="00A128AC">
        <w:rPr>
          <w:bCs/>
          <w:sz w:val="22"/>
          <w:szCs w:val="22"/>
        </w:rPr>
        <w:t>*</w:t>
      </w:r>
      <w:r w:rsidR="000159E8" w:rsidRPr="00A128AC">
        <w:rPr>
          <w:bCs/>
          <w:sz w:val="22"/>
          <w:szCs w:val="22"/>
        </w:rPr>
        <w:t>*</w:t>
      </w:r>
      <w:r w:rsidRPr="00A128AC">
        <w:rPr>
          <w:bCs/>
          <w:sz w:val="22"/>
          <w:szCs w:val="22"/>
        </w:rPr>
        <w:t xml:space="preserve"> P Rocco’s services </w:t>
      </w:r>
      <w:r w:rsidR="00646EEF" w:rsidRPr="00A128AC">
        <w:rPr>
          <w:bCs/>
          <w:sz w:val="22"/>
          <w:szCs w:val="22"/>
        </w:rPr>
        <w:t>were</w:t>
      </w:r>
      <w:r w:rsidR="006C7AF0" w:rsidRPr="00A128AC">
        <w:rPr>
          <w:bCs/>
          <w:sz w:val="22"/>
          <w:szCs w:val="22"/>
        </w:rPr>
        <w:t xml:space="preserve"> </w:t>
      </w:r>
      <w:r w:rsidRPr="00A128AC">
        <w:rPr>
          <w:bCs/>
          <w:sz w:val="22"/>
          <w:szCs w:val="22"/>
        </w:rPr>
        <w:t xml:space="preserve">provided </w:t>
      </w:r>
      <w:r w:rsidR="006C7AF0" w:rsidRPr="00A128AC">
        <w:rPr>
          <w:bCs/>
          <w:sz w:val="22"/>
          <w:szCs w:val="22"/>
        </w:rPr>
        <w:t>on a consultancy basis</w:t>
      </w:r>
      <w:r w:rsidR="00646EEF" w:rsidRPr="00A128AC">
        <w:rPr>
          <w:bCs/>
          <w:sz w:val="22"/>
          <w:szCs w:val="22"/>
        </w:rPr>
        <w:t xml:space="preserve"> </w:t>
      </w:r>
      <w:r w:rsidR="000159E8" w:rsidRPr="00A128AC">
        <w:rPr>
          <w:bCs/>
          <w:sz w:val="22"/>
          <w:szCs w:val="22"/>
        </w:rPr>
        <w:t>until 31 July 2020</w:t>
      </w:r>
      <w:r w:rsidR="006C7AF0" w:rsidRPr="00A128AC">
        <w:rPr>
          <w:bCs/>
          <w:sz w:val="22"/>
          <w:szCs w:val="22"/>
        </w:rPr>
        <w:t xml:space="preserve">, through </w:t>
      </w:r>
      <w:r w:rsidR="000159E8" w:rsidRPr="00A128AC">
        <w:rPr>
          <w:bCs/>
          <w:sz w:val="22"/>
          <w:szCs w:val="22"/>
        </w:rPr>
        <w:t>Old Compton Associates</w:t>
      </w:r>
      <w:r w:rsidR="00AA12F3" w:rsidRPr="00A128AC">
        <w:rPr>
          <w:bCs/>
          <w:sz w:val="22"/>
          <w:szCs w:val="22"/>
        </w:rPr>
        <w:t xml:space="preserve">, </w:t>
      </w:r>
      <w:r w:rsidR="00AA12F3" w:rsidRPr="00A128AC">
        <w:rPr>
          <w:sz w:val="22"/>
          <w:szCs w:val="22"/>
        </w:rPr>
        <w:t>of which P Rocco is a director and shareholder</w:t>
      </w:r>
      <w:r w:rsidR="00D76B62" w:rsidRPr="00A128AC">
        <w:rPr>
          <w:sz w:val="22"/>
          <w:szCs w:val="22"/>
        </w:rPr>
        <w:t>.</w:t>
      </w:r>
      <w:r w:rsidR="00D76B62">
        <w:rPr>
          <w:sz w:val="22"/>
          <w:szCs w:val="22"/>
        </w:rPr>
        <w:t xml:space="preserve"> </w:t>
      </w:r>
    </w:p>
    <w:p w14:paraId="73363DFA" w14:textId="77777777" w:rsidR="00A128AC" w:rsidRDefault="00A128AC" w:rsidP="007D0070">
      <w:pPr>
        <w:spacing w:after="120"/>
        <w:jc w:val="both"/>
        <w:rPr>
          <w:sz w:val="22"/>
          <w:szCs w:val="22"/>
        </w:rPr>
      </w:pPr>
    </w:p>
    <w:p w14:paraId="34B00EA1" w14:textId="59739E29" w:rsidR="007D0070" w:rsidRPr="008946D4" w:rsidRDefault="007D0070" w:rsidP="007D0070">
      <w:pPr>
        <w:spacing w:after="120"/>
        <w:jc w:val="both"/>
        <w:rPr>
          <w:sz w:val="22"/>
          <w:szCs w:val="22"/>
        </w:rPr>
      </w:pPr>
      <w:r w:rsidRPr="008946D4">
        <w:rPr>
          <w:sz w:val="22"/>
          <w:szCs w:val="22"/>
        </w:rPr>
        <w:t xml:space="preserve">The </w:t>
      </w:r>
      <w:r w:rsidR="001C7907">
        <w:rPr>
          <w:sz w:val="22"/>
          <w:szCs w:val="22"/>
        </w:rPr>
        <w:t>N</w:t>
      </w:r>
      <w:r w:rsidRPr="008946D4">
        <w:rPr>
          <w:sz w:val="22"/>
          <w:szCs w:val="22"/>
        </w:rPr>
        <w:t>on-</w:t>
      </w:r>
      <w:r w:rsidR="001C7907">
        <w:rPr>
          <w:sz w:val="22"/>
          <w:szCs w:val="22"/>
        </w:rPr>
        <w:t>E</w:t>
      </w:r>
      <w:r w:rsidRPr="008946D4">
        <w:rPr>
          <w:sz w:val="22"/>
          <w:szCs w:val="22"/>
        </w:rPr>
        <w:t xml:space="preserve">xecutive </w:t>
      </w:r>
      <w:r w:rsidR="001C7907">
        <w:rPr>
          <w:sz w:val="22"/>
          <w:szCs w:val="22"/>
        </w:rPr>
        <w:t>D</w:t>
      </w:r>
      <w:r w:rsidRPr="008946D4">
        <w:rPr>
          <w:sz w:val="22"/>
          <w:szCs w:val="22"/>
        </w:rPr>
        <w:t xml:space="preserve">irectors of the Company have been appointed by letters of appointment. Each </w:t>
      </w:r>
      <w:r w:rsidR="001C7907">
        <w:rPr>
          <w:sz w:val="22"/>
          <w:szCs w:val="22"/>
        </w:rPr>
        <w:t>N</w:t>
      </w:r>
      <w:r w:rsidRPr="008946D4">
        <w:rPr>
          <w:sz w:val="22"/>
          <w:szCs w:val="22"/>
        </w:rPr>
        <w:t>on-</w:t>
      </w:r>
      <w:r w:rsidR="001C7907">
        <w:rPr>
          <w:sz w:val="22"/>
          <w:szCs w:val="22"/>
        </w:rPr>
        <w:t>E</w:t>
      </w:r>
      <w:r w:rsidRPr="008946D4">
        <w:rPr>
          <w:sz w:val="22"/>
          <w:szCs w:val="22"/>
        </w:rPr>
        <w:t xml:space="preserve">xecutive </w:t>
      </w:r>
      <w:r w:rsidR="001C7907">
        <w:rPr>
          <w:sz w:val="22"/>
          <w:szCs w:val="22"/>
        </w:rPr>
        <w:t>D</w:t>
      </w:r>
      <w:r w:rsidRPr="008946D4">
        <w:rPr>
          <w:sz w:val="22"/>
          <w:szCs w:val="22"/>
        </w:rPr>
        <w:t>irector’s term of office runs for an initial period of three years and thereafter, with the approval of the Board, will continue subject to periodic retirement and re-election or termination or retirement in accordance with the terms of the letters of appointment.</w:t>
      </w:r>
    </w:p>
    <w:p w14:paraId="612DFA72" w14:textId="4EDEC16C" w:rsidR="007D0070" w:rsidRPr="008946D4" w:rsidRDefault="007D0070" w:rsidP="007D0070">
      <w:pPr>
        <w:spacing w:after="120"/>
        <w:jc w:val="both"/>
        <w:rPr>
          <w:sz w:val="22"/>
          <w:szCs w:val="22"/>
        </w:rPr>
      </w:pPr>
      <w:r w:rsidRPr="008946D4">
        <w:rPr>
          <w:sz w:val="22"/>
          <w:szCs w:val="22"/>
        </w:rPr>
        <w:t xml:space="preserve">The details of each </w:t>
      </w:r>
      <w:r w:rsidR="001C7907">
        <w:rPr>
          <w:sz w:val="22"/>
          <w:szCs w:val="22"/>
        </w:rPr>
        <w:t>N</w:t>
      </w:r>
      <w:r w:rsidRPr="008946D4">
        <w:rPr>
          <w:sz w:val="22"/>
          <w:szCs w:val="22"/>
        </w:rPr>
        <w:t>on-</w:t>
      </w:r>
      <w:r w:rsidR="001C7907">
        <w:rPr>
          <w:sz w:val="22"/>
          <w:szCs w:val="22"/>
        </w:rPr>
        <w:t>E</w:t>
      </w:r>
      <w:r w:rsidRPr="008946D4">
        <w:rPr>
          <w:sz w:val="22"/>
          <w:szCs w:val="22"/>
        </w:rPr>
        <w:t xml:space="preserve">xecutive </w:t>
      </w:r>
      <w:r w:rsidR="001C7907">
        <w:rPr>
          <w:sz w:val="22"/>
          <w:szCs w:val="22"/>
        </w:rPr>
        <w:t>D</w:t>
      </w:r>
      <w:r w:rsidRPr="008946D4">
        <w:rPr>
          <w:sz w:val="22"/>
          <w:szCs w:val="22"/>
        </w:rPr>
        <w:t>irector’s current term are set out below:</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05"/>
        <w:gridCol w:w="1985"/>
        <w:gridCol w:w="1280"/>
        <w:gridCol w:w="1555"/>
        <w:gridCol w:w="2693"/>
      </w:tblGrid>
      <w:tr w:rsidR="007D0070" w:rsidRPr="008946D4" w14:paraId="1E8FB359" w14:textId="77777777" w:rsidTr="007D0070">
        <w:tc>
          <w:tcPr>
            <w:tcW w:w="2405" w:type="dxa"/>
            <w:tcBorders>
              <w:top w:val="single" w:sz="4" w:space="0" w:color="auto"/>
              <w:bottom w:val="single" w:sz="4" w:space="0" w:color="auto"/>
              <w:right w:val="single" w:sz="4" w:space="0" w:color="auto"/>
            </w:tcBorders>
          </w:tcPr>
          <w:p w14:paraId="3BEDDDF4" w14:textId="77777777" w:rsidR="007D0070" w:rsidRPr="008946D4" w:rsidRDefault="007D0070" w:rsidP="00294781">
            <w:pPr>
              <w:spacing w:after="120"/>
              <w:jc w:val="both"/>
              <w:rPr>
                <w:sz w:val="22"/>
                <w:szCs w:val="22"/>
              </w:rPr>
            </w:pPr>
            <w:r w:rsidRPr="008946D4">
              <w:rPr>
                <w:sz w:val="22"/>
                <w:szCs w:val="22"/>
              </w:rPr>
              <w:t>Name</w:t>
            </w:r>
          </w:p>
        </w:tc>
        <w:tc>
          <w:tcPr>
            <w:tcW w:w="1985" w:type="dxa"/>
            <w:tcBorders>
              <w:top w:val="single" w:sz="4" w:space="0" w:color="auto"/>
              <w:left w:val="single" w:sz="4" w:space="0" w:color="auto"/>
              <w:bottom w:val="single" w:sz="4" w:space="0" w:color="auto"/>
              <w:right w:val="single" w:sz="4" w:space="0" w:color="auto"/>
            </w:tcBorders>
          </w:tcPr>
          <w:p w14:paraId="2F689AC1" w14:textId="77777777" w:rsidR="007D0070" w:rsidRPr="008946D4" w:rsidRDefault="007D0070" w:rsidP="00294781">
            <w:pPr>
              <w:spacing w:after="120"/>
              <w:jc w:val="both"/>
              <w:rPr>
                <w:sz w:val="22"/>
                <w:szCs w:val="22"/>
              </w:rPr>
            </w:pPr>
            <w:r w:rsidRPr="008946D4">
              <w:rPr>
                <w:sz w:val="22"/>
                <w:szCs w:val="22"/>
              </w:rPr>
              <w:t>Date of letter of appointment</w:t>
            </w:r>
          </w:p>
        </w:tc>
        <w:tc>
          <w:tcPr>
            <w:tcW w:w="1280" w:type="dxa"/>
            <w:tcBorders>
              <w:top w:val="single" w:sz="4" w:space="0" w:color="auto"/>
              <w:left w:val="single" w:sz="4" w:space="0" w:color="auto"/>
              <w:bottom w:val="single" w:sz="4" w:space="0" w:color="auto"/>
              <w:right w:val="single" w:sz="4" w:space="0" w:color="auto"/>
            </w:tcBorders>
          </w:tcPr>
          <w:p w14:paraId="5B05B208" w14:textId="77777777" w:rsidR="007D0070" w:rsidRPr="008946D4" w:rsidRDefault="007D0070" w:rsidP="00294781">
            <w:pPr>
              <w:spacing w:after="120"/>
              <w:jc w:val="both"/>
              <w:rPr>
                <w:sz w:val="22"/>
                <w:szCs w:val="22"/>
              </w:rPr>
            </w:pPr>
            <w:r w:rsidRPr="008946D4">
              <w:rPr>
                <w:sz w:val="22"/>
                <w:szCs w:val="22"/>
              </w:rPr>
              <w:t>Current term (years)</w:t>
            </w:r>
          </w:p>
        </w:tc>
        <w:tc>
          <w:tcPr>
            <w:tcW w:w="1555" w:type="dxa"/>
            <w:tcBorders>
              <w:top w:val="single" w:sz="4" w:space="0" w:color="auto"/>
              <w:left w:val="single" w:sz="4" w:space="0" w:color="auto"/>
              <w:bottom w:val="single" w:sz="4" w:space="0" w:color="auto"/>
              <w:right w:val="single" w:sz="4" w:space="0" w:color="auto"/>
            </w:tcBorders>
          </w:tcPr>
          <w:p w14:paraId="048BC788" w14:textId="77777777" w:rsidR="007D0070" w:rsidRPr="008946D4" w:rsidRDefault="007D0070" w:rsidP="00294781">
            <w:pPr>
              <w:spacing w:after="120"/>
              <w:jc w:val="both"/>
              <w:rPr>
                <w:sz w:val="22"/>
                <w:szCs w:val="22"/>
              </w:rPr>
            </w:pPr>
            <w:r w:rsidRPr="008946D4">
              <w:rPr>
                <w:sz w:val="22"/>
                <w:szCs w:val="22"/>
              </w:rPr>
              <w:t>Notice period by Company (months)</w:t>
            </w:r>
          </w:p>
        </w:tc>
        <w:tc>
          <w:tcPr>
            <w:tcW w:w="2693" w:type="dxa"/>
            <w:tcBorders>
              <w:top w:val="single" w:sz="4" w:space="0" w:color="auto"/>
              <w:left w:val="single" w:sz="4" w:space="0" w:color="auto"/>
              <w:bottom w:val="single" w:sz="4" w:space="0" w:color="auto"/>
            </w:tcBorders>
          </w:tcPr>
          <w:p w14:paraId="01727218" w14:textId="77777777" w:rsidR="007D0070" w:rsidRPr="008946D4" w:rsidRDefault="007D0070" w:rsidP="00294781">
            <w:pPr>
              <w:spacing w:after="120"/>
              <w:jc w:val="both"/>
              <w:rPr>
                <w:sz w:val="22"/>
                <w:szCs w:val="22"/>
              </w:rPr>
            </w:pPr>
            <w:r w:rsidRPr="008946D4">
              <w:rPr>
                <w:sz w:val="22"/>
                <w:szCs w:val="22"/>
              </w:rPr>
              <w:t>Notice period by Director (months)</w:t>
            </w:r>
          </w:p>
        </w:tc>
      </w:tr>
      <w:tr w:rsidR="007D0070" w:rsidRPr="008946D4" w14:paraId="575E4558" w14:textId="77777777" w:rsidTr="007D0070">
        <w:tc>
          <w:tcPr>
            <w:tcW w:w="2405" w:type="dxa"/>
            <w:tcBorders>
              <w:top w:val="single" w:sz="4" w:space="0" w:color="auto"/>
              <w:bottom w:val="nil"/>
              <w:right w:val="single" w:sz="4" w:space="0" w:color="auto"/>
            </w:tcBorders>
          </w:tcPr>
          <w:p w14:paraId="09E032C1" w14:textId="77777777" w:rsidR="007D0070" w:rsidRPr="008946D4" w:rsidRDefault="007D0070" w:rsidP="00294781">
            <w:pPr>
              <w:spacing w:after="120"/>
              <w:jc w:val="both"/>
              <w:rPr>
                <w:sz w:val="22"/>
                <w:szCs w:val="22"/>
              </w:rPr>
            </w:pPr>
            <w:r w:rsidRPr="008946D4">
              <w:rPr>
                <w:sz w:val="22"/>
                <w:szCs w:val="22"/>
              </w:rPr>
              <w:t>C Latilla-Campbell</w:t>
            </w:r>
          </w:p>
        </w:tc>
        <w:tc>
          <w:tcPr>
            <w:tcW w:w="1985" w:type="dxa"/>
            <w:tcBorders>
              <w:top w:val="single" w:sz="4" w:space="0" w:color="auto"/>
              <w:left w:val="single" w:sz="4" w:space="0" w:color="auto"/>
              <w:bottom w:val="nil"/>
              <w:right w:val="single" w:sz="4" w:space="0" w:color="auto"/>
            </w:tcBorders>
          </w:tcPr>
          <w:p w14:paraId="7907D7C9" w14:textId="3B903B57" w:rsidR="007D0070" w:rsidRPr="00315A68" w:rsidRDefault="00ED5811" w:rsidP="00294781">
            <w:pPr>
              <w:spacing w:after="120"/>
              <w:jc w:val="both"/>
              <w:rPr>
                <w:sz w:val="22"/>
                <w:szCs w:val="22"/>
              </w:rPr>
            </w:pPr>
            <w:r w:rsidRPr="00315A68">
              <w:rPr>
                <w:sz w:val="22"/>
                <w:szCs w:val="22"/>
              </w:rPr>
              <w:t>14 June</w:t>
            </w:r>
            <w:r w:rsidR="007D0070" w:rsidRPr="00315A68">
              <w:rPr>
                <w:sz w:val="22"/>
                <w:szCs w:val="22"/>
              </w:rPr>
              <w:t xml:space="preserve"> </w:t>
            </w:r>
            <w:r w:rsidR="008946D4" w:rsidRPr="00315A68">
              <w:rPr>
                <w:sz w:val="22"/>
                <w:szCs w:val="22"/>
              </w:rPr>
              <w:t>20</w:t>
            </w:r>
            <w:r w:rsidR="005E5EB6" w:rsidRPr="00315A68">
              <w:rPr>
                <w:sz w:val="22"/>
                <w:szCs w:val="22"/>
              </w:rPr>
              <w:t>17</w:t>
            </w:r>
          </w:p>
        </w:tc>
        <w:tc>
          <w:tcPr>
            <w:tcW w:w="1280" w:type="dxa"/>
            <w:tcBorders>
              <w:top w:val="single" w:sz="4" w:space="0" w:color="auto"/>
              <w:left w:val="single" w:sz="4" w:space="0" w:color="auto"/>
              <w:bottom w:val="nil"/>
              <w:right w:val="single" w:sz="4" w:space="0" w:color="auto"/>
            </w:tcBorders>
          </w:tcPr>
          <w:p w14:paraId="3CEE2F05" w14:textId="10F87775" w:rsidR="007D0070" w:rsidRPr="00315A68" w:rsidRDefault="005E5EB6" w:rsidP="00294781">
            <w:pPr>
              <w:spacing w:after="120"/>
              <w:jc w:val="both"/>
              <w:rPr>
                <w:sz w:val="22"/>
                <w:szCs w:val="22"/>
              </w:rPr>
            </w:pPr>
            <w:r w:rsidRPr="00315A68">
              <w:rPr>
                <w:sz w:val="22"/>
                <w:szCs w:val="22"/>
              </w:rPr>
              <w:t>1</w:t>
            </w:r>
          </w:p>
        </w:tc>
        <w:tc>
          <w:tcPr>
            <w:tcW w:w="1555" w:type="dxa"/>
            <w:tcBorders>
              <w:top w:val="single" w:sz="4" w:space="0" w:color="auto"/>
              <w:left w:val="single" w:sz="4" w:space="0" w:color="auto"/>
              <w:bottom w:val="nil"/>
              <w:right w:val="single" w:sz="4" w:space="0" w:color="auto"/>
            </w:tcBorders>
          </w:tcPr>
          <w:p w14:paraId="188EB1C1" w14:textId="77777777" w:rsidR="007D0070" w:rsidRPr="008946D4" w:rsidRDefault="007D0070" w:rsidP="00294781">
            <w:pPr>
              <w:spacing w:after="120"/>
              <w:jc w:val="both"/>
              <w:rPr>
                <w:sz w:val="22"/>
                <w:szCs w:val="22"/>
              </w:rPr>
            </w:pPr>
            <w:r w:rsidRPr="008946D4">
              <w:rPr>
                <w:sz w:val="22"/>
                <w:szCs w:val="22"/>
              </w:rPr>
              <w:t>3 months</w:t>
            </w:r>
          </w:p>
        </w:tc>
        <w:tc>
          <w:tcPr>
            <w:tcW w:w="2693" w:type="dxa"/>
            <w:tcBorders>
              <w:top w:val="single" w:sz="4" w:space="0" w:color="auto"/>
              <w:left w:val="single" w:sz="4" w:space="0" w:color="auto"/>
              <w:bottom w:val="nil"/>
            </w:tcBorders>
          </w:tcPr>
          <w:p w14:paraId="3545F1E9" w14:textId="77777777" w:rsidR="007D0070" w:rsidRPr="008946D4" w:rsidRDefault="007D0070" w:rsidP="00294781">
            <w:pPr>
              <w:spacing w:after="120"/>
              <w:jc w:val="both"/>
              <w:rPr>
                <w:sz w:val="22"/>
                <w:szCs w:val="22"/>
              </w:rPr>
            </w:pPr>
            <w:r w:rsidRPr="008946D4">
              <w:rPr>
                <w:sz w:val="22"/>
                <w:szCs w:val="22"/>
              </w:rPr>
              <w:t>3 months</w:t>
            </w:r>
          </w:p>
        </w:tc>
      </w:tr>
      <w:tr w:rsidR="007D0070" w:rsidRPr="000D4173" w14:paraId="1A990C8A" w14:textId="77777777" w:rsidTr="000D4173">
        <w:tc>
          <w:tcPr>
            <w:tcW w:w="2405" w:type="dxa"/>
            <w:tcBorders>
              <w:top w:val="nil"/>
              <w:bottom w:val="single" w:sz="4" w:space="0" w:color="auto"/>
              <w:right w:val="single" w:sz="4" w:space="0" w:color="auto"/>
            </w:tcBorders>
          </w:tcPr>
          <w:p w14:paraId="569728AB" w14:textId="77777777" w:rsidR="007D0070" w:rsidRPr="008946D4" w:rsidRDefault="007D0070" w:rsidP="00294781">
            <w:pPr>
              <w:spacing w:after="120"/>
              <w:jc w:val="both"/>
              <w:rPr>
                <w:sz w:val="22"/>
                <w:szCs w:val="22"/>
              </w:rPr>
            </w:pPr>
            <w:r w:rsidRPr="008946D4">
              <w:rPr>
                <w:sz w:val="22"/>
                <w:szCs w:val="22"/>
              </w:rPr>
              <w:t>C Schaffalitzky</w:t>
            </w:r>
          </w:p>
        </w:tc>
        <w:tc>
          <w:tcPr>
            <w:tcW w:w="1985" w:type="dxa"/>
            <w:tcBorders>
              <w:top w:val="nil"/>
              <w:left w:val="single" w:sz="4" w:space="0" w:color="auto"/>
              <w:bottom w:val="single" w:sz="4" w:space="0" w:color="auto"/>
              <w:right w:val="single" w:sz="4" w:space="0" w:color="auto"/>
            </w:tcBorders>
          </w:tcPr>
          <w:p w14:paraId="000010F3" w14:textId="38CD74C4" w:rsidR="007D0070" w:rsidRPr="00315A68" w:rsidRDefault="007D0070" w:rsidP="00294781">
            <w:pPr>
              <w:spacing w:after="120"/>
              <w:jc w:val="both"/>
              <w:rPr>
                <w:sz w:val="22"/>
                <w:szCs w:val="22"/>
              </w:rPr>
            </w:pPr>
            <w:r w:rsidRPr="00315A68">
              <w:rPr>
                <w:sz w:val="22"/>
                <w:szCs w:val="22"/>
              </w:rPr>
              <w:t xml:space="preserve">14 June </w:t>
            </w:r>
            <w:r w:rsidR="008946D4" w:rsidRPr="00315A68">
              <w:rPr>
                <w:sz w:val="22"/>
                <w:szCs w:val="22"/>
              </w:rPr>
              <w:t>20</w:t>
            </w:r>
            <w:r w:rsidR="005E5EB6" w:rsidRPr="00315A68">
              <w:rPr>
                <w:sz w:val="22"/>
                <w:szCs w:val="22"/>
              </w:rPr>
              <w:t>17</w:t>
            </w:r>
          </w:p>
        </w:tc>
        <w:tc>
          <w:tcPr>
            <w:tcW w:w="1280" w:type="dxa"/>
            <w:tcBorders>
              <w:top w:val="nil"/>
              <w:left w:val="single" w:sz="4" w:space="0" w:color="auto"/>
              <w:bottom w:val="single" w:sz="4" w:space="0" w:color="auto"/>
              <w:right w:val="single" w:sz="4" w:space="0" w:color="auto"/>
            </w:tcBorders>
          </w:tcPr>
          <w:p w14:paraId="1D96F22D" w14:textId="270B8452" w:rsidR="007D0070" w:rsidRPr="00315A68" w:rsidRDefault="005E5EB6" w:rsidP="00294781">
            <w:pPr>
              <w:spacing w:after="120"/>
              <w:jc w:val="both"/>
              <w:rPr>
                <w:sz w:val="22"/>
                <w:szCs w:val="22"/>
              </w:rPr>
            </w:pPr>
            <w:r w:rsidRPr="00315A68">
              <w:rPr>
                <w:sz w:val="22"/>
                <w:szCs w:val="22"/>
              </w:rPr>
              <w:t>1</w:t>
            </w:r>
          </w:p>
        </w:tc>
        <w:tc>
          <w:tcPr>
            <w:tcW w:w="1555" w:type="dxa"/>
            <w:tcBorders>
              <w:top w:val="nil"/>
              <w:left w:val="single" w:sz="4" w:space="0" w:color="auto"/>
              <w:bottom w:val="single" w:sz="4" w:space="0" w:color="auto"/>
              <w:right w:val="single" w:sz="4" w:space="0" w:color="auto"/>
            </w:tcBorders>
          </w:tcPr>
          <w:p w14:paraId="42D56F28" w14:textId="77777777" w:rsidR="007D0070" w:rsidRPr="008946D4" w:rsidRDefault="007D0070" w:rsidP="00294781">
            <w:pPr>
              <w:spacing w:after="120"/>
              <w:jc w:val="both"/>
              <w:rPr>
                <w:sz w:val="22"/>
                <w:szCs w:val="22"/>
              </w:rPr>
            </w:pPr>
            <w:r w:rsidRPr="008946D4">
              <w:rPr>
                <w:sz w:val="22"/>
                <w:szCs w:val="22"/>
              </w:rPr>
              <w:t>3 months</w:t>
            </w:r>
          </w:p>
        </w:tc>
        <w:tc>
          <w:tcPr>
            <w:tcW w:w="2693" w:type="dxa"/>
            <w:tcBorders>
              <w:top w:val="nil"/>
              <w:left w:val="single" w:sz="4" w:space="0" w:color="auto"/>
              <w:bottom w:val="single" w:sz="4" w:space="0" w:color="auto"/>
            </w:tcBorders>
          </w:tcPr>
          <w:p w14:paraId="11162BC0" w14:textId="77777777" w:rsidR="007D0070" w:rsidRPr="008946D4" w:rsidRDefault="007D0070" w:rsidP="00294781">
            <w:pPr>
              <w:spacing w:after="120"/>
              <w:jc w:val="both"/>
              <w:rPr>
                <w:sz w:val="22"/>
                <w:szCs w:val="22"/>
              </w:rPr>
            </w:pPr>
            <w:r w:rsidRPr="008946D4">
              <w:rPr>
                <w:sz w:val="22"/>
                <w:szCs w:val="22"/>
              </w:rPr>
              <w:t>3 months</w:t>
            </w:r>
          </w:p>
        </w:tc>
      </w:tr>
    </w:tbl>
    <w:p w14:paraId="770F6779" w14:textId="77777777" w:rsidR="007D0070" w:rsidRDefault="007D0070" w:rsidP="007D0070">
      <w:pPr>
        <w:spacing w:after="120"/>
        <w:jc w:val="both"/>
        <w:rPr>
          <w:bCs/>
          <w:sz w:val="22"/>
          <w:szCs w:val="22"/>
        </w:rPr>
      </w:pPr>
    </w:p>
    <w:p w14:paraId="43F95907" w14:textId="45CC1001" w:rsidR="007D0070" w:rsidRDefault="007D0070" w:rsidP="007D0070">
      <w:pPr>
        <w:spacing w:after="120"/>
        <w:jc w:val="both"/>
        <w:rPr>
          <w:b/>
          <w:sz w:val="22"/>
          <w:szCs w:val="22"/>
        </w:rPr>
      </w:pPr>
    </w:p>
    <w:p w14:paraId="408ED1B3" w14:textId="420FA9FA" w:rsidR="007D0070" w:rsidRDefault="007D0070" w:rsidP="007D0070">
      <w:pPr>
        <w:spacing w:after="120"/>
        <w:jc w:val="both"/>
        <w:rPr>
          <w:b/>
          <w:sz w:val="22"/>
          <w:szCs w:val="22"/>
        </w:rPr>
      </w:pPr>
    </w:p>
    <w:p w14:paraId="6DF8AF83" w14:textId="1666A0E5" w:rsidR="007D0070" w:rsidRDefault="007D0070" w:rsidP="007D0070">
      <w:pPr>
        <w:spacing w:after="120"/>
        <w:jc w:val="both"/>
        <w:rPr>
          <w:b/>
          <w:sz w:val="22"/>
          <w:szCs w:val="22"/>
        </w:rPr>
      </w:pPr>
    </w:p>
    <w:p w14:paraId="7A37402A" w14:textId="77777777" w:rsidR="008946D4" w:rsidRDefault="008946D4" w:rsidP="007D0070">
      <w:pPr>
        <w:spacing w:after="120"/>
        <w:jc w:val="both"/>
        <w:rPr>
          <w:b/>
          <w:sz w:val="22"/>
          <w:szCs w:val="22"/>
        </w:rPr>
      </w:pPr>
    </w:p>
    <w:p w14:paraId="64A70716" w14:textId="76C7B58C" w:rsidR="000D4173" w:rsidRDefault="000D4173" w:rsidP="007D0070">
      <w:pPr>
        <w:spacing w:after="120"/>
        <w:jc w:val="both"/>
        <w:rPr>
          <w:b/>
          <w:sz w:val="22"/>
          <w:szCs w:val="22"/>
        </w:rPr>
      </w:pPr>
    </w:p>
    <w:p w14:paraId="668CC4E7" w14:textId="77777777" w:rsidR="000D4173" w:rsidRDefault="000D4173" w:rsidP="007D0070">
      <w:pPr>
        <w:spacing w:after="120"/>
        <w:jc w:val="both"/>
        <w:rPr>
          <w:b/>
          <w:sz w:val="22"/>
          <w:szCs w:val="22"/>
        </w:rPr>
      </w:pPr>
    </w:p>
    <w:p w14:paraId="4FC20888" w14:textId="61CE1F59" w:rsidR="007D0070" w:rsidRDefault="007D0070" w:rsidP="007D0070">
      <w:pPr>
        <w:spacing w:after="120"/>
        <w:jc w:val="both"/>
        <w:rPr>
          <w:b/>
          <w:sz w:val="22"/>
          <w:szCs w:val="22"/>
        </w:rPr>
      </w:pPr>
    </w:p>
    <w:p w14:paraId="4243264B" w14:textId="22520464" w:rsidR="007D0070" w:rsidRPr="00D71043" w:rsidRDefault="007D0070" w:rsidP="00275562">
      <w:pPr>
        <w:spacing w:after="120"/>
        <w:jc w:val="center"/>
        <w:rPr>
          <w:b/>
          <w:bCs/>
          <w:sz w:val="22"/>
          <w:szCs w:val="22"/>
        </w:rPr>
      </w:pPr>
      <w:r w:rsidRPr="001C10F8">
        <w:rPr>
          <w:b/>
          <w:bCs/>
          <w:sz w:val="22"/>
          <w:szCs w:val="22"/>
        </w:rPr>
        <w:t>DIRECTORS’ REMUNERATION REPORT</w:t>
      </w:r>
      <w:r w:rsidR="00275562">
        <w:rPr>
          <w:b/>
          <w:bCs/>
          <w:sz w:val="22"/>
          <w:szCs w:val="22"/>
        </w:rPr>
        <w:t xml:space="preserve"> (</w:t>
      </w:r>
      <w:r w:rsidRPr="001C10F8">
        <w:rPr>
          <w:b/>
          <w:bCs/>
          <w:sz w:val="22"/>
          <w:szCs w:val="22"/>
        </w:rPr>
        <w:t>continued</w:t>
      </w:r>
      <w:r w:rsidR="00275562">
        <w:rPr>
          <w:b/>
          <w:bCs/>
          <w:sz w:val="22"/>
          <w:szCs w:val="22"/>
        </w:rPr>
        <w:t>)</w:t>
      </w:r>
    </w:p>
    <w:p w14:paraId="2520F546" w14:textId="77777777" w:rsidR="007D0070" w:rsidRPr="00FC1793" w:rsidRDefault="007D0070" w:rsidP="007D0070">
      <w:pPr>
        <w:spacing w:after="120"/>
        <w:jc w:val="both"/>
        <w:rPr>
          <w:b/>
          <w:sz w:val="22"/>
          <w:szCs w:val="22"/>
        </w:rPr>
      </w:pPr>
      <w:r w:rsidRPr="00FC1793">
        <w:rPr>
          <w:b/>
          <w:sz w:val="22"/>
          <w:szCs w:val="22"/>
        </w:rPr>
        <w:t xml:space="preserve">Executive </w:t>
      </w:r>
      <w:r>
        <w:rPr>
          <w:b/>
          <w:sz w:val="22"/>
          <w:szCs w:val="22"/>
        </w:rPr>
        <w:t>d</w:t>
      </w:r>
      <w:r w:rsidRPr="00FC1793">
        <w:rPr>
          <w:b/>
          <w:sz w:val="22"/>
          <w:szCs w:val="22"/>
        </w:rPr>
        <w:t>irectors’ remuneration - Audited</w:t>
      </w:r>
    </w:p>
    <w:p w14:paraId="7C6E32BA" w14:textId="3BBE057C" w:rsidR="007D0070" w:rsidRPr="00FC1793" w:rsidRDefault="007D0070" w:rsidP="007D0070">
      <w:pPr>
        <w:spacing w:after="120"/>
        <w:jc w:val="both"/>
        <w:rPr>
          <w:sz w:val="22"/>
          <w:szCs w:val="22"/>
        </w:rPr>
      </w:pPr>
      <w:r w:rsidRPr="00FC1793">
        <w:rPr>
          <w:sz w:val="22"/>
          <w:szCs w:val="22"/>
        </w:rPr>
        <w:t xml:space="preserve">The table below sets out the remuneration received by the </w:t>
      </w:r>
      <w:r w:rsidR="001C7907">
        <w:rPr>
          <w:sz w:val="22"/>
          <w:szCs w:val="22"/>
        </w:rPr>
        <w:t>E</w:t>
      </w:r>
      <w:r w:rsidRPr="00FC1793">
        <w:rPr>
          <w:sz w:val="22"/>
          <w:szCs w:val="22"/>
        </w:rPr>
        <w:t xml:space="preserve">xecutive </w:t>
      </w:r>
      <w:r w:rsidR="001C7907">
        <w:rPr>
          <w:sz w:val="22"/>
          <w:szCs w:val="22"/>
        </w:rPr>
        <w:t>D</w:t>
      </w:r>
      <w:r w:rsidRPr="00FC1793">
        <w:rPr>
          <w:sz w:val="22"/>
          <w:szCs w:val="22"/>
        </w:rPr>
        <w:t xml:space="preserve">irectors for the </w:t>
      </w:r>
      <w:r w:rsidR="009C79A9">
        <w:rPr>
          <w:sz w:val="22"/>
          <w:szCs w:val="22"/>
        </w:rPr>
        <w:t>year</w:t>
      </w:r>
      <w:r w:rsidRPr="00FC1793">
        <w:rPr>
          <w:sz w:val="22"/>
          <w:szCs w:val="22"/>
        </w:rPr>
        <w:t xml:space="preserve"> ended 31 December </w:t>
      </w:r>
      <w:r w:rsidR="009C79A9" w:rsidRPr="00FC1793">
        <w:rPr>
          <w:sz w:val="22"/>
          <w:szCs w:val="22"/>
        </w:rPr>
        <w:t>20</w:t>
      </w:r>
      <w:r w:rsidR="009C79A9">
        <w:rPr>
          <w:sz w:val="22"/>
          <w:szCs w:val="22"/>
        </w:rPr>
        <w:t>20</w:t>
      </w:r>
      <w:r w:rsidRPr="00FC1793">
        <w:rPr>
          <w:sz w:val="22"/>
          <w:szCs w:val="22"/>
        </w:rPr>
        <w:t>:</w:t>
      </w:r>
    </w:p>
    <w:tbl>
      <w:tblPr>
        <w:tblStyle w:val="TableGrid"/>
        <w:tblW w:w="9915"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2364"/>
        <w:gridCol w:w="1881"/>
        <w:gridCol w:w="1559"/>
        <w:gridCol w:w="1559"/>
        <w:gridCol w:w="2552"/>
      </w:tblGrid>
      <w:tr w:rsidR="007D0070" w:rsidRPr="00FC1793" w14:paraId="2360EA18" w14:textId="77777777" w:rsidTr="007D0070">
        <w:tc>
          <w:tcPr>
            <w:tcW w:w="2364" w:type="dxa"/>
            <w:tcBorders>
              <w:top w:val="single" w:sz="6" w:space="0" w:color="auto"/>
              <w:bottom w:val="single" w:sz="6" w:space="0" w:color="auto"/>
              <w:right w:val="single" w:sz="6" w:space="0" w:color="auto"/>
            </w:tcBorders>
          </w:tcPr>
          <w:p w14:paraId="2A9D0188" w14:textId="77777777" w:rsidR="007D0070" w:rsidRPr="00FC1793" w:rsidRDefault="007D0070" w:rsidP="00294781">
            <w:pPr>
              <w:spacing w:after="120"/>
              <w:jc w:val="both"/>
              <w:rPr>
                <w:sz w:val="22"/>
                <w:szCs w:val="22"/>
              </w:rPr>
            </w:pPr>
          </w:p>
          <w:p w14:paraId="645090E7" w14:textId="77777777" w:rsidR="007D0070" w:rsidRPr="00FC1793" w:rsidRDefault="007D0070" w:rsidP="00294781">
            <w:pPr>
              <w:spacing w:after="120"/>
              <w:jc w:val="both"/>
              <w:rPr>
                <w:sz w:val="22"/>
                <w:szCs w:val="22"/>
              </w:rPr>
            </w:pPr>
          </w:p>
          <w:p w14:paraId="01D3C73D" w14:textId="77777777" w:rsidR="007D0070" w:rsidRPr="00FC1793" w:rsidRDefault="007D0070" w:rsidP="00294781">
            <w:pPr>
              <w:spacing w:after="120"/>
              <w:jc w:val="both"/>
              <w:rPr>
                <w:sz w:val="22"/>
                <w:szCs w:val="22"/>
              </w:rPr>
            </w:pPr>
            <w:r w:rsidRPr="00FC1793">
              <w:rPr>
                <w:sz w:val="22"/>
                <w:szCs w:val="22"/>
              </w:rPr>
              <w:t xml:space="preserve">Executive </w:t>
            </w:r>
            <w:r>
              <w:rPr>
                <w:sz w:val="22"/>
                <w:szCs w:val="22"/>
              </w:rPr>
              <w:t>d</w:t>
            </w:r>
            <w:r w:rsidRPr="00FC1793">
              <w:rPr>
                <w:sz w:val="22"/>
                <w:szCs w:val="22"/>
              </w:rPr>
              <w:t>irectors</w:t>
            </w:r>
          </w:p>
        </w:tc>
        <w:tc>
          <w:tcPr>
            <w:tcW w:w="1881" w:type="dxa"/>
            <w:tcBorders>
              <w:top w:val="single" w:sz="6" w:space="0" w:color="auto"/>
              <w:left w:val="single" w:sz="6" w:space="0" w:color="auto"/>
              <w:bottom w:val="single" w:sz="6" w:space="0" w:color="auto"/>
              <w:right w:val="single" w:sz="6" w:space="0" w:color="auto"/>
            </w:tcBorders>
          </w:tcPr>
          <w:p w14:paraId="348F100E" w14:textId="1A2C1F0B" w:rsidR="007D0070" w:rsidRPr="00FC1793" w:rsidRDefault="007D0070" w:rsidP="00294781">
            <w:pPr>
              <w:spacing w:after="120"/>
              <w:jc w:val="both"/>
              <w:rPr>
                <w:sz w:val="22"/>
                <w:szCs w:val="22"/>
              </w:rPr>
            </w:pPr>
            <w:r w:rsidRPr="00FC1793">
              <w:rPr>
                <w:sz w:val="22"/>
                <w:szCs w:val="22"/>
              </w:rPr>
              <w:t>Remuneration</w:t>
            </w:r>
          </w:p>
          <w:p w14:paraId="6F67B8F6" w14:textId="5CC6E034" w:rsidR="007D0070" w:rsidRPr="00FC1793" w:rsidRDefault="009C79A9" w:rsidP="00294781">
            <w:pPr>
              <w:spacing w:after="120"/>
              <w:jc w:val="both"/>
              <w:rPr>
                <w:sz w:val="22"/>
                <w:szCs w:val="22"/>
              </w:rPr>
            </w:pPr>
            <w:r>
              <w:rPr>
                <w:sz w:val="22"/>
                <w:szCs w:val="22"/>
              </w:rPr>
              <w:t>2020</w:t>
            </w:r>
          </w:p>
          <w:p w14:paraId="792F97F8" w14:textId="77777777" w:rsidR="007D0070" w:rsidRPr="00FC1793" w:rsidRDefault="007D0070" w:rsidP="00294781">
            <w:pPr>
              <w:spacing w:after="120"/>
              <w:jc w:val="both"/>
              <w:rPr>
                <w:sz w:val="22"/>
                <w:szCs w:val="22"/>
              </w:rPr>
            </w:pPr>
            <w:r w:rsidRPr="00FC1793">
              <w:rPr>
                <w:sz w:val="22"/>
                <w:szCs w:val="22"/>
              </w:rPr>
              <w:t xml:space="preserve"> £</w:t>
            </w:r>
          </w:p>
        </w:tc>
        <w:tc>
          <w:tcPr>
            <w:tcW w:w="1559" w:type="dxa"/>
            <w:tcBorders>
              <w:top w:val="single" w:sz="6" w:space="0" w:color="auto"/>
              <w:left w:val="single" w:sz="6" w:space="0" w:color="auto"/>
              <w:bottom w:val="single" w:sz="6" w:space="0" w:color="auto"/>
              <w:right w:val="single" w:sz="6" w:space="0" w:color="auto"/>
            </w:tcBorders>
          </w:tcPr>
          <w:p w14:paraId="0E153452" w14:textId="11E9091B" w:rsidR="009631C7" w:rsidRDefault="000E784C" w:rsidP="00294781">
            <w:pPr>
              <w:spacing w:after="120"/>
              <w:jc w:val="both"/>
              <w:rPr>
                <w:sz w:val="22"/>
                <w:szCs w:val="22"/>
              </w:rPr>
            </w:pPr>
            <w:r>
              <w:rPr>
                <w:sz w:val="22"/>
                <w:szCs w:val="22"/>
              </w:rPr>
              <w:t>Fees</w:t>
            </w:r>
          </w:p>
          <w:p w14:paraId="609F83C5" w14:textId="292A91BE" w:rsidR="007D0070" w:rsidRPr="00FC1793" w:rsidRDefault="009C79A9" w:rsidP="00294781">
            <w:pPr>
              <w:spacing w:after="120"/>
              <w:jc w:val="both"/>
              <w:rPr>
                <w:sz w:val="22"/>
                <w:szCs w:val="22"/>
              </w:rPr>
            </w:pPr>
            <w:r>
              <w:rPr>
                <w:sz w:val="22"/>
                <w:szCs w:val="22"/>
              </w:rPr>
              <w:t>2020</w:t>
            </w:r>
            <w:r w:rsidRPr="00FC1793">
              <w:rPr>
                <w:sz w:val="22"/>
                <w:szCs w:val="22"/>
              </w:rPr>
              <w:t xml:space="preserve"> </w:t>
            </w:r>
          </w:p>
          <w:p w14:paraId="628EF73A" w14:textId="77777777" w:rsidR="007D0070" w:rsidRPr="00FC1793" w:rsidRDefault="007D0070" w:rsidP="00294781">
            <w:pPr>
              <w:spacing w:after="120"/>
              <w:jc w:val="both"/>
              <w:rPr>
                <w:sz w:val="22"/>
                <w:szCs w:val="22"/>
              </w:rPr>
            </w:pPr>
            <w:r w:rsidRPr="00FC1793">
              <w:rPr>
                <w:sz w:val="22"/>
                <w:szCs w:val="22"/>
              </w:rPr>
              <w:t>£</w:t>
            </w:r>
          </w:p>
        </w:tc>
        <w:tc>
          <w:tcPr>
            <w:tcW w:w="1559" w:type="dxa"/>
            <w:tcBorders>
              <w:top w:val="single" w:sz="6" w:space="0" w:color="auto"/>
              <w:left w:val="single" w:sz="6" w:space="0" w:color="auto"/>
              <w:bottom w:val="single" w:sz="6" w:space="0" w:color="auto"/>
              <w:right w:val="single" w:sz="6" w:space="0" w:color="auto"/>
            </w:tcBorders>
          </w:tcPr>
          <w:p w14:paraId="21AF6408" w14:textId="77777777" w:rsidR="007D0070" w:rsidRPr="00FC1793" w:rsidRDefault="007D0070" w:rsidP="00294781">
            <w:pPr>
              <w:spacing w:after="120"/>
              <w:jc w:val="both"/>
              <w:rPr>
                <w:sz w:val="22"/>
                <w:szCs w:val="22"/>
              </w:rPr>
            </w:pPr>
            <w:r>
              <w:rPr>
                <w:sz w:val="22"/>
                <w:szCs w:val="22"/>
              </w:rPr>
              <w:t>Bonus</w:t>
            </w:r>
          </w:p>
          <w:p w14:paraId="609D5953" w14:textId="246F05AC" w:rsidR="007D0070" w:rsidRPr="00FC1793" w:rsidRDefault="009C79A9" w:rsidP="00294781">
            <w:pPr>
              <w:spacing w:after="120"/>
              <w:jc w:val="both"/>
              <w:rPr>
                <w:sz w:val="22"/>
                <w:szCs w:val="22"/>
              </w:rPr>
            </w:pPr>
            <w:r>
              <w:rPr>
                <w:sz w:val="22"/>
                <w:szCs w:val="22"/>
              </w:rPr>
              <w:t>2020</w:t>
            </w:r>
          </w:p>
          <w:p w14:paraId="0F78BDDD" w14:textId="77777777" w:rsidR="007D0070" w:rsidRPr="00FC1793" w:rsidRDefault="007D0070" w:rsidP="00294781">
            <w:pPr>
              <w:spacing w:after="120"/>
              <w:jc w:val="both"/>
              <w:rPr>
                <w:sz w:val="22"/>
                <w:szCs w:val="22"/>
              </w:rPr>
            </w:pPr>
            <w:r w:rsidRPr="00FC1793">
              <w:rPr>
                <w:sz w:val="22"/>
                <w:szCs w:val="22"/>
              </w:rPr>
              <w:t>£</w:t>
            </w:r>
          </w:p>
        </w:tc>
        <w:tc>
          <w:tcPr>
            <w:tcW w:w="2552" w:type="dxa"/>
            <w:tcBorders>
              <w:top w:val="single" w:sz="6" w:space="0" w:color="auto"/>
              <w:left w:val="single" w:sz="6" w:space="0" w:color="auto"/>
              <w:bottom w:val="single" w:sz="6" w:space="0" w:color="auto"/>
            </w:tcBorders>
          </w:tcPr>
          <w:p w14:paraId="261892AA" w14:textId="77777777" w:rsidR="007D0070" w:rsidRPr="00FC1793" w:rsidRDefault="007D0070" w:rsidP="00294781">
            <w:pPr>
              <w:spacing w:after="120"/>
              <w:jc w:val="both"/>
              <w:rPr>
                <w:sz w:val="22"/>
                <w:szCs w:val="22"/>
              </w:rPr>
            </w:pPr>
            <w:r w:rsidRPr="00FC1793">
              <w:rPr>
                <w:sz w:val="22"/>
                <w:szCs w:val="22"/>
              </w:rPr>
              <w:t>Total</w:t>
            </w:r>
          </w:p>
          <w:p w14:paraId="17BF5342" w14:textId="7BD24777" w:rsidR="007D0070" w:rsidRPr="00FC1793" w:rsidRDefault="009C79A9" w:rsidP="00294781">
            <w:pPr>
              <w:spacing w:after="120"/>
              <w:jc w:val="both"/>
              <w:rPr>
                <w:sz w:val="22"/>
                <w:szCs w:val="22"/>
              </w:rPr>
            </w:pPr>
            <w:r>
              <w:rPr>
                <w:sz w:val="22"/>
                <w:szCs w:val="22"/>
              </w:rPr>
              <w:t>2020</w:t>
            </w:r>
          </w:p>
          <w:p w14:paraId="21E9DA1A" w14:textId="77777777" w:rsidR="007D0070" w:rsidRPr="00FC1793" w:rsidRDefault="007D0070" w:rsidP="00294781">
            <w:pPr>
              <w:spacing w:after="120"/>
              <w:jc w:val="both"/>
              <w:rPr>
                <w:sz w:val="22"/>
                <w:szCs w:val="22"/>
              </w:rPr>
            </w:pPr>
            <w:r w:rsidRPr="00FC1793">
              <w:rPr>
                <w:sz w:val="22"/>
                <w:szCs w:val="22"/>
              </w:rPr>
              <w:t>£</w:t>
            </w:r>
          </w:p>
        </w:tc>
      </w:tr>
      <w:tr w:rsidR="007D0070" w:rsidRPr="00FC1793" w14:paraId="437AD98C" w14:textId="77777777" w:rsidTr="007D0070">
        <w:tc>
          <w:tcPr>
            <w:tcW w:w="2364" w:type="dxa"/>
            <w:tcBorders>
              <w:top w:val="single" w:sz="6" w:space="0" w:color="auto"/>
              <w:right w:val="single" w:sz="6" w:space="0" w:color="auto"/>
            </w:tcBorders>
          </w:tcPr>
          <w:p w14:paraId="58015B9B" w14:textId="77777777" w:rsidR="007D0070" w:rsidRPr="00FC1793" w:rsidRDefault="007D0070" w:rsidP="00294781">
            <w:pPr>
              <w:spacing w:after="120"/>
              <w:jc w:val="both"/>
              <w:rPr>
                <w:sz w:val="22"/>
                <w:szCs w:val="22"/>
              </w:rPr>
            </w:pPr>
            <w:r>
              <w:rPr>
                <w:sz w:val="22"/>
                <w:szCs w:val="22"/>
              </w:rPr>
              <w:t>R Gerritsen</w:t>
            </w:r>
          </w:p>
        </w:tc>
        <w:tc>
          <w:tcPr>
            <w:tcW w:w="1881" w:type="dxa"/>
            <w:tcBorders>
              <w:top w:val="single" w:sz="6" w:space="0" w:color="auto"/>
              <w:left w:val="single" w:sz="6" w:space="0" w:color="auto"/>
              <w:right w:val="single" w:sz="6" w:space="0" w:color="auto"/>
            </w:tcBorders>
          </w:tcPr>
          <w:p w14:paraId="47242EB0" w14:textId="758B88DD" w:rsidR="007D0070" w:rsidRPr="00FC1793" w:rsidRDefault="009C79A9" w:rsidP="00294781">
            <w:pPr>
              <w:spacing w:after="120"/>
              <w:jc w:val="both"/>
              <w:rPr>
                <w:sz w:val="22"/>
                <w:szCs w:val="22"/>
              </w:rPr>
            </w:pPr>
            <w:r>
              <w:rPr>
                <w:sz w:val="22"/>
                <w:szCs w:val="22"/>
              </w:rPr>
              <w:t>47,167</w:t>
            </w:r>
          </w:p>
        </w:tc>
        <w:tc>
          <w:tcPr>
            <w:tcW w:w="1559" w:type="dxa"/>
            <w:tcBorders>
              <w:top w:val="single" w:sz="6" w:space="0" w:color="auto"/>
              <w:left w:val="single" w:sz="6" w:space="0" w:color="auto"/>
              <w:right w:val="single" w:sz="6" w:space="0" w:color="auto"/>
            </w:tcBorders>
          </w:tcPr>
          <w:p w14:paraId="521FE68F" w14:textId="167E2B32" w:rsidR="007D0070" w:rsidRPr="00FC1793" w:rsidRDefault="00D95A19" w:rsidP="00294781">
            <w:pPr>
              <w:spacing w:after="120"/>
              <w:jc w:val="both"/>
              <w:rPr>
                <w:sz w:val="22"/>
                <w:szCs w:val="22"/>
              </w:rPr>
            </w:pPr>
            <w:r>
              <w:rPr>
                <w:sz w:val="22"/>
                <w:szCs w:val="22"/>
              </w:rPr>
              <w:t>92,425</w:t>
            </w:r>
          </w:p>
        </w:tc>
        <w:tc>
          <w:tcPr>
            <w:tcW w:w="1559" w:type="dxa"/>
            <w:tcBorders>
              <w:top w:val="single" w:sz="6" w:space="0" w:color="auto"/>
              <w:left w:val="single" w:sz="6" w:space="0" w:color="auto"/>
              <w:right w:val="single" w:sz="6" w:space="0" w:color="auto"/>
            </w:tcBorders>
          </w:tcPr>
          <w:p w14:paraId="2CDCE6E0" w14:textId="00C11AAA" w:rsidR="007D0070" w:rsidRPr="00FC1793" w:rsidRDefault="009C79A9" w:rsidP="00294781">
            <w:pPr>
              <w:spacing w:after="120"/>
              <w:jc w:val="both"/>
              <w:rPr>
                <w:sz w:val="22"/>
                <w:szCs w:val="22"/>
              </w:rPr>
            </w:pPr>
            <w:r>
              <w:rPr>
                <w:sz w:val="22"/>
                <w:szCs w:val="22"/>
              </w:rPr>
              <w:t>-</w:t>
            </w:r>
          </w:p>
        </w:tc>
        <w:tc>
          <w:tcPr>
            <w:tcW w:w="2552" w:type="dxa"/>
            <w:tcBorders>
              <w:top w:val="single" w:sz="6" w:space="0" w:color="auto"/>
              <w:left w:val="single" w:sz="6" w:space="0" w:color="auto"/>
            </w:tcBorders>
          </w:tcPr>
          <w:p w14:paraId="3191DA92" w14:textId="0C0CF77B" w:rsidR="007D0070" w:rsidRPr="00FC1793" w:rsidRDefault="00D95A19" w:rsidP="00294781">
            <w:pPr>
              <w:spacing w:after="120"/>
              <w:jc w:val="both"/>
              <w:rPr>
                <w:sz w:val="22"/>
                <w:szCs w:val="22"/>
              </w:rPr>
            </w:pPr>
            <w:r>
              <w:rPr>
                <w:sz w:val="22"/>
                <w:szCs w:val="22"/>
              </w:rPr>
              <w:t>139,592</w:t>
            </w:r>
          </w:p>
        </w:tc>
      </w:tr>
      <w:tr w:rsidR="007D0070" w:rsidRPr="00FC1793" w14:paraId="7546525E" w14:textId="77777777" w:rsidTr="007D0070">
        <w:tc>
          <w:tcPr>
            <w:tcW w:w="2364" w:type="dxa"/>
            <w:tcBorders>
              <w:bottom w:val="single" w:sz="6" w:space="0" w:color="auto"/>
              <w:right w:val="single" w:sz="6" w:space="0" w:color="auto"/>
            </w:tcBorders>
          </w:tcPr>
          <w:p w14:paraId="5AF8A6C6" w14:textId="77777777" w:rsidR="007D0070" w:rsidRPr="00FC1793" w:rsidRDefault="007D0070" w:rsidP="00294781">
            <w:pPr>
              <w:spacing w:after="120"/>
              <w:jc w:val="both"/>
              <w:rPr>
                <w:sz w:val="22"/>
                <w:szCs w:val="22"/>
              </w:rPr>
            </w:pPr>
            <w:r>
              <w:rPr>
                <w:sz w:val="22"/>
                <w:szCs w:val="22"/>
              </w:rPr>
              <w:t>P Rocco</w:t>
            </w:r>
          </w:p>
        </w:tc>
        <w:tc>
          <w:tcPr>
            <w:tcW w:w="1881" w:type="dxa"/>
            <w:tcBorders>
              <w:left w:val="single" w:sz="6" w:space="0" w:color="auto"/>
              <w:bottom w:val="single" w:sz="6" w:space="0" w:color="auto"/>
              <w:right w:val="single" w:sz="6" w:space="0" w:color="auto"/>
            </w:tcBorders>
          </w:tcPr>
          <w:p w14:paraId="1022EEBF" w14:textId="7A80DF46" w:rsidR="007D0070" w:rsidRPr="00677089" w:rsidRDefault="009C79A9" w:rsidP="00294781">
            <w:pPr>
              <w:spacing w:after="120"/>
              <w:jc w:val="both"/>
              <w:rPr>
                <w:sz w:val="22"/>
                <w:szCs w:val="22"/>
              </w:rPr>
            </w:pPr>
            <w:r>
              <w:rPr>
                <w:sz w:val="22"/>
                <w:szCs w:val="22"/>
              </w:rPr>
              <w:t>12,500</w:t>
            </w:r>
          </w:p>
        </w:tc>
        <w:tc>
          <w:tcPr>
            <w:tcW w:w="1559" w:type="dxa"/>
            <w:tcBorders>
              <w:left w:val="single" w:sz="6" w:space="0" w:color="auto"/>
              <w:bottom w:val="single" w:sz="6" w:space="0" w:color="auto"/>
              <w:right w:val="single" w:sz="6" w:space="0" w:color="auto"/>
            </w:tcBorders>
          </w:tcPr>
          <w:p w14:paraId="272DCFAF" w14:textId="014BDDAE" w:rsidR="007D0070" w:rsidRPr="00677089" w:rsidRDefault="00D95A19" w:rsidP="00294781">
            <w:pPr>
              <w:spacing w:after="120"/>
              <w:jc w:val="both"/>
              <w:rPr>
                <w:sz w:val="22"/>
                <w:szCs w:val="22"/>
              </w:rPr>
            </w:pPr>
            <w:r>
              <w:rPr>
                <w:sz w:val="22"/>
                <w:szCs w:val="22"/>
              </w:rPr>
              <w:t>44,167</w:t>
            </w:r>
          </w:p>
        </w:tc>
        <w:tc>
          <w:tcPr>
            <w:tcW w:w="1559" w:type="dxa"/>
            <w:tcBorders>
              <w:left w:val="single" w:sz="6" w:space="0" w:color="auto"/>
              <w:bottom w:val="single" w:sz="6" w:space="0" w:color="auto"/>
              <w:right w:val="single" w:sz="6" w:space="0" w:color="auto"/>
            </w:tcBorders>
          </w:tcPr>
          <w:p w14:paraId="23852C31" w14:textId="77777777" w:rsidR="007D0070" w:rsidRPr="00677089" w:rsidDel="00C637FD" w:rsidRDefault="007D0070" w:rsidP="00294781">
            <w:pPr>
              <w:spacing w:after="120"/>
              <w:jc w:val="both"/>
              <w:rPr>
                <w:sz w:val="22"/>
                <w:szCs w:val="22"/>
              </w:rPr>
            </w:pPr>
            <w:r w:rsidRPr="00677089">
              <w:rPr>
                <w:sz w:val="22"/>
                <w:szCs w:val="22"/>
              </w:rPr>
              <w:t>-</w:t>
            </w:r>
          </w:p>
        </w:tc>
        <w:tc>
          <w:tcPr>
            <w:tcW w:w="2552" w:type="dxa"/>
            <w:tcBorders>
              <w:left w:val="single" w:sz="6" w:space="0" w:color="auto"/>
              <w:bottom w:val="single" w:sz="6" w:space="0" w:color="auto"/>
            </w:tcBorders>
          </w:tcPr>
          <w:p w14:paraId="46FD0F72" w14:textId="687EE89F" w:rsidR="007D0070" w:rsidRPr="00677089" w:rsidRDefault="00D95A19" w:rsidP="00294781">
            <w:pPr>
              <w:spacing w:after="120"/>
              <w:jc w:val="both"/>
              <w:rPr>
                <w:sz w:val="22"/>
                <w:szCs w:val="22"/>
              </w:rPr>
            </w:pPr>
            <w:r>
              <w:rPr>
                <w:sz w:val="22"/>
                <w:szCs w:val="22"/>
              </w:rPr>
              <w:t>56,667</w:t>
            </w:r>
          </w:p>
        </w:tc>
      </w:tr>
      <w:tr w:rsidR="007D0070" w:rsidRPr="00FC1793" w14:paraId="475EFE96" w14:textId="77777777" w:rsidTr="007D0070">
        <w:tc>
          <w:tcPr>
            <w:tcW w:w="2364" w:type="dxa"/>
            <w:tcBorders>
              <w:top w:val="single" w:sz="6" w:space="0" w:color="auto"/>
              <w:bottom w:val="double" w:sz="4" w:space="0" w:color="auto"/>
              <w:right w:val="single" w:sz="6" w:space="0" w:color="auto"/>
            </w:tcBorders>
          </w:tcPr>
          <w:p w14:paraId="25D2C4B4" w14:textId="77777777" w:rsidR="007D0070" w:rsidRPr="00FC1793" w:rsidRDefault="007D0070" w:rsidP="00294781">
            <w:pPr>
              <w:spacing w:after="120"/>
              <w:jc w:val="both"/>
              <w:rPr>
                <w:b/>
                <w:sz w:val="22"/>
                <w:szCs w:val="22"/>
              </w:rPr>
            </w:pPr>
            <w:r w:rsidRPr="00FC1793">
              <w:rPr>
                <w:b/>
                <w:sz w:val="22"/>
                <w:szCs w:val="22"/>
              </w:rPr>
              <w:t>Total</w:t>
            </w:r>
          </w:p>
        </w:tc>
        <w:tc>
          <w:tcPr>
            <w:tcW w:w="1881" w:type="dxa"/>
            <w:tcBorders>
              <w:top w:val="single" w:sz="6" w:space="0" w:color="auto"/>
              <w:left w:val="single" w:sz="6" w:space="0" w:color="auto"/>
              <w:bottom w:val="double" w:sz="4" w:space="0" w:color="auto"/>
              <w:right w:val="single" w:sz="6" w:space="0" w:color="auto"/>
            </w:tcBorders>
          </w:tcPr>
          <w:p w14:paraId="21D0FE3E" w14:textId="1A5447B3" w:rsidR="007D0070" w:rsidRPr="00FC1793" w:rsidDel="00C637FD" w:rsidRDefault="009C79A9" w:rsidP="00294781">
            <w:pPr>
              <w:spacing w:after="120"/>
              <w:jc w:val="both"/>
              <w:rPr>
                <w:b/>
                <w:sz w:val="22"/>
                <w:szCs w:val="22"/>
              </w:rPr>
            </w:pPr>
            <w:r>
              <w:rPr>
                <w:b/>
                <w:sz w:val="22"/>
                <w:szCs w:val="22"/>
              </w:rPr>
              <w:t>59,667</w:t>
            </w:r>
          </w:p>
        </w:tc>
        <w:tc>
          <w:tcPr>
            <w:tcW w:w="1559" w:type="dxa"/>
            <w:tcBorders>
              <w:top w:val="single" w:sz="6" w:space="0" w:color="auto"/>
              <w:left w:val="single" w:sz="6" w:space="0" w:color="auto"/>
              <w:bottom w:val="double" w:sz="4" w:space="0" w:color="auto"/>
              <w:right w:val="single" w:sz="6" w:space="0" w:color="auto"/>
            </w:tcBorders>
          </w:tcPr>
          <w:p w14:paraId="69B6439F" w14:textId="56841EBF" w:rsidR="007D0070" w:rsidRPr="00FC1793" w:rsidDel="00C637FD" w:rsidRDefault="00D95A19" w:rsidP="00294781">
            <w:pPr>
              <w:spacing w:after="120"/>
              <w:jc w:val="both"/>
              <w:rPr>
                <w:b/>
                <w:sz w:val="22"/>
                <w:szCs w:val="22"/>
              </w:rPr>
            </w:pPr>
            <w:r>
              <w:rPr>
                <w:b/>
                <w:sz w:val="22"/>
                <w:szCs w:val="22"/>
              </w:rPr>
              <w:t>136,592</w:t>
            </w:r>
          </w:p>
        </w:tc>
        <w:tc>
          <w:tcPr>
            <w:tcW w:w="1559" w:type="dxa"/>
            <w:tcBorders>
              <w:top w:val="single" w:sz="6" w:space="0" w:color="auto"/>
              <w:left w:val="single" w:sz="6" w:space="0" w:color="auto"/>
              <w:bottom w:val="double" w:sz="4" w:space="0" w:color="auto"/>
              <w:right w:val="single" w:sz="6" w:space="0" w:color="auto"/>
            </w:tcBorders>
          </w:tcPr>
          <w:p w14:paraId="104D2652" w14:textId="0B2893D9" w:rsidR="007D0070" w:rsidRPr="00FC1793" w:rsidRDefault="009C79A9" w:rsidP="00294781">
            <w:pPr>
              <w:spacing w:after="120"/>
              <w:jc w:val="both"/>
              <w:rPr>
                <w:b/>
                <w:sz w:val="22"/>
                <w:szCs w:val="22"/>
              </w:rPr>
            </w:pPr>
            <w:r>
              <w:rPr>
                <w:b/>
                <w:sz w:val="22"/>
                <w:szCs w:val="22"/>
              </w:rPr>
              <w:t>-</w:t>
            </w:r>
          </w:p>
        </w:tc>
        <w:tc>
          <w:tcPr>
            <w:tcW w:w="2552" w:type="dxa"/>
            <w:tcBorders>
              <w:top w:val="single" w:sz="6" w:space="0" w:color="auto"/>
              <w:left w:val="single" w:sz="6" w:space="0" w:color="auto"/>
              <w:bottom w:val="double" w:sz="4" w:space="0" w:color="auto"/>
            </w:tcBorders>
          </w:tcPr>
          <w:p w14:paraId="7AC3DF6B" w14:textId="34B1DADE" w:rsidR="007D0070" w:rsidRPr="00FC1793" w:rsidDel="00C637FD" w:rsidRDefault="00D95A19" w:rsidP="00294781">
            <w:pPr>
              <w:spacing w:after="120"/>
              <w:jc w:val="both"/>
              <w:rPr>
                <w:b/>
                <w:sz w:val="22"/>
                <w:szCs w:val="22"/>
              </w:rPr>
            </w:pPr>
            <w:r>
              <w:rPr>
                <w:b/>
                <w:sz w:val="22"/>
                <w:szCs w:val="22"/>
              </w:rPr>
              <w:t>196,259</w:t>
            </w:r>
          </w:p>
        </w:tc>
      </w:tr>
    </w:tbl>
    <w:p w14:paraId="22599DEE" w14:textId="77777777" w:rsidR="007D0070" w:rsidRDefault="007D0070" w:rsidP="007D0070">
      <w:pPr>
        <w:spacing w:after="120"/>
        <w:jc w:val="both"/>
        <w:rPr>
          <w:sz w:val="22"/>
          <w:szCs w:val="22"/>
        </w:rPr>
      </w:pPr>
    </w:p>
    <w:p w14:paraId="630C7A57" w14:textId="77777777" w:rsidR="007D0070" w:rsidRPr="00FC1793" w:rsidRDefault="007D0070" w:rsidP="007D0070">
      <w:pPr>
        <w:spacing w:after="120"/>
        <w:jc w:val="both"/>
        <w:rPr>
          <w:b/>
          <w:sz w:val="22"/>
          <w:szCs w:val="22"/>
        </w:rPr>
      </w:pPr>
      <w:r w:rsidRPr="00FC1793">
        <w:rPr>
          <w:b/>
          <w:sz w:val="22"/>
          <w:szCs w:val="22"/>
        </w:rPr>
        <w:t>Non-</w:t>
      </w:r>
      <w:r>
        <w:rPr>
          <w:b/>
          <w:sz w:val="22"/>
          <w:szCs w:val="22"/>
        </w:rPr>
        <w:t>e</w:t>
      </w:r>
      <w:r w:rsidRPr="00FC1793">
        <w:rPr>
          <w:b/>
          <w:sz w:val="22"/>
          <w:szCs w:val="22"/>
        </w:rPr>
        <w:t xml:space="preserve">xecutive </w:t>
      </w:r>
      <w:r>
        <w:rPr>
          <w:b/>
          <w:sz w:val="22"/>
          <w:szCs w:val="22"/>
        </w:rPr>
        <w:t>d</w:t>
      </w:r>
      <w:r w:rsidRPr="00FC1793">
        <w:rPr>
          <w:b/>
          <w:sz w:val="22"/>
          <w:szCs w:val="22"/>
        </w:rPr>
        <w:t>irectors’ remuneration - Audited</w:t>
      </w:r>
    </w:p>
    <w:p w14:paraId="70BE555C" w14:textId="4C3A00DB" w:rsidR="007D0070" w:rsidRPr="00FC1793" w:rsidRDefault="007D0070" w:rsidP="007D0070">
      <w:pPr>
        <w:spacing w:after="120"/>
        <w:jc w:val="both"/>
        <w:rPr>
          <w:sz w:val="22"/>
          <w:szCs w:val="22"/>
        </w:rPr>
      </w:pPr>
      <w:r w:rsidRPr="00FC1793">
        <w:rPr>
          <w:sz w:val="22"/>
          <w:szCs w:val="22"/>
        </w:rPr>
        <w:t xml:space="preserve">The table below sets out the remuneration received by </w:t>
      </w:r>
      <w:r w:rsidR="009C79A9">
        <w:rPr>
          <w:sz w:val="22"/>
          <w:szCs w:val="22"/>
        </w:rPr>
        <w:t>the</w:t>
      </w:r>
      <w:r w:rsidRPr="00FC1793">
        <w:rPr>
          <w:sz w:val="22"/>
          <w:szCs w:val="22"/>
        </w:rPr>
        <w:t xml:space="preserve"> </w:t>
      </w:r>
      <w:r w:rsidR="001C7907">
        <w:rPr>
          <w:sz w:val="22"/>
          <w:szCs w:val="22"/>
        </w:rPr>
        <w:t>N</w:t>
      </w:r>
      <w:r w:rsidRPr="00FC1793">
        <w:rPr>
          <w:sz w:val="22"/>
          <w:szCs w:val="22"/>
        </w:rPr>
        <w:t>on-</w:t>
      </w:r>
      <w:r w:rsidR="001C7907">
        <w:rPr>
          <w:sz w:val="22"/>
          <w:szCs w:val="22"/>
        </w:rPr>
        <w:t>E</w:t>
      </w:r>
      <w:r w:rsidRPr="00FC1793">
        <w:rPr>
          <w:sz w:val="22"/>
          <w:szCs w:val="22"/>
        </w:rPr>
        <w:t xml:space="preserve">xecutive </w:t>
      </w:r>
      <w:r w:rsidR="001C7907">
        <w:rPr>
          <w:sz w:val="22"/>
          <w:szCs w:val="22"/>
        </w:rPr>
        <w:t>D</w:t>
      </w:r>
      <w:r w:rsidRPr="00FC1793">
        <w:rPr>
          <w:sz w:val="22"/>
          <w:szCs w:val="22"/>
        </w:rPr>
        <w:t>irector</w:t>
      </w:r>
      <w:r w:rsidR="009C79A9">
        <w:rPr>
          <w:sz w:val="22"/>
          <w:szCs w:val="22"/>
        </w:rPr>
        <w:t>s</w:t>
      </w:r>
      <w:r w:rsidRPr="00FC1793">
        <w:rPr>
          <w:sz w:val="22"/>
          <w:szCs w:val="22"/>
        </w:rPr>
        <w:t xml:space="preserve"> during the</w:t>
      </w:r>
      <w:r>
        <w:rPr>
          <w:sz w:val="22"/>
          <w:szCs w:val="22"/>
        </w:rPr>
        <w:t xml:space="preserve"> </w:t>
      </w:r>
      <w:r w:rsidR="009C79A9">
        <w:rPr>
          <w:sz w:val="22"/>
          <w:szCs w:val="22"/>
        </w:rPr>
        <w:t>year</w:t>
      </w:r>
      <w:r w:rsidRPr="00FC1793">
        <w:rPr>
          <w:sz w:val="22"/>
          <w:szCs w:val="22"/>
        </w:rPr>
        <w:t xml:space="preserve"> ended 31 December </w:t>
      </w:r>
      <w:r w:rsidR="009C79A9" w:rsidRPr="00FC1793">
        <w:rPr>
          <w:sz w:val="22"/>
          <w:szCs w:val="22"/>
        </w:rPr>
        <w:t>20</w:t>
      </w:r>
      <w:r w:rsidR="009C79A9">
        <w:rPr>
          <w:sz w:val="22"/>
          <w:szCs w:val="22"/>
        </w:rPr>
        <w:t>20</w:t>
      </w:r>
      <w:r w:rsidRPr="00FC1793">
        <w:rPr>
          <w:sz w:val="22"/>
          <w:szCs w:val="22"/>
        </w:rPr>
        <w:t>:</w:t>
      </w:r>
    </w:p>
    <w:tbl>
      <w:tblPr>
        <w:tblStyle w:val="TableGrid"/>
        <w:tblW w:w="0" w:type="auto"/>
        <w:tblBorders>
          <w:insideH w:val="none" w:sz="0" w:space="0" w:color="auto"/>
        </w:tblBorders>
        <w:tblLook w:val="04A0" w:firstRow="1" w:lastRow="0" w:firstColumn="1" w:lastColumn="0" w:noHBand="0" w:noVBand="1"/>
      </w:tblPr>
      <w:tblGrid>
        <w:gridCol w:w="2403"/>
        <w:gridCol w:w="1845"/>
        <w:gridCol w:w="1559"/>
        <w:gridCol w:w="1559"/>
        <w:gridCol w:w="2552"/>
      </w:tblGrid>
      <w:tr w:rsidR="007D0070" w:rsidRPr="00FC1793" w14:paraId="7561F79E" w14:textId="77777777" w:rsidTr="007D0070">
        <w:tc>
          <w:tcPr>
            <w:tcW w:w="2403" w:type="dxa"/>
            <w:tcBorders>
              <w:top w:val="single" w:sz="4" w:space="0" w:color="auto"/>
              <w:bottom w:val="single" w:sz="4" w:space="0" w:color="auto"/>
            </w:tcBorders>
          </w:tcPr>
          <w:p w14:paraId="50DDB0FE" w14:textId="77777777" w:rsidR="007D0070" w:rsidRPr="00FC1793" w:rsidRDefault="007D0070" w:rsidP="00294781">
            <w:pPr>
              <w:spacing w:after="120"/>
              <w:jc w:val="both"/>
              <w:rPr>
                <w:sz w:val="22"/>
                <w:szCs w:val="22"/>
              </w:rPr>
            </w:pPr>
          </w:p>
          <w:p w14:paraId="63DBE2CD" w14:textId="77777777" w:rsidR="007D0070" w:rsidRPr="00FC1793" w:rsidRDefault="007D0070" w:rsidP="00294781">
            <w:pPr>
              <w:spacing w:after="120"/>
              <w:jc w:val="both"/>
              <w:rPr>
                <w:sz w:val="22"/>
                <w:szCs w:val="22"/>
              </w:rPr>
            </w:pPr>
          </w:p>
          <w:p w14:paraId="0598CD36" w14:textId="77777777" w:rsidR="007D0070" w:rsidRPr="00FC1793" w:rsidRDefault="007D0070" w:rsidP="00294781">
            <w:pPr>
              <w:spacing w:after="120"/>
              <w:jc w:val="both"/>
              <w:rPr>
                <w:sz w:val="22"/>
                <w:szCs w:val="22"/>
              </w:rPr>
            </w:pPr>
            <w:r w:rsidRPr="00FC1793">
              <w:rPr>
                <w:sz w:val="22"/>
                <w:szCs w:val="22"/>
              </w:rPr>
              <w:t>Non-</w:t>
            </w:r>
            <w:r>
              <w:rPr>
                <w:sz w:val="22"/>
                <w:szCs w:val="22"/>
              </w:rPr>
              <w:t>e</w:t>
            </w:r>
            <w:r w:rsidRPr="00FC1793">
              <w:rPr>
                <w:sz w:val="22"/>
                <w:szCs w:val="22"/>
              </w:rPr>
              <w:t xml:space="preserve">xecutive </w:t>
            </w:r>
            <w:r>
              <w:rPr>
                <w:sz w:val="22"/>
                <w:szCs w:val="22"/>
              </w:rPr>
              <w:t>d</w:t>
            </w:r>
            <w:r w:rsidRPr="00FC1793">
              <w:rPr>
                <w:sz w:val="22"/>
                <w:szCs w:val="22"/>
              </w:rPr>
              <w:t>irectors</w:t>
            </w:r>
          </w:p>
        </w:tc>
        <w:tc>
          <w:tcPr>
            <w:tcW w:w="1845" w:type="dxa"/>
            <w:tcBorders>
              <w:top w:val="single" w:sz="4" w:space="0" w:color="auto"/>
              <w:bottom w:val="single" w:sz="4" w:space="0" w:color="auto"/>
            </w:tcBorders>
          </w:tcPr>
          <w:p w14:paraId="520531F6" w14:textId="77777777" w:rsidR="007D0070" w:rsidRPr="00FC1793" w:rsidRDefault="007D0070" w:rsidP="00294781">
            <w:pPr>
              <w:spacing w:after="120"/>
              <w:jc w:val="both"/>
              <w:rPr>
                <w:sz w:val="22"/>
                <w:szCs w:val="22"/>
              </w:rPr>
            </w:pPr>
            <w:r w:rsidRPr="00FC1793">
              <w:rPr>
                <w:sz w:val="22"/>
                <w:szCs w:val="22"/>
              </w:rPr>
              <w:t>Remuneration</w:t>
            </w:r>
          </w:p>
          <w:p w14:paraId="2C5A7DB0" w14:textId="2F9FF652" w:rsidR="007D0070" w:rsidRPr="00FC1793" w:rsidRDefault="009C79A9" w:rsidP="00294781">
            <w:pPr>
              <w:spacing w:after="120"/>
              <w:jc w:val="both"/>
              <w:rPr>
                <w:sz w:val="22"/>
                <w:szCs w:val="22"/>
              </w:rPr>
            </w:pPr>
            <w:r w:rsidRPr="00FC1793">
              <w:rPr>
                <w:sz w:val="22"/>
                <w:szCs w:val="22"/>
              </w:rPr>
              <w:t>20</w:t>
            </w:r>
            <w:r>
              <w:rPr>
                <w:sz w:val="22"/>
                <w:szCs w:val="22"/>
              </w:rPr>
              <w:t>20</w:t>
            </w:r>
          </w:p>
          <w:p w14:paraId="2694A22E" w14:textId="77777777" w:rsidR="007D0070" w:rsidRPr="00FC1793" w:rsidRDefault="007D0070" w:rsidP="00294781">
            <w:pPr>
              <w:spacing w:after="120"/>
              <w:jc w:val="both"/>
              <w:rPr>
                <w:sz w:val="22"/>
                <w:szCs w:val="22"/>
              </w:rPr>
            </w:pPr>
            <w:r w:rsidRPr="00FC1793">
              <w:rPr>
                <w:sz w:val="22"/>
                <w:szCs w:val="22"/>
              </w:rPr>
              <w:t xml:space="preserve"> £</w:t>
            </w:r>
          </w:p>
        </w:tc>
        <w:tc>
          <w:tcPr>
            <w:tcW w:w="1559" w:type="dxa"/>
            <w:tcBorders>
              <w:top w:val="single" w:sz="4" w:space="0" w:color="auto"/>
              <w:bottom w:val="single" w:sz="4" w:space="0" w:color="auto"/>
            </w:tcBorders>
          </w:tcPr>
          <w:p w14:paraId="2F1E7F00" w14:textId="77777777" w:rsidR="007D0070" w:rsidRPr="00FC1793" w:rsidRDefault="007D0070" w:rsidP="00294781">
            <w:pPr>
              <w:spacing w:after="120"/>
              <w:jc w:val="both"/>
              <w:rPr>
                <w:sz w:val="22"/>
                <w:szCs w:val="22"/>
              </w:rPr>
            </w:pPr>
            <w:r>
              <w:rPr>
                <w:sz w:val="22"/>
                <w:szCs w:val="22"/>
              </w:rPr>
              <w:t>Fees</w:t>
            </w:r>
          </w:p>
          <w:p w14:paraId="3FFAF6FF" w14:textId="3A55D69D" w:rsidR="007D0070" w:rsidRPr="00FC1793" w:rsidRDefault="009C79A9" w:rsidP="00294781">
            <w:pPr>
              <w:spacing w:after="120"/>
              <w:jc w:val="both"/>
              <w:rPr>
                <w:sz w:val="22"/>
                <w:szCs w:val="22"/>
              </w:rPr>
            </w:pPr>
            <w:r w:rsidRPr="00FC1793">
              <w:rPr>
                <w:sz w:val="22"/>
                <w:szCs w:val="22"/>
              </w:rPr>
              <w:t>20</w:t>
            </w:r>
            <w:r>
              <w:rPr>
                <w:sz w:val="22"/>
                <w:szCs w:val="22"/>
              </w:rPr>
              <w:t>20</w:t>
            </w:r>
          </w:p>
          <w:p w14:paraId="19E25FDE" w14:textId="77777777" w:rsidR="007D0070" w:rsidRPr="00FC1793" w:rsidRDefault="007D0070" w:rsidP="00294781">
            <w:pPr>
              <w:spacing w:after="120"/>
              <w:jc w:val="both"/>
              <w:rPr>
                <w:sz w:val="22"/>
                <w:szCs w:val="22"/>
              </w:rPr>
            </w:pPr>
            <w:r w:rsidRPr="00FC1793">
              <w:rPr>
                <w:sz w:val="22"/>
                <w:szCs w:val="22"/>
              </w:rPr>
              <w:t>£</w:t>
            </w:r>
          </w:p>
        </w:tc>
        <w:tc>
          <w:tcPr>
            <w:tcW w:w="1559" w:type="dxa"/>
            <w:tcBorders>
              <w:top w:val="single" w:sz="4" w:space="0" w:color="auto"/>
              <w:bottom w:val="single" w:sz="4" w:space="0" w:color="auto"/>
            </w:tcBorders>
          </w:tcPr>
          <w:p w14:paraId="1C848937" w14:textId="77777777" w:rsidR="007D0070" w:rsidRPr="00FC1793" w:rsidRDefault="007D0070" w:rsidP="00294781">
            <w:pPr>
              <w:spacing w:after="120"/>
              <w:jc w:val="both"/>
              <w:rPr>
                <w:sz w:val="22"/>
                <w:szCs w:val="22"/>
              </w:rPr>
            </w:pPr>
            <w:r>
              <w:rPr>
                <w:sz w:val="22"/>
                <w:szCs w:val="22"/>
              </w:rPr>
              <w:t>Bonus</w:t>
            </w:r>
          </w:p>
          <w:p w14:paraId="2390B3FC" w14:textId="3410E8A9" w:rsidR="007D0070" w:rsidRPr="00FC1793" w:rsidRDefault="009C79A9" w:rsidP="00294781">
            <w:pPr>
              <w:spacing w:after="120"/>
              <w:jc w:val="both"/>
              <w:rPr>
                <w:sz w:val="22"/>
                <w:szCs w:val="22"/>
              </w:rPr>
            </w:pPr>
            <w:r w:rsidRPr="00FC1793">
              <w:rPr>
                <w:sz w:val="22"/>
                <w:szCs w:val="22"/>
              </w:rPr>
              <w:t>20</w:t>
            </w:r>
            <w:r>
              <w:rPr>
                <w:sz w:val="22"/>
                <w:szCs w:val="22"/>
              </w:rPr>
              <w:t>20</w:t>
            </w:r>
          </w:p>
          <w:p w14:paraId="01559C73" w14:textId="77777777" w:rsidR="007D0070" w:rsidRPr="00FC1793" w:rsidRDefault="007D0070" w:rsidP="00294781">
            <w:pPr>
              <w:spacing w:after="120"/>
              <w:jc w:val="both"/>
              <w:rPr>
                <w:sz w:val="22"/>
                <w:szCs w:val="22"/>
              </w:rPr>
            </w:pPr>
            <w:r w:rsidRPr="00FC1793">
              <w:rPr>
                <w:sz w:val="22"/>
                <w:szCs w:val="22"/>
              </w:rPr>
              <w:t>£</w:t>
            </w:r>
          </w:p>
        </w:tc>
        <w:tc>
          <w:tcPr>
            <w:tcW w:w="2552" w:type="dxa"/>
            <w:tcBorders>
              <w:top w:val="single" w:sz="4" w:space="0" w:color="auto"/>
              <w:bottom w:val="single" w:sz="4" w:space="0" w:color="auto"/>
            </w:tcBorders>
          </w:tcPr>
          <w:p w14:paraId="4C5F8958" w14:textId="77777777" w:rsidR="007D0070" w:rsidRPr="00FC1793" w:rsidRDefault="007D0070" w:rsidP="00294781">
            <w:pPr>
              <w:spacing w:after="120"/>
              <w:jc w:val="both"/>
              <w:rPr>
                <w:sz w:val="22"/>
                <w:szCs w:val="22"/>
              </w:rPr>
            </w:pPr>
            <w:r w:rsidRPr="00FC1793">
              <w:rPr>
                <w:sz w:val="22"/>
                <w:szCs w:val="22"/>
              </w:rPr>
              <w:t>Total</w:t>
            </w:r>
          </w:p>
          <w:p w14:paraId="0824DD33" w14:textId="1544C696" w:rsidR="007D0070" w:rsidRPr="00FC1793" w:rsidRDefault="009C79A9" w:rsidP="00294781">
            <w:pPr>
              <w:spacing w:after="120"/>
              <w:jc w:val="both"/>
              <w:rPr>
                <w:sz w:val="22"/>
                <w:szCs w:val="22"/>
              </w:rPr>
            </w:pPr>
            <w:r w:rsidRPr="00FC1793">
              <w:rPr>
                <w:sz w:val="22"/>
                <w:szCs w:val="22"/>
              </w:rPr>
              <w:t>20</w:t>
            </w:r>
            <w:r>
              <w:rPr>
                <w:sz w:val="22"/>
                <w:szCs w:val="22"/>
              </w:rPr>
              <w:t>20</w:t>
            </w:r>
          </w:p>
          <w:p w14:paraId="09469F82" w14:textId="77777777" w:rsidR="007D0070" w:rsidRPr="00FC1793" w:rsidRDefault="007D0070" w:rsidP="00294781">
            <w:pPr>
              <w:spacing w:after="120"/>
              <w:jc w:val="both"/>
              <w:rPr>
                <w:sz w:val="22"/>
                <w:szCs w:val="22"/>
              </w:rPr>
            </w:pPr>
            <w:r w:rsidRPr="00FC1793">
              <w:rPr>
                <w:sz w:val="22"/>
                <w:szCs w:val="22"/>
              </w:rPr>
              <w:t>£</w:t>
            </w:r>
          </w:p>
        </w:tc>
      </w:tr>
      <w:tr w:rsidR="007D0070" w:rsidRPr="00FC1793" w14:paraId="3B520665" w14:textId="77777777" w:rsidTr="007D0070">
        <w:tc>
          <w:tcPr>
            <w:tcW w:w="2403" w:type="dxa"/>
            <w:tcBorders>
              <w:top w:val="single" w:sz="4" w:space="0" w:color="auto"/>
              <w:bottom w:val="nil"/>
            </w:tcBorders>
          </w:tcPr>
          <w:p w14:paraId="4A656DD8" w14:textId="77777777" w:rsidR="007D0070" w:rsidRPr="00FC1793" w:rsidRDefault="007D0070" w:rsidP="00294781">
            <w:pPr>
              <w:spacing w:after="120"/>
              <w:jc w:val="both"/>
              <w:rPr>
                <w:sz w:val="22"/>
                <w:szCs w:val="22"/>
              </w:rPr>
            </w:pPr>
            <w:r>
              <w:rPr>
                <w:sz w:val="22"/>
                <w:szCs w:val="22"/>
              </w:rPr>
              <w:t>C Latilla-Campbell</w:t>
            </w:r>
          </w:p>
        </w:tc>
        <w:tc>
          <w:tcPr>
            <w:tcW w:w="1845" w:type="dxa"/>
            <w:tcBorders>
              <w:top w:val="single" w:sz="4" w:space="0" w:color="auto"/>
              <w:bottom w:val="nil"/>
            </w:tcBorders>
            <w:vAlign w:val="bottom"/>
          </w:tcPr>
          <w:p w14:paraId="3033E4A4" w14:textId="37F70A11" w:rsidR="007D0070" w:rsidRPr="00FC1793" w:rsidDel="00C637FD" w:rsidRDefault="006B18A8" w:rsidP="00294781">
            <w:pPr>
              <w:spacing w:after="120"/>
              <w:jc w:val="both"/>
              <w:rPr>
                <w:sz w:val="22"/>
                <w:szCs w:val="22"/>
              </w:rPr>
            </w:pPr>
            <w:r>
              <w:rPr>
                <w:sz w:val="22"/>
                <w:szCs w:val="22"/>
              </w:rPr>
              <w:t>-</w:t>
            </w:r>
          </w:p>
        </w:tc>
        <w:tc>
          <w:tcPr>
            <w:tcW w:w="1559" w:type="dxa"/>
            <w:tcBorders>
              <w:top w:val="single" w:sz="4" w:space="0" w:color="auto"/>
              <w:bottom w:val="nil"/>
            </w:tcBorders>
          </w:tcPr>
          <w:p w14:paraId="51D73401" w14:textId="1B49ED58" w:rsidR="007D0070" w:rsidRPr="00FC1793" w:rsidRDefault="00F754A9" w:rsidP="00294781">
            <w:pPr>
              <w:spacing w:after="120"/>
              <w:jc w:val="both"/>
              <w:rPr>
                <w:sz w:val="22"/>
                <w:szCs w:val="22"/>
              </w:rPr>
            </w:pPr>
            <w:r>
              <w:rPr>
                <w:sz w:val="22"/>
                <w:szCs w:val="22"/>
              </w:rPr>
              <w:t>15,000</w:t>
            </w:r>
          </w:p>
        </w:tc>
        <w:tc>
          <w:tcPr>
            <w:tcW w:w="1559" w:type="dxa"/>
            <w:tcBorders>
              <w:top w:val="single" w:sz="4" w:space="0" w:color="auto"/>
              <w:bottom w:val="nil"/>
            </w:tcBorders>
            <w:vAlign w:val="bottom"/>
          </w:tcPr>
          <w:p w14:paraId="47F2EEB1" w14:textId="2EBCA621" w:rsidR="007D0070" w:rsidRPr="00FC1793" w:rsidDel="00C637FD" w:rsidRDefault="009C79A9" w:rsidP="00294781">
            <w:pPr>
              <w:spacing w:after="120"/>
              <w:jc w:val="both"/>
              <w:rPr>
                <w:sz w:val="22"/>
                <w:szCs w:val="22"/>
              </w:rPr>
            </w:pPr>
            <w:r>
              <w:rPr>
                <w:sz w:val="22"/>
                <w:szCs w:val="22"/>
              </w:rPr>
              <w:t>-</w:t>
            </w:r>
          </w:p>
        </w:tc>
        <w:tc>
          <w:tcPr>
            <w:tcW w:w="2552" w:type="dxa"/>
            <w:tcBorders>
              <w:top w:val="single" w:sz="4" w:space="0" w:color="auto"/>
              <w:bottom w:val="nil"/>
            </w:tcBorders>
            <w:vAlign w:val="bottom"/>
          </w:tcPr>
          <w:p w14:paraId="4DBBDE75" w14:textId="59B4EF70" w:rsidR="007D0070" w:rsidRPr="00FC1793" w:rsidRDefault="00D95A19" w:rsidP="00294781">
            <w:pPr>
              <w:spacing w:after="120"/>
              <w:jc w:val="both"/>
              <w:rPr>
                <w:sz w:val="22"/>
                <w:szCs w:val="22"/>
              </w:rPr>
            </w:pPr>
            <w:r>
              <w:rPr>
                <w:sz w:val="22"/>
                <w:szCs w:val="22"/>
              </w:rPr>
              <w:t>15,000</w:t>
            </w:r>
          </w:p>
        </w:tc>
      </w:tr>
      <w:tr w:rsidR="007D0070" w:rsidRPr="00FC1793" w14:paraId="1339D4D4" w14:textId="77777777" w:rsidTr="007D0070">
        <w:tc>
          <w:tcPr>
            <w:tcW w:w="2403" w:type="dxa"/>
            <w:tcBorders>
              <w:top w:val="nil"/>
              <w:bottom w:val="nil"/>
            </w:tcBorders>
            <w:vAlign w:val="bottom"/>
          </w:tcPr>
          <w:p w14:paraId="54CC2D01" w14:textId="77777777" w:rsidR="007D0070" w:rsidRPr="00FC1793" w:rsidRDefault="007D0070" w:rsidP="00294781">
            <w:pPr>
              <w:spacing w:after="120"/>
              <w:jc w:val="both"/>
              <w:rPr>
                <w:sz w:val="22"/>
                <w:szCs w:val="22"/>
              </w:rPr>
            </w:pPr>
            <w:r>
              <w:rPr>
                <w:sz w:val="22"/>
                <w:szCs w:val="22"/>
              </w:rPr>
              <w:t>C Schaffalitzky</w:t>
            </w:r>
          </w:p>
        </w:tc>
        <w:tc>
          <w:tcPr>
            <w:tcW w:w="1845" w:type="dxa"/>
            <w:tcBorders>
              <w:top w:val="nil"/>
              <w:bottom w:val="nil"/>
            </w:tcBorders>
            <w:vAlign w:val="bottom"/>
          </w:tcPr>
          <w:p w14:paraId="37E750D0" w14:textId="77777777" w:rsidR="007D0070" w:rsidRPr="00FC1793" w:rsidRDefault="007D0070" w:rsidP="00294781">
            <w:pPr>
              <w:spacing w:after="120"/>
              <w:jc w:val="both"/>
              <w:rPr>
                <w:sz w:val="22"/>
                <w:szCs w:val="22"/>
              </w:rPr>
            </w:pPr>
            <w:r>
              <w:rPr>
                <w:sz w:val="22"/>
                <w:szCs w:val="22"/>
              </w:rPr>
              <w:t>-</w:t>
            </w:r>
          </w:p>
        </w:tc>
        <w:tc>
          <w:tcPr>
            <w:tcW w:w="1559" w:type="dxa"/>
            <w:tcBorders>
              <w:top w:val="nil"/>
              <w:bottom w:val="nil"/>
            </w:tcBorders>
          </w:tcPr>
          <w:p w14:paraId="4014000C" w14:textId="61025BA2" w:rsidR="007D0070" w:rsidRPr="00FC1793" w:rsidRDefault="00D95A19" w:rsidP="00294781">
            <w:pPr>
              <w:spacing w:after="120"/>
              <w:jc w:val="both"/>
              <w:rPr>
                <w:sz w:val="22"/>
                <w:szCs w:val="22"/>
              </w:rPr>
            </w:pPr>
            <w:r>
              <w:rPr>
                <w:sz w:val="22"/>
                <w:szCs w:val="22"/>
              </w:rPr>
              <w:t>12,000</w:t>
            </w:r>
          </w:p>
        </w:tc>
        <w:tc>
          <w:tcPr>
            <w:tcW w:w="1559" w:type="dxa"/>
            <w:tcBorders>
              <w:top w:val="nil"/>
              <w:bottom w:val="nil"/>
            </w:tcBorders>
            <w:vAlign w:val="bottom"/>
          </w:tcPr>
          <w:p w14:paraId="5A52A6F2" w14:textId="163E0B1B" w:rsidR="007D0070" w:rsidRPr="00FC1793" w:rsidRDefault="009C79A9" w:rsidP="00294781">
            <w:pPr>
              <w:spacing w:after="120"/>
              <w:jc w:val="both"/>
              <w:rPr>
                <w:sz w:val="22"/>
                <w:szCs w:val="22"/>
              </w:rPr>
            </w:pPr>
            <w:r>
              <w:rPr>
                <w:sz w:val="22"/>
                <w:szCs w:val="22"/>
              </w:rPr>
              <w:t>-</w:t>
            </w:r>
          </w:p>
        </w:tc>
        <w:tc>
          <w:tcPr>
            <w:tcW w:w="2552" w:type="dxa"/>
            <w:tcBorders>
              <w:top w:val="nil"/>
              <w:bottom w:val="nil"/>
            </w:tcBorders>
            <w:vAlign w:val="bottom"/>
          </w:tcPr>
          <w:p w14:paraId="2FDB82E8" w14:textId="0D5281AB" w:rsidR="007D0070" w:rsidRPr="00FC1793" w:rsidRDefault="00D95A19" w:rsidP="00294781">
            <w:pPr>
              <w:spacing w:after="120"/>
              <w:jc w:val="both"/>
              <w:rPr>
                <w:sz w:val="22"/>
                <w:szCs w:val="22"/>
              </w:rPr>
            </w:pPr>
            <w:r>
              <w:rPr>
                <w:sz w:val="22"/>
                <w:szCs w:val="22"/>
              </w:rPr>
              <w:t>12,000</w:t>
            </w:r>
          </w:p>
        </w:tc>
      </w:tr>
      <w:tr w:rsidR="007D0070" w:rsidRPr="00FC1793" w14:paraId="108FAAFF" w14:textId="77777777" w:rsidTr="007D0070">
        <w:tc>
          <w:tcPr>
            <w:tcW w:w="2403" w:type="dxa"/>
            <w:tcBorders>
              <w:top w:val="single" w:sz="4" w:space="0" w:color="auto"/>
              <w:bottom w:val="double" w:sz="4" w:space="0" w:color="auto"/>
            </w:tcBorders>
          </w:tcPr>
          <w:p w14:paraId="55780A2B" w14:textId="77777777" w:rsidR="007D0070" w:rsidRPr="00FC1793" w:rsidRDefault="007D0070" w:rsidP="00294781">
            <w:pPr>
              <w:spacing w:after="120"/>
              <w:jc w:val="both"/>
              <w:rPr>
                <w:b/>
                <w:sz w:val="22"/>
                <w:szCs w:val="22"/>
              </w:rPr>
            </w:pPr>
            <w:r w:rsidRPr="00FC1793">
              <w:rPr>
                <w:b/>
                <w:sz w:val="22"/>
                <w:szCs w:val="22"/>
              </w:rPr>
              <w:t>Total</w:t>
            </w:r>
          </w:p>
        </w:tc>
        <w:tc>
          <w:tcPr>
            <w:tcW w:w="1845" w:type="dxa"/>
            <w:tcBorders>
              <w:top w:val="single" w:sz="4" w:space="0" w:color="auto"/>
              <w:bottom w:val="double" w:sz="4" w:space="0" w:color="auto"/>
            </w:tcBorders>
          </w:tcPr>
          <w:p w14:paraId="792AF2C7" w14:textId="1B44C2EF" w:rsidR="007D0070" w:rsidRPr="00FC1793" w:rsidDel="00C637FD" w:rsidRDefault="006B18A8" w:rsidP="00294781">
            <w:pPr>
              <w:spacing w:after="120"/>
              <w:jc w:val="both"/>
              <w:rPr>
                <w:b/>
                <w:sz w:val="22"/>
                <w:szCs w:val="22"/>
              </w:rPr>
            </w:pPr>
            <w:r>
              <w:rPr>
                <w:b/>
                <w:sz w:val="22"/>
                <w:szCs w:val="22"/>
              </w:rPr>
              <w:t>-</w:t>
            </w:r>
          </w:p>
        </w:tc>
        <w:tc>
          <w:tcPr>
            <w:tcW w:w="1559" w:type="dxa"/>
            <w:tcBorders>
              <w:top w:val="single" w:sz="4" w:space="0" w:color="auto"/>
              <w:bottom w:val="double" w:sz="4" w:space="0" w:color="auto"/>
            </w:tcBorders>
          </w:tcPr>
          <w:p w14:paraId="7FB0B05A" w14:textId="6E4CD8C7" w:rsidR="007D0070" w:rsidRPr="00FC1793" w:rsidRDefault="006B18A8" w:rsidP="00294781">
            <w:pPr>
              <w:spacing w:after="120"/>
              <w:jc w:val="both"/>
              <w:rPr>
                <w:b/>
                <w:sz w:val="22"/>
                <w:szCs w:val="22"/>
              </w:rPr>
            </w:pPr>
            <w:r>
              <w:rPr>
                <w:b/>
                <w:sz w:val="22"/>
                <w:szCs w:val="22"/>
              </w:rPr>
              <w:t>27</w:t>
            </w:r>
            <w:r w:rsidR="00D95A19">
              <w:rPr>
                <w:b/>
                <w:sz w:val="22"/>
                <w:szCs w:val="22"/>
              </w:rPr>
              <w:t>,000</w:t>
            </w:r>
          </w:p>
        </w:tc>
        <w:tc>
          <w:tcPr>
            <w:tcW w:w="1559" w:type="dxa"/>
            <w:tcBorders>
              <w:top w:val="single" w:sz="4" w:space="0" w:color="auto"/>
              <w:bottom w:val="double" w:sz="4" w:space="0" w:color="auto"/>
            </w:tcBorders>
          </w:tcPr>
          <w:p w14:paraId="386A7AD6" w14:textId="653CD519" w:rsidR="007D0070" w:rsidRPr="00FC1793" w:rsidDel="00C637FD" w:rsidRDefault="009C79A9" w:rsidP="00294781">
            <w:pPr>
              <w:spacing w:after="120"/>
              <w:jc w:val="both"/>
              <w:rPr>
                <w:b/>
                <w:sz w:val="22"/>
                <w:szCs w:val="22"/>
              </w:rPr>
            </w:pPr>
            <w:r>
              <w:rPr>
                <w:b/>
                <w:sz w:val="22"/>
                <w:szCs w:val="22"/>
              </w:rPr>
              <w:t>-</w:t>
            </w:r>
          </w:p>
        </w:tc>
        <w:tc>
          <w:tcPr>
            <w:tcW w:w="2552" w:type="dxa"/>
            <w:tcBorders>
              <w:top w:val="single" w:sz="4" w:space="0" w:color="auto"/>
              <w:bottom w:val="double" w:sz="4" w:space="0" w:color="auto"/>
            </w:tcBorders>
          </w:tcPr>
          <w:p w14:paraId="67F72D3F" w14:textId="314538C4" w:rsidR="007D0070" w:rsidRPr="00FC1793" w:rsidRDefault="00D95A19" w:rsidP="00294781">
            <w:pPr>
              <w:spacing w:after="120"/>
              <w:jc w:val="both"/>
              <w:rPr>
                <w:b/>
                <w:sz w:val="22"/>
                <w:szCs w:val="22"/>
              </w:rPr>
            </w:pPr>
            <w:r>
              <w:rPr>
                <w:b/>
                <w:sz w:val="22"/>
                <w:szCs w:val="22"/>
              </w:rPr>
              <w:t>27,000</w:t>
            </w:r>
          </w:p>
        </w:tc>
      </w:tr>
    </w:tbl>
    <w:p w14:paraId="729FBBB2" w14:textId="77777777" w:rsidR="007D0070" w:rsidRPr="00FC1793" w:rsidRDefault="007D0070" w:rsidP="007D0070">
      <w:pPr>
        <w:spacing w:after="120"/>
        <w:jc w:val="both"/>
        <w:rPr>
          <w:sz w:val="22"/>
          <w:szCs w:val="22"/>
        </w:rPr>
      </w:pPr>
    </w:p>
    <w:p w14:paraId="74F08B4E" w14:textId="77777777" w:rsidR="007D0070" w:rsidRPr="00FC1793" w:rsidRDefault="007D0070" w:rsidP="007D0070">
      <w:pPr>
        <w:spacing w:after="120"/>
        <w:jc w:val="both"/>
        <w:rPr>
          <w:b/>
          <w:sz w:val="22"/>
          <w:szCs w:val="22"/>
        </w:rPr>
      </w:pPr>
      <w:r w:rsidRPr="00FC1793">
        <w:rPr>
          <w:b/>
          <w:sz w:val="22"/>
          <w:szCs w:val="22"/>
        </w:rPr>
        <w:t>Directors</w:t>
      </w:r>
      <w:r>
        <w:rPr>
          <w:b/>
          <w:sz w:val="22"/>
          <w:szCs w:val="22"/>
        </w:rPr>
        <w:t>’</w:t>
      </w:r>
      <w:r w:rsidRPr="00FC1793">
        <w:rPr>
          <w:b/>
          <w:sz w:val="22"/>
          <w:szCs w:val="22"/>
        </w:rPr>
        <w:t xml:space="preserve"> beneficial share interests - Audited</w:t>
      </w:r>
    </w:p>
    <w:p w14:paraId="4B1D220D" w14:textId="676DB2A8" w:rsidR="007D0070" w:rsidRPr="00FC1793" w:rsidRDefault="007D0070" w:rsidP="007D0070">
      <w:pPr>
        <w:spacing w:after="120"/>
        <w:jc w:val="both"/>
        <w:rPr>
          <w:sz w:val="22"/>
          <w:szCs w:val="22"/>
        </w:rPr>
      </w:pPr>
      <w:r w:rsidRPr="00FC1793">
        <w:rPr>
          <w:sz w:val="22"/>
          <w:szCs w:val="22"/>
        </w:rPr>
        <w:t xml:space="preserve">The interests of the </w:t>
      </w:r>
      <w:r w:rsidR="001C7907">
        <w:rPr>
          <w:sz w:val="22"/>
          <w:szCs w:val="22"/>
        </w:rPr>
        <w:t>D</w:t>
      </w:r>
      <w:r w:rsidRPr="00FC1793">
        <w:rPr>
          <w:sz w:val="22"/>
          <w:szCs w:val="22"/>
        </w:rPr>
        <w:t>irectors</w:t>
      </w:r>
      <w:r w:rsidR="00F754A9">
        <w:rPr>
          <w:sz w:val="22"/>
          <w:szCs w:val="22"/>
        </w:rPr>
        <w:t>,</w:t>
      </w:r>
      <w:r w:rsidRPr="00FC1793">
        <w:rPr>
          <w:sz w:val="22"/>
          <w:szCs w:val="22"/>
        </w:rPr>
        <w:t xml:space="preserve"> who served during the during the</w:t>
      </w:r>
      <w:r>
        <w:rPr>
          <w:sz w:val="22"/>
          <w:szCs w:val="22"/>
        </w:rPr>
        <w:t xml:space="preserve"> </w:t>
      </w:r>
      <w:r w:rsidR="00111BAB">
        <w:rPr>
          <w:sz w:val="22"/>
          <w:szCs w:val="22"/>
        </w:rPr>
        <w:t>year</w:t>
      </w:r>
      <w:r w:rsidRPr="00FC1793">
        <w:rPr>
          <w:sz w:val="22"/>
          <w:szCs w:val="22"/>
        </w:rPr>
        <w:t xml:space="preserve"> ended 31 December </w:t>
      </w:r>
      <w:r w:rsidR="00111BAB" w:rsidRPr="00FC1793">
        <w:rPr>
          <w:sz w:val="22"/>
          <w:szCs w:val="22"/>
        </w:rPr>
        <w:t>20</w:t>
      </w:r>
      <w:r w:rsidR="00111BAB">
        <w:rPr>
          <w:sz w:val="22"/>
          <w:szCs w:val="22"/>
        </w:rPr>
        <w:t>20</w:t>
      </w:r>
      <w:r w:rsidR="00F754A9">
        <w:rPr>
          <w:sz w:val="22"/>
          <w:szCs w:val="22"/>
        </w:rPr>
        <w:t>,</w:t>
      </w:r>
      <w:r w:rsidR="00111BAB" w:rsidRPr="00FC1793">
        <w:rPr>
          <w:sz w:val="22"/>
          <w:szCs w:val="22"/>
        </w:rPr>
        <w:t xml:space="preserve"> </w:t>
      </w:r>
      <w:r w:rsidRPr="00FC1793">
        <w:rPr>
          <w:sz w:val="22"/>
          <w:szCs w:val="22"/>
        </w:rPr>
        <w:t xml:space="preserve">in the share capital of the Company at 31 December </w:t>
      </w:r>
      <w:r w:rsidR="00111BAB" w:rsidRPr="00FC1793">
        <w:rPr>
          <w:sz w:val="22"/>
          <w:szCs w:val="22"/>
        </w:rPr>
        <w:t>20</w:t>
      </w:r>
      <w:r w:rsidR="00111BAB">
        <w:rPr>
          <w:sz w:val="22"/>
          <w:szCs w:val="22"/>
        </w:rPr>
        <w:t>20</w:t>
      </w:r>
      <w:r w:rsidR="00111BAB" w:rsidRPr="00FC1793">
        <w:rPr>
          <w:sz w:val="22"/>
          <w:szCs w:val="22"/>
        </w:rPr>
        <w:t xml:space="preserve"> </w:t>
      </w:r>
      <w:r w:rsidRPr="00FC1793">
        <w:rPr>
          <w:sz w:val="22"/>
          <w:szCs w:val="22"/>
        </w:rPr>
        <w:t>and at the date of this report were as follows:</w:t>
      </w:r>
    </w:p>
    <w:tbl>
      <w:tblPr>
        <w:tblStyle w:val="TableGrid"/>
        <w:tblW w:w="0" w:type="auto"/>
        <w:tblBorders>
          <w:insideH w:val="none" w:sz="0" w:space="0" w:color="auto"/>
        </w:tblBorders>
        <w:tblLook w:val="04A0" w:firstRow="1" w:lastRow="0" w:firstColumn="1" w:lastColumn="0" w:noHBand="0" w:noVBand="1"/>
      </w:tblPr>
      <w:tblGrid>
        <w:gridCol w:w="2224"/>
        <w:gridCol w:w="1882"/>
        <w:gridCol w:w="1701"/>
        <w:gridCol w:w="1418"/>
        <w:gridCol w:w="2693"/>
      </w:tblGrid>
      <w:tr w:rsidR="007D0070" w:rsidRPr="00FC1793" w14:paraId="463DDE30" w14:textId="77777777" w:rsidTr="007D0070">
        <w:tc>
          <w:tcPr>
            <w:tcW w:w="2224" w:type="dxa"/>
            <w:tcBorders>
              <w:top w:val="single" w:sz="4" w:space="0" w:color="auto"/>
              <w:bottom w:val="single" w:sz="4" w:space="0" w:color="auto"/>
            </w:tcBorders>
          </w:tcPr>
          <w:p w14:paraId="37B02A29" w14:textId="77777777" w:rsidR="007D0070" w:rsidRPr="00FC1793" w:rsidRDefault="007D0070" w:rsidP="00294781">
            <w:pPr>
              <w:spacing w:after="120"/>
              <w:jc w:val="both"/>
              <w:rPr>
                <w:sz w:val="22"/>
                <w:szCs w:val="22"/>
              </w:rPr>
            </w:pPr>
          </w:p>
          <w:p w14:paraId="7C4E2DC6" w14:textId="77777777" w:rsidR="007D0070" w:rsidRPr="00FC1793" w:rsidRDefault="007D0070" w:rsidP="00294781">
            <w:pPr>
              <w:spacing w:after="120"/>
              <w:jc w:val="both"/>
              <w:rPr>
                <w:sz w:val="22"/>
                <w:szCs w:val="22"/>
              </w:rPr>
            </w:pPr>
          </w:p>
          <w:p w14:paraId="5E3EFEB0" w14:textId="77777777" w:rsidR="007D0070" w:rsidRPr="00FC1793" w:rsidRDefault="007D0070" w:rsidP="00294781">
            <w:pPr>
              <w:spacing w:after="120"/>
              <w:jc w:val="both"/>
              <w:rPr>
                <w:sz w:val="22"/>
                <w:szCs w:val="22"/>
              </w:rPr>
            </w:pPr>
            <w:r w:rsidRPr="00FC1793">
              <w:rPr>
                <w:sz w:val="22"/>
                <w:szCs w:val="22"/>
              </w:rPr>
              <w:t>Name of Director</w:t>
            </w:r>
          </w:p>
        </w:tc>
        <w:tc>
          <w:tcPr>
            <w:tcW w:w="1882" w:type="dxa"/>
            <w:tcBorders>
              <w:top w:val="single" w:sz="4" w:space="0" w:color="auto"/>
              <w:bottom w:val="single" w:sz="4" w:space="0" w:color="auto"/>
            </w:tcBorders>
          </w:tcPr>
          <w:p w14:paraId="31BD8639" w14:textId="6D10A802" w:rsidR="007D0070" w:rsidRPr="00FC1793" w:rsidRDefault="007D0070" w:rsidP="00294781">
            <w:pPr>
              <w:spacing w:after="120"/>
              <w:jc w:val="both"/>
              <w:rPr>
                <w:sz w:val="22"/>
                <w:szCs w:val="22"/>
              </w:rPr>
            </w:pPr>
            <w:r w:rsidRPr="00FC1793">
              <w:rPr>
                <w:sz w:val="22"/>
                <w:szCs w:val="22"/>
              </w:rPr>
              <w:t xml:space="preserve">Number of ordinary shares held at 31 December </w:t>
            </w:r>
            <w:r w:rsidR="00111BAB" w:rsidRPr="00FC1793">
              <w:rPr>
                <w:sz w:val="22"/>
                <w:szCs w:val="22"/>
              </w:rPr>
              <w:t>20</w:t>
            </w:r>
            <w:r w:rsidR="00111BAB">
              <w:rPr>
                <w:sz w:val="22"/>
                <w:szCs w:val="22"/>
              </w:rPr>
              <w:t>20</w:t>
            </w:r>
          </w:p>
        </w:tc>
        <w:tc>
          <w:tcPr>
            <w:tcW w:w="1701" w:type="dxa"/>
            <w:tcBorders>
              <w:top w:val="single" w:sz="4" w:space="0" w:color="auto"/>
              <w:bottom w:val="single" w:sz="4" w:space="0" w:color="auto"/>
            </w:tcBorders>
          </w:tcPr>
          <w:p w14:paraId="4ED2FBD8" w14:textId="77777777" w:rsidR="007D0070" w:rsidRPr="00FC1793" w:rsidRDefault="007D0070" w:rsidP="00294781">
            <w:pPr>
              <w:spacing w:after="120"/>
              <w:jc w:val="both"/>
              <w:rPr>
                <w:sz w:val="22"/>
                <w:szCs w:val="22"/>
              </w:rPr>
            </w:pPr>
            <w:r w:rsidRPr="00FC1793">
              <w:rPr>
                <w:sz w:val="22"/>
                <w:szCs w:val="22"/>
              </w:rPr>
              <w:t>As at the date of this report</w:t>
            </w:r>
          </w:p>
          <w:p w14:paraId="0F145DB8" w14:textId="77777777" w:rsidR="007D0070" w:rsidRPr="00FC1793" w:rsidRDefault="007D0070" w:rsidP="00294781">
            <w:pPr>
              <w:spacing w:after="120"/>
              <w:jc w:val="both"/>
              <w:rPr>
                <w:sz w:val="22"/>
                <w:szCs w:val="22"/>
              </w:rPr>
            </w:pPr>
          </w:p>
        </w:tc>
        <w:tc>
          <w:tcPr>
            <w:tcW w:w="1418" w:type="dxa"/>
            <w:tcBorders>
              <w:top w:val="single" w:sz="4" w:space="0" w:color="auto"/>
              <w:bottom w:val="single" w:sz="4" w:space="0" w:color="auto"/>
            </w:tcBorders>
          </w:tcPr>
          <w:p w14:paraId="1B5C23ED" w14:textId="77777777" w:rsidR="007D0070" w:rsidRPr="00FC1793" w:rsidRDefault="007D0070" w:rsidP="00294781">
            <w:pPr>
              <w:spacing w:after="120"/>
              <w:jc w:val="both"/>
              <w:rPr>
                <w:sz w:val="22"/>
                <w:szCs w:val="22"/>
              </w:rPr>
            </w:pPr>
            <w:r w:rsidRPr="00FC1793">
              <w:rPr>
                <w:sz w:val="22"/>
                <w:szCs w:val="22"/>
              </w:rPr>
              <w:t>Number of share warrants</w:t>
            </w:r>
          </w:p>
        </w:tc>
        <w:tc>
          <w:tcPr>
            <w:tcW w:w="2693" w:type="dxa"/>
            <w:tcBorders>
              <w:top w:val="single" w:sz="4" w:space="0" w:color="auto"/>
              <w:bottom w:val="single" w:sz="4" w:space="0" w:color="auto"/>
            </w:tcBorders>
          </w:tcPr>
          <w:p w14:paraId="38DB0AE6" w14:textId="77777777" w:rsidR="007D0070" w:rsidRPr="00FC1793" w:rsidRDefault="007D0070" w:rsidP="00294781">
            <w:pPr>
              <w:spacing w:after="120"/>
              <w:jc w:val="both"/>
              <w:rPr>
                <w:sz w:val="22"/>
                <w:szCs w:val="22"/>
              </w:rPr>
            </w:pPr>
            <w:r w:rsidRPr="00FC1793">
              <w:rPr>
                <w:sz w:val="22"/>
                <w:szCs w:val="22"/>
              </w:rPr>
              <w:t>Number of share options/warrants vested but unexercised</w:t>
            </w:r>
          </w:p>
        </w:tc>
      </w:tr>
      <w:tr w:rsidR="007D0070" w:rsidRPr="00FC1793" w14:paraId="3D2A7166" w14:textId="77777777" w:rsidTr="007D0070">
        <w:tc>
          <w:tcPr>
            <w:tcW w:w="2224" w:type="dxa"/>
            <w:tcBorders>
              <w:top w:val="single" w:sz="4" w:space="0" w:color="auto"/>
              <w:bottom w:val="nil"/>
            </w:tcBorders>
          </w:tcPr>
          <w:p w14:paraId="4E81BFF6" w14:textId="77777777" w:rsidR="007D0070" w:rsidRPr="00FC1793" w:rsidRDefault="007D0070" w:rsidP="00294781">
            <w:pPr>
              <w:spacing w:after="120"/>
              <w:jc w:val="both"/>
              <w:rPr>
                <w:sz w:val="22"/>
                <w:szCs w:val="22"/>
              </w:rPr>
            </w:pPr>
            <w:r>
              <w:rPr>
                <w:sz w:val="22"/>
                <w:szCs w:val="22"/>
              </w:rPr>
              <w:t>R Gerritsen</w:t>
            </w:r>
          </w:p>
        </w:tc>
        <w:tc>
          <w:tcPr>
            <w:tcW w:w="1882" w:type="dxa"/>
            <w:tcBorders>
              <w:top w:val="single" w:sz="4" w:space="0" w:color="auto"/>
              <w:bottom w:val="nil"/>
            </w:tcBorders>
            <w:vAlign w:val="bottom"/>
          </w:tcPr>
          <w:p w14:paraId="62AE291D" w14:textId="2C684684" w:rsidR="007D0070" w:rsidRPr="00FC1793" w:rsidDel="00C637FD" w:rsidRDefault="00111BAB" w:rsidP="00294781">
            <w:pPr>
              <w:spacing w:after="120"/>
              <w:jc w:val="both"/>
              <w:rPr>
                <w:sz w:val="22"/>
                <w:szCs w:val="22"/>
              </w:rPr>
            </w:pPr>
            <w:r>
              <w:rPr>
                <w:sz w:val="22"/>
                <w:szCs w:val="22"/>
              </w:rPr>
              <w:t>14,150,000</w:t>
            </w:r>
          </w:p>
        </w:tc>
        <w:tc>
          <w:tcPr>
            <w:tcW w:w="1701" w:type="dxa"/>
            <w:tcBorders>
              <w:top w:val="single" w:sz="4" w:space="0" w:color="auto"/>
              <w:bottom w:val="nil"/>
            </w:tcBorders>
            <w:vAlign w:val="bottom"/>
          </w:tcPr>
          <w:p w14:paraId="4E6C3B30" w14:textId="098F6B37" w:rsidR="007D0070" w:rsidRPr="00FC1793" w:rsidDel="00C637FD" w:rsidRDefault="00111BAB" w:rsidP="00294781">
            <w:pPr>
              <w:spacing w:after="120"/>
              <w:jc w:val="both"/>
              <w:rPr>
                <w:sz w:val="22"/>
                <w:szCs w:val="22"/>
              </w:rPr>
            </w:pPr>
            <w:r>
              <w:rPr>
                <w:sz w:val="22"/>
                <w:szCs w:val="22"/>
              </w:rPr>
              <w:t>21,851,035</w:t>
            </w:r>
          </w:p>
        </w:tc>
        <w:tc>
          <w:tcPr>
            <w:tcW w:w="1418" w:type="dxa"/>
            <w:tcBorders>
              <w:top w:val="single" w:sz="4" w:space="0" w:color="auto"/>
              <w:bottom w:val="nil"/>
            </w:tcBorders>
          </w:tcPr>
          <w:p w14:paraId="292791BB" w14:textId="77777777" w:rsidR="007D0070" w:rsidRPr="00FC1793" w:rsidRDefault="007D0070" w:rsidP="00294781">
            <w:pPr>
              <w:spacing w:after="120"/>
              <w:jc w:val="both"/>
              <w:rPr>
                <w:sz w:val="22"/>
                <w:szCs w:val="22"/>
              </w:rPr>
            </w:pPr>
            <w:r w:rsidRPr="00FC1793">
              <w:rPr>
                <w:sz w:val="22"/>
                <w:szCs w:val="22"/>
              </w:rPr>
              <w:t>-</w:t>
            </w:r>
          </w:p>
        </w:tc>
        <w:tc>
          <w:tcPr>
            <w:tcW w:w="2693" w:type="dxa"/>
            <w:tcBorders>
              <w:top w:val="single" w:sz="4" w:space="0" w:color="auto"/>
              <w:bottom w:val="nil"/>
            </w:tcBorders>
            <w:vAlign w:val="bottom"/>
          </w:tcPr>
          <w:p w14:paraId="6E0E7EFC" w14:textId="77777777" w:rsidR="007D0070" w:rsidRPr="00FC1793" w:rsidRDefault="007D0070" w:rsidP="00294781">
            <w:pPr>
              <w:spacing w:after="120"/>
              <w:jc w:val="both"/>
              <w:rPr>
                <w:sz w:val="22"/>
                <w:szCs w:val="22"/>
              </w:rPr>
            </w:pPr>
            <w:r>
              <w:rPr>
                <w:sz w:val="22"/>
                <w:szCs w:val="22"/>
              </w:rPr>
              <w:t>5,000,000</w:t>
            </w:r>
          </w:p>
        </w:tc>
      </w:tr>
      <w:tr w:rsidR="007D0070" w:rsidRPr="00FC1793" w14:paraId="151B0F9D" w14:textId="77777777" w:rsidTr="007D0070">
        <w:tc>
          <w:tcPr>
            <w:tcW w:w="2224" w:type="dxa"/>
            <w:tcBorders>
              <w:top w:val="nil"/>
              <w:bottom w:val="nil"/>
            </w:tcBorders>
          </w:tcPr>
          <w:p w14:paraId="204D269B" w14:textId="77777777" w:rsidR="007D0070" w:rsidRDefault="007D0070" w:rsidP="00294781">
            <w:pPr>
              <w:spacing w:after="120"/>
              <w:jc w:val="both"/>
              <w:rPr>
                <w:sz w:val="22"/>
                <w:szCs w:val="22"/>
              </w:rPr>
            </w:pPr>
            <w:r>
              <w:rPr>
                <w:sz w:val="22"/>
                <w:szCs w:val="22"/>
              </w:rPr>
              <w:t>P Rocco</w:t>
            </w:r>
          </w:p>
        </w:tc>
        <w:tc>
          <w:tcPr>
            <w:tcW w:w="1882" w:type="dxa"/>
            <w:tcBorders>
              <w:top w:val="nil"/>
              <w:bottom w:val="nil"/>
            </w:tcBorders>
            <w:vAlign w:val="bottom"/>
          </w:tcPr>
          <w:p w14:paraId="4ACEC5E6" w14:textId="42CF7690" w:rsidR="007D0070" w:rsidRPr="00FC1793" w:rsidRDefault="00111BAB" w:rsidP="00294781">
            <w:pPr>
              <w:spacing w:after="120"/>
              <w:jc w:val="both"/>
              <w:rPr>
                <w:sz w:val="22"/>
                <w:szCs w:val="22"/>
              </w:rPr>
            </w:pPr>
            <w:r>
              <w:rPr>
                <w:sz w:val="22"/>
                <w:szCs w:val="22"/>
              </w:rPr>
              <w:t>8,288,555</w:t>
            </w:r>
          </w:p>
        </w:tc>
        <w:tc>
          <w:tcPr>
            <w:tcW w:w="1701" w:type="dxa"/>
            <w:tcBorders>
              <w:top w:val="nil"/>
              <w:bottom w:val="nil"/>
            </w:tcBorders>
            <w:vAlign w:val="bottom"/>
          </w:tcPr>
          <w:p w14:paraId="798AEE3B" w14:textId="24408449" w:rsidR="007D0070" w:rsidRPr="00FC1793" w:rsidRDefault="00111BAB" w:rsidP="00294781">
            <w:pPr>
              <w:spacing w:after="120"/>
              <w:jc w:val="both"/>
              <w:rPr>
                <w:sz w:val="22"/>
                <w:szCs w:val="22"/>
              </w:rPr>
            </w:pPr>
            <w:r>
              <w:rPr>
                <w:sz w:val="22"/>
                <w:szCs w:val="22"/>
              </w:rPr>
              <w:t>11,430,148</w:t>
            </w:r>
          </w:p>
        </w:tc>
        <w:tc>
          <w:tcPr>
            <w:tcW w:w="1418" w:type="dxa"/>
            <w:tcBorders>
              <w:top w:val="nil"/>
              <w:bottom w:val="nil"/>
            </w:tcBorders>
          </w:tcPr>
          <w:p w14:paraId="61E239EE" w14:textId="77777777" w:rsidR="007D0070" w:rsidRPr="00FC1793" w:rsidRDefault="007D0070" w:rsidP="00294781">
            <w:pPr>
              <w:spacing w:after="120"/>
              <w:jc w:val="both"/>
              <w:rPr>
                <w:sz w:val="22"/>
                <w:szCs w:val="22"/>
              </w:rPr>
            </w:pPr>
            <w:r>
              <w:rPr>
                <w:sz w:val="22"/>
                <w:szCs w:val="22"/>
              </w:rPr>
              <w:t>-</w:t>
            </w:r>
          </w:p>
        </w:tc>
        <w:tc>
          <w:tcPr>
            <w:tcW w:w="2693" w:type="dxa"/>
            <w:tcBorders>
              <w:top w:val="nil"/>
              <w:bottom w:val="nil"/>
            </w:tcBorders>
            <w:vAlign w:val="bottom"/>
          </w:tcPr>
          <w:p w14:paraId="3ED539E6" w14:textId="77777777" w:rsidR="007D0070" w:rsidRPr="00FC1793" w:rsidRDefault="007D0070" w:rsidP="00294781">
            <w:pPr>
              <w:spacing w:after="120"/>
              <w:jc w:val="both"/>
              <w:rPr>
                <w:sz w:val="22"/>
                <w:szCs w:val="22"/>
              </w:rPr>
            </w:pPr>
            <w:r>
              <w:rPr>
                <w:sz w:val="22"/>
                <w:szCs w:val="22"/>
              </w:rPr>
              <w:t>-</w:t>
            </w:r>
          </w:p>
        </w:tc>
      </w:tr>
      <w:tr w:rsidR="007D0070" w:rsidRPr="00FC1793" w14:paraId="221FCADA" w14:textId="77777777" w:rsidTr="007D0070">
        <w:tc>
          <w:tcPr>
            <w:tcW w:w="2224" w:type="dxa"/>
            <w:tcBorders>
              <w:top w:val="nil"/>
            </w:tcBorders>
          </w:tcPr>
          <w:p w14:paraId="4A32B275" w14:textId="77777777" w:rsidR="007D0070" w:rsidRPr="00FC1793" w:rsidRDefault="007D0070" w:rsidP="00294781">
            <w:pPr>
              <w:spacing w:after="120"/>
              <w:jc w:val="both"/>
              <w:rPr>
                <w:sz w:val="22"/>
                <w:szCs w:val="22"/>
              </w:rPr>
            </w:pPr>
            <w:r>
              <w:rPr>
                <w:sz w:val="22"/>
                <w:szCs w:val="22"/>
              </w:rPr>
              <w:t>C Latilla-Campbell *</w:t>
            </w:r>
          </w:p>
        </w:tc>
        <w:tc>
          <w:tcPr>
            <w:tcW w:w="1882" w:type="dxa"/>
            <w:tcBorders>
              <w:top w:val="nil"/>
            </w:tcBorders>
            <w:vAlign w:val="bottom"/>
          </w:tcPr>
          <w:p w14:paraId="15F503BB" w14:textId="77777777" w:rsidR="007D0070" w:rsidRPr="00FF652A" w:rsidRDefault="007D0070" w:rsidP="00294781">
            <w:pPr>
              <w:spacing w:after="120"/>
              <w:jc w:val="both"/>
              <w:rPr>
                <w:sz w:val="22"/>
                <w:szCs w:val="22"/>
                <w:highlight w:val="yellow"/>
              </w:rPr>
            </w:pPr>
            <w:r w:rsidRPr="00716B13">
              <w:rPr>
                <w:sz w:val="22"/>
                <w:szCs w:val="22"/>
              </w:rPr>
              <w:t>39,373,775</w:t>
            </w:r>
          </w:p>
        </w:tc>
        <w:tc>
          <w:tcPr>
            <w:tcW w:w="1701" w:type="dxa"/>
            <w:tcBorders>
              <w:top w:val="nil"/>
            </w:tcBorders>
            <w:vAlign w:val="bottom"/>
          </w:tcPr>
          <w:p w14:paraId="739CCC83" w14:textId="4BD6A513" w:rsidR="007D0070" w:rsidRPr="00716B13" w:rsidRDefault="00111BAB" w:rsidP="00294781">
            <w:pPr>
              <w:spacing w:after="120"/>
              <w:jc w:val="both"/>
              <w:rPr>
                <w:sz w:val="22"/>
                <w:szCs w:val="22"/>
              </w:rPr>
            </w:pPr>
            <w:r w:rsidRPr="00716B13">
              <w:rPr>
                <w:sz w:val="22"/>
                <w:szCs w:val="22"/>
              </w:rPr>
              <w:t>44,277,904</w:t>
            </w:r>
          </w:p>
        </w:tc>
        <w:tc>
          <w:tcPr>
            <w:tcW w:w="1418" w:type="dxa"/>
            <w:tcBorders>
              <w:top w:val="nil"/>
            </w:tcBorders>
          </w:tcPr>
          <w:p w14:paraId="615EA48A" w14:textId="77777777" w:rsidR="007D0070" w:rsidRPr="00FC1793" w:rsidRDefault="007D0070" w:rsidP="00294781">
            <w:pPr>
              <w:spacing w:after="120"/>
              <w:jc w:val="both"/>
              <w:rPr>
                <w:sz w:val="22"/>
                <w:szCs w:val="22"/>
              </w:rPr>
            </w:pPr>
            <w:r w:rsidRPr="00FC1793">
              <w:rPr>
                <w:sz w:val="22"/>
                <w:szCs w:val="22"/>
              </w:rPr>
              <w:t>-</w:t>
            </w:r>
          </w:p>
        </w:tc>
        <w:tc>
          <w:tcPr>
            <w:tcW w:w="2693" w:type="dxa"/>
            <w:tcBorders>
              <w:top w:val="nil"/>
            </w:tcBorders>
            <w:vAlign w:val="bottom"/>
          </w:tcPr>
          <w:p w14:paraId="06DB3228" w14:textId="77777777" w:rsidR="007D0070" w:rsidRPr="00FC1793" w:rsidRDefault="007D0070" w:rsidP="00294781">
            <w:pPr>
              <w:spacing w:after="120"/>
              <w:jc w:val="both"/>
              <w:rPr>
                <w:sz w:val="22"/>
                <w:szCs w:val="22"/>
              </w:rPr>
            </w:pPr>
            <w:r w:rsidRPr="00FC1793">
              <w:rPr>
                <w:sz w:val="22"/>
                <w:szCs w:val="22"/>
              </w:rPr>
              <w:t>-</w:t>
            </w:r>
          </w:p>
        </w:tc>
      </w:tr>
      <w:tr w:rsidR="007D0070" w:rsidRPr="00FC1793" w14:paraId="2F2B4112" w14:textId="77777777" w:rsidTr="007D0070">
        <w:tc>
          <w:tcPr>
            <w:tcW w:w="2224" w:type="dxa"/>
          </w:tcPr>
          <w:p w14:paraId="38B5C804" w14:textId="77777777" w:rsidR="007D0070" w:rsidRPr="00FC1793" w:rsidRDefault="007D0070" w:rsidP="00294781">
            <w:pPr>
              <w:spacing w:after="120"/>
              <w:jc w:val="both"/>
              <w:rPr>
                <w:sz w:val="22"/>
                <w:szCs w:val="22"/>
              </w:rPr>
            </w:pPr>
            <w:r>
              <w:rPr>
                <w:sz w:val="22"/>
                <w:szCs w:val="22"/>
              </w:rPr>
              <w:t>C Schaffalitzky</w:t>
            </w:r>
          </w:p>
        </w:tc>
        <w:tc>
          <w:tcPr>
            <w:tcW w:w="1882" w:type="dxa"/>
            <w:vAlign w:val="bottom"/>
          </w:tcPr>
          <w:p w14:paraId="30C70B7C" w14:textId="77777777" w:rsidR="007D0070" w:rsidRPr="00FC1793" w:rsidRDefault="007D0070" w:rsidP="00294781">
            <w:pPr>
              <w:spacing w:after="120"/>
              <w:jc w:val="both"/>
              <w:rPr>
                <w:sz w:val="22"/>
                <w:szCs w:val="22"/>
              </w:rPr>
            </w:pPr>
            <w:r>
              <w:rPr>
                <w:sz w:val="22"/>
                <w:szCs w:val="22"/>
              </w:rPr>
              <w:t>7,933,333</w:t>
            </w:r>
          </w:p>
        </w:tc>
        <w:tc>
          <w:tcPr>
            <w:tcW w:w="1701" w:type="dxa"/>
            <w:vAlign w:val="bottom"/>
          </w:tcPr>
          <w:p w14:paraId="5F105934" w14:textId="4D41210C" w:rsidR="007D0070" w:rsidRPr="00FC1793" w:rsidRDefault="00111BAB" w:rsidP="00294781">
            <w:pPr>
              <w:spacing w:after="120"/>
              <w:jc w:val="both"/>
              <w:rPr>
                <w:sz w:val="22"/>
                <w:szCs w:val="22"/>
              </w:rPr>
            </w:pPr>
            <w:r>
              <w:rPr>
                <w:sz w:val="22"/>
                <w:szCs w:val="22"/>
              </w:rPr>
              <w:t>12,099,999</w:t>
            </w:r>
          </w:p>
        </w:tc>
        <w:tc>
          <w:tcPr>
            <w:tcW w:w="1418" w:type="dxa"/>
          </w:tcPr>
          <w:p w14:paraId="113B12D5" w14:textId="77777777" w:rsidR="007D0070" w:rsidRPr="00FC1793" w:rsidRDefault="007D0070" w:rsidP="00294781">
            <w:pPr>
              <w:spacing w:after="120"/>
              <w:jc w:val="both"/>
              <w:rPr>
                <w:sz w:val="22"/>
                <w:szCs w:val="22"/>
              </w:rPr>
            </w:pPr>
            <w:r>
              <w:rPr>
                <w:sz w:val="22"/>
                <w:szCs w:val="22"/>
              </w:rPr>
              <w:t>-</w:t>
            </w:r>
          </w:p>
        </w:tc>
        <w:tc>
          <w:tcPr>
            <w:tcW w:w="2693" w:type="dxa"/>
            <w:vAlign w:val="bottom"/>
          </w:tcPr>
          <w:p w14:paraId="224E4149" w14:textId="77777777" w:rsidR="007D0070" w:rsidRPr="00FC1793" w:rsidRDefault="007D0070" w:rsidP="00294781">
            <w:pPr>
              <w:spacing w:after="120"/>
              <w:jc w:val="both"/>
              <w:rPr>
                <w:sz w:val="22"/>
                <w:szCs w:val="22"/>
              </w:rPr>
            </w:pPr>
            <w:r>
              <w:rPr>
                <w:sz w:val="22"/>
                <w:szCs w:val="22"/>
              </w:rPr>
              <w:t>-</w:t>
            </w:r>
          </w:p>
        </w:tc>
      </w:tr>
    </w:tbl>
    <w:p w14:paraId="331AE040" w14:textId="77777777" w:rsidR="007D0070" w:rsidRDefault="007D0070" w:rsidP="007D0070">
      <w:pPr>
        <w:spacing w:after="120"/>
        <w:jc w:val="both"/>
        <w:rPr>
          <w:bCs/>
          <w:sz w:val="22"/>
          <w:szCs w:val="22"/>
        </w:rPr>
      </w:pPr>
    </w:p>
    <w:p w14:paraId="2919BE0F" w14:textId="19B6F138" w:rsidR="007D0070" w:rsidRDefault="007D0070" w:rsidP="007D0070">
      <w:pPr>
        <w:spacing w:after="120"/>
        <w:jc w:val="both"/>
        <w:rPr>
          <w:bCs/>
          <w:sz w:val="22"/>
          <w:szCs w:val="22"/>
        </w:rPr>
      </w:pPr>
      <w:r>
        <w:rPr>
          <w:bCs/>
          <w:sz w:val="22"/>
          <w:szCs w:val="22"/>
        </w:rPr>
        <w:t>* I</w:t>
      </w:r>
      <w:r w:rsidRPr="001A42B8">
        <w:rPr>
          <w:sz w:val="22"/>
          <w:szCs w:val="22"/>
        </w:rPr>
        <w:t xml:space="preserve">ncludes 24,750,000 </w:t>
      </w:r>
      <w:r>
        <w:rPr>
          <w:sz w:val="22"/>
          <w:szCs w:val="22"/>
        </w:rPr>
        <w:t xml:space="preserve">ordinary </w:t>
      </w:r>
      <w:r w:rsidRPr="001A42B8">
        <w:rPr>
          <w:sz w:val="22"/>
          <w:szCs w:val="22"/>
        </w:rPr>
        <w:t>shares held by Buchanan Trading Inc, in whose shares he is deemed to be interested, as he is a potential beneficiary of a discretionary trust which controls it.</w:t>
      </w:r>
      <w:r>
        <w:rPr>
          <w:sz w:val="22"/>
          <w:szCs w:val="22"/>
        </w:rPr>
        <w:t xml:space="preserve"> </w:t>
      </w:r>
    </w:p>
    <w:p w14:paraId="3C55D17E" w14:textId="49653829" w:rsidR="007D0070" w:rsidRDefault="007D0070" w:rsidP="007D0070">
      <w:pPr>
        <w:spacing w:after="120"/>
        <w:jc w:val="both"/>
        <w:rPr>
          <w:b/>
          <w:bCs/>
          <w:sz w:val="22"/>
          <w:szCs w:val="22"/>
        </w:rPr>
      </w:pPr>
    </w:p>
    <w:p w14:paraId="4B286319" w14:textId="676E86A1" w:rsidR="00FF652A" w:rsidRDefault="00FF652A" w:rsidP="007D0070">
      <w:pPr>
        <w:spacing w:after="120"/>
        <w:jc w:val="both"/>
        <w:rPr>
          <w:b/>
          <w:bCs/>
          <w:sz w:val="22"/>
          <w:szCs w:val="22"/>
        </w:rPr>
      </w:pPr>
    </w:p>
    <w:p w14:paraId="162FB272" w14:textId="1A50A439" w:rsidR="00FF652A" w:rsidRDefault="00FF652A" w:rsidP="007D0070">
      <w:pPr>
        <w:spacing w:after="120"/>
        <w:jc w:val="both"/>
        <w:rPr>
          <w:b/>
          <w:bCs/>
          <w:sz w:val="22"/>
          <w:szCs w:val="22"/>
        </w:rPr>
      </w:pPr>
    </w:p>
    <w:p w14:paraId="22B8DEFF" w14:textId="294FB0A2" w:rsidR="00A95FC6" w:rsidRDefault="00A95FC6" w:rsidP="007D0070">
      <w:pPr>
        <w:spacing w:after="120"/>
        <w:jc w:val="both"/>
        <w:rPr>
          <w:b/>
          <w:bCs/>
          <w:sz w:val="22"/>
          <w:szCs w:val="22"/>
        </w:rPr>
      </w:pPr>
    </w:p>
    <w:p w14:paraId="71380214" w14:textId="77777777" w:rsidR="00A95FC6" w:rsidRDefault="00A95FC6" w:rsidP="007D0070">
      <w:pPr>
        <w:spacing w:after="120"/>
        <w:jc w:val="both"/>
        <w:rPr>
          <w:b/>
          <w:bCs/>
          <w:sz w:val="22"/>
          <w:szCs w:val="22"/>
        </w:rPr>
      </w:pPr>
    </w:p>
    <w:p w14:paraId="52539211" w14:textId="77777777" w:rsidR="00FF652A" w:rsidRDefault="00FF652A" w:rsidP="007D0070">
      <w:pPr>
        <w:spacing w:after="120"/>
        <w:jc w:val="both"/>
        <w:rPr>
          <w:b/>
          <w:bCs/>
          <w:sz w:val="22"/>
          <w:szCs w:val="22"/>
        </w:rPr>
      </w:pPr>
    </w:p>
    <w:p w14:paraId="505A0B1A" w14:textId="45FA0547" w:rsidR="007D0070" w:rsidRDefault="007D0070" w:rsidP="00275562">
      <w:pPr>
        <w:spacing w:after="120"/>
        <w:jc w:val="center"/>
        <w:rPr>
          <w:b/>
          <w:sz w:val="22"/>
          <w:szCs w:val="22"/>
        </w:rPr>
      </w:pPr>
      <w:r w:rsidRPr="001C10F8">
        <w:rPr>
          <w:b/>
          <w:bCs/>
          <w:sz w:val="22"/>
          <w:szCs w:val="22"/>
        </w:rPr>
        <w:t>DIRECTORS’ REMUNERATION REPORT</w:t>
      </w:r>
      <w:r w:rsidR="00275562">
        <w:rPr>
          <w:b/>
          <w:bCs/>
          <w:sz w:val="22"/>
          <w:szCs w:val="22"/>
        </w:rPr>
        <w:t xml:space="preserve"> (</w:t>
      </w:r>
      <w:r w:rsidRPr="001C10F8">
        <w:rPr>
          <w:b/>
          <w:bCs/>
          <w:sz w:val="22"/>
          <w:szCs w:val="22"/>
        </w:rPr>
        <w:t>continued</w:t>
      </w:r>
      <w:r w:rsidR="00275562">
        <w:rPr>
          <w:b/>
          <w:bCs/>
          <w:sz w:val="22"/>
          <w:szCs w:val="22"/>
        </w:rPr>
        <w:t>)</w:t>
      </w:r>
    </w:p>
    <w:p w14:paraId="7345B58B" w14:textId="1D4738C8" w:rsidR="007D0070" w:rsidRPr="00FC1793" w:rsidRDefault="007D0070" w:rsidP="007D0070">
      <w:pPr>
        <w:spacing w:after="120"/>
        <w:jc w:val="both"/>
        <w:rPr>
          <w:b/>
          <w:sz w:val="22"/>
          <w:szCs w:val="22"/>
        </w:rPr>
      </w:pPr>
      <w:r w:rsidRPr="00FC1793">
        <w:rPr>
          <w:b/>
          <w:sz w:val="22"/>
          <w:szCs w:val="22"/>
        </w:rPr>
        <w:t>Relative importance of spend on pay</w:t>
      </w:r>
    </w:p>
    <w:p w14:paraId="545293C0" w14:textId="55E7CDEE" w:rsidR="007D0070" w:rsidRPr="00FC1793" w:rsidRDefault="007D0070" w:rsidP="007D0070">
      <w:pPr>
        <w:spacing w:after="120"/>
        <w:jc w:val="both"/>
        <w:rPr>
          <w:sz w:val="22"/>
          <w:szCs w:val="22"/>
        </w:rPr>
      </w:pPr>
      <w:r w:rsidRPr="00FC1793">
        <w:rPr>
          <w:sz w:val="22"/>
          <w:szCs w:val="22"/>
        </w:rPr>
        <w:t xml:space="preserve">The table below illustrates a comparison between </w:t>
      </w:r>
      <w:r w:rsidR="00305D9C">
        <w:rPr>
          <w:sz w:val="22"/>
          <w:szCs w:val="22"/>
        </w:rPr>
        <w:t>D</w:t>
      </w:r>
      <w:r>
        <w:rPr>
          <w:sz w:val="22"/>
          <w:szCs w:val="22"/>
        </w:rPr>
        <w:t xml:space="preserve">irectors’ </w:t>
      </w:r>
      <w:r w:rsidRPr="00FC1793">
        <w:rPr>
          <w:sz w:val="22"/>
          <w:szCs w:val="22"/>
        </w:rPr>
        <w:t xml:space="preserve">total remuneration to distributions to shareholders and loss before tax for the financial period ended 31 December </w:t>
      </w:r>
      <w:r w:rsidR="00640BA1" w:rsidRPr="00FC1793">
        <w:rPr>
          <w:sz w:val="22"/>
          <w:szCs w:val="22"/>
        </w:rPr>
        <w:t>20</w:t>
      </w:r>
      <w:r w:rsidR="00640BA1">
        <w:rPr>
          <w:sz w:val="22"/>
          <w:szCs w:val="22"/>
        </w:rPr>
        <w:t>20</w:t>
      </w:r>
      <w:r w:rsidRPr="00FC1793">
        <w:rPr>
          <w:sz w:val="22"/>
          <w:szCs w:val="22"/>
        </w:rPr>
        <w:t>:</w:t>
      </w:r>
    </w:p>
    <w:tbl>
      <w:tblPr>
        <w:tblStyle w:val="TableGrid"/>
        <w:tblW w:w="0" w:type="auto"/>
        <w:tblLook w:val="04A0" w:firstRow="1" w:lastRow="0" w:firstColumn="1" w:lastColumn="0" w:noHBand="0" w:noVBand="1"/>
      </w:tblPr>
      <w:tblGrid>
        <w:gridCol w:w="2568"/>
        <w:gridCol w:w="2047"/>
        <w:gridCol w:w="1773"/>
        <w:gridCol w:w="3530"/>
      </w:tblGrid>
      <w:tr w:rsidR="007D0070" w:rsidRPr="00FC1793" w14:paraId="34C8FF6B" w14:textId="77777777" w:rsidTr="009A6620">
        <w:tc>
          <w:tcPr>
            <w:tcW w:w="2568" w:type="dxa"/>
          </w:tcPr>
          <w:p w14:paraId="7EFB0922" w14:textId="77777777" w:rsidR="007D0070" w:rsidRPr="00FC1793" w:rsidRDefault="007D0070" w:rsidP="00294781">
            <w:pPr>
              <w:spacing w:after="120"/>
              <w:jc w:val="both"/>
              <w:rPr>
                <w:sz w:val="22"/>
                <w:szCs w:val="22"/>
              </w:rPr>
            </w:pPr>
          </w:p>
        </w:tc>
        <w:tc>
          <w:tcPr>
            <w:tcW w:w="2047" w:type="dxa"/>
          </w:tcPr>
          <w:p w14:paraId="7F9A5C20" w14:textId="77777777" w:rsidR="007D0070" w:rsidRPr="00FC1793" w:rsidRDefault="007D0070" w:rsidP="00294781">
            <w:pPr>
              <w:spacing w:after="120"/>
              <w:jc w:val="both"/>
              <w:rPr>
                <w:sz w:val="22"/>
                <w:szCs w:val="22"/>
              </w:rPr>
            </w:pPr>
            <w:r w:rsidRPr="00FC1793">
              <w:rPr>
                <w:sz w:val="22"/>
                <w:szCs w:val="22"/>
              </w:rPr>
              <w:t>Distributions to shareholders</w:t>
            </w:r>
          </w:p>
          <w:p w14:paraId="5FCD44B7" w14:textId="77777777" w:rsidR="007D0070" w:rsidRPr="00FC1793" w:rsidRDefault="007D0070" w:rsidP="00294781">
            <w:pPr>
              <w:spacing w:after="120"/>
              <w:jc w:val="both"/>
              <w:rPr>
                <w:sz w:val="22"/>
                <w:szCs w:val="22"/>
              </w:rPr>
            </w:pPr>
            <w:r w:rsidRPr="00FC1793">
              <w:rPr>
                <w:sz w:val="22"/>
                <w:szCs w:val="22"/>
              </w:rPr>
              <w:t>£</w:t>
            </w:r>
          </w:p>
        </w:tc>
        <w:tc>
          <w:tcPr>
            <w:tcW w:w="1773" w:type="dxa"/>
          </w:tcPr>
          <w:p w14:paraId="60D1FB84" w14:textId="77777777" w:rsidR="007D0070" w:rsidRPr="00FC1793" w:rsidRDefault="007D0070" w:rsidP="00294781">
            <w:pPr>
              <w:spacing w:after="120"/>
              <w:jc w:val="both"/>
              <w:rPr>
                <w:sz w:val="22"/>
                <w:szCs w:val="22"/>
              </w:rPr>
            </w:pPr>
            <w:r w:rsidRPr="00FC1793">
              <w:rPr>
                <w:sz w:val="22"/>
                <w:szCs w:val="22"/>
              </w:rPr>
              <w:t>Total Director</w:t>
            </w:r>
            <w:r>
              <w:rPr>
                <w:sz w:val="22"/>
                <w:szCs w:val="22"/>
              </w:rPr>
              <w:t>s</w:t>
            </w:r>
            <w:r w:rsidRPr="00FC1793">
              <w:rPr>
                <w:sz w:val="22"/>
                <w:szCs w:val="22"/>
              </w:rPr>
              <w:t xml:space="preserve"> pay</w:t>
            </w:r>
          </w:p>
          <w:p w14:paraId="72AAEB64" w14:textId="77777777" w:rsidR="007D0070" w:rsidRPr="00FC1793" w:rsidRDefault="007D0070" w:rsidP="00294781">
            <w:pPr>
              <w:spacing w:after="120"/>
              <w:jc w:val="both"/>
              <w:rPr>
                <w:sz w:val="22"/>
                <w:szCs w:val="22"/>
              </w:rPr>
            </w:pPr>
            <w:r w:rsidRPr="00FC1793">
              <w:rPr>
                <w:sz w:val="22"/>
                <w:szCs w:val="22"/>
              </w:rPr>
              <w:t>£</w:t>
            </w:r>
          </w:p>
        </w:tc>
        <w:tc>
          <w:tcPr>
            <w:tcW w:w="3530" w:type="dxa"/>
          </w:tcPr>
          <w:p w14:paraId="22153F82" w14:textId="3DA48247" w:rsidR="007D0070" w:rsidRPr="00FC1793" w:rsidRDefault="00FF4BA9" w:rsidP="00294781">
            <w:pPr>
              <w:spacing w:after="120"/>
              <w:jc w:val="both"/>
              <w:rPr>
                <w:sz w:val="22"/>
                <w:szCs w:val="22"/>
              </w:rPr>
            </w:pPr>
            <w:r>
              <w:rPr>
                <w:sz w:val="22"/>
                <w:szCs w:val="22"/>
              </w:rPr>
              <w:t xml:space="preserve">Group </w:t>
            </w:r>
            <w:r w:rsidR="007D0070" w:rsidRPr="00FC1793">
              <w:rPr>
                <w:sz w:val="22"/>
                <w:szCs w:val="22"/>
              </w:rPr>
              <w:t>Operational cash outflow</w:t>
            </w:r>
          </w:p>
          <w:p w14:paraId="24323286" w14:textId="77777777" w:rsidR="007D0070" w:rsidRPr="00FC1793" w:rsidRDefault="007D0070" w:rsidP="00294781">
            <w:pPr>
              <w:spacing w:after="120"/>
              <w:jc w:val="both"/>
              <w:rPr>
                <w:sz w:val="22"/>
                <w:szCs w:val="22"/>
              </w:rPr>
            </w:pPr>
            <w:r w:rsidRPr="00FC1793">
              <w:rPr>
                <w:sz w:val="22"/>
                <w:szCs w:val="22"/>
              </w:rPr>
              <w:t>£</w:t>
            </w:r>
          </w:p>
        </w:tc>
      </w:tr>
      <w:tr w:rsidR="007D0070" w:rsidRPr="00FC1793" w14:paraId="1B1DC67A" w14:textId="77777777" w:rsidTr="009A6620">
        <w:tc>
          <w:tcPr>
            <w:tcW w:w="2568" w:type="dxa"/>
          </w:tcPr>
          <w:p w14:paraId="1DFB8351" w14:textId="28B5295A" w:rsidR="007D0070" w:rsidRPr="00FC1793" w:rsidRDefault="00640BA1" w:rsidP="00294781">
            <w:pPr>
              <w:spacing w:after="120"/>
              <w:jc w:val="both"/>
              <w:rPr>
                <w:sz w:val="22"/>
                <w:szCs w:val="22"/>
              </w:rPr>
            </w:pPr>
            <w:r>
              <w:rPr>
                <w:sz w:val="22"/>
                <w:szCs w:val="22"/>
              </w:rPr>
              <w:t>Year</w:t>
            </w:r>
            <w:r w:rsidR="007D0070">
              <w:rPr>
                <w:sz w:val="22"/>
                <w:szCs w:val="22"/>
              </w:rPr>
              <w:t xml:space="preserve"> </w:t>
            </w:r>
            <w:r w:rsidR="007D0070" w:rsidRPr="00FC1793">
              <w:rPr>
                <w:sz w:val="22"/>
                <w:szCs w:val="22"/>
              </w:rPr>
              <w:t xml:space="preserve">ended 31 December </w:t>
            </w:r>
            <w:r w:rsidRPr="00FC1793">
              <w:rPr>
                <w:sz w:val="22"/>
                <w:szCs w:val="22"/>
              </w:rPr>
              <w:t>20</w:t>
            </w:r>
            <w:r>
              <w:rPr>
                <w:sz w:val="22"/>
                <w:szCs w:val="22"/>
              </w:rPr>
              <w:t>20</w:t>
            </w:r>
          </w:p>
        </w:tc>
        <w:tc>
          <w:tcPr>
            <w:tcW w:w="2047" w:type="dxa"/>
          </w:tcPr>
          <w:p w14:paraId="54E96CED" w14:textId="7CF179AB" w:rsidR="007D0070" w:rsidRPr="00FC1793" w:rsidRDefault="00A5669B" w:rsidP="00294781">
            <w:pPr>
              <w:spacing w:after="120"/>
              <w:jc w:val="both"/>
              <w:rPr>
                <w:sz w:val="22"/>
                <w:szCs w:val="22"/>
              </w:rPr>
            </w:pPr>
            <w:r w:rsidRPr="00FC1793">
              <w:rPr>
                <w:sz w:val="22"/>
                <w:szCs w:val="22"/>
              </w:rPr>
              <w:t>N</w:t>
            </w:r>
            <w:r w:rsidR="007D0070" w:rsidRPr="00FC1793">
              <w:rPr>
                <w:sz w:val="22"/>
                <w:szCs w:val="22"/>
              </w:rPr>
              <w:t>il</w:t>
            </w:r>
          </w:p>
        </w:tc>
        <w:tc>
          <w:tcPr>
            <w:tcW w:w="1773" w:type="dxa"/>
          </w:tcPr>
          <w:p w14:paraId="1A04AA46" w14:textId="4F12EA43" w:rsidR="007D0070" w:rsidRPr="00FC1793" w:rsidRDefault="000D052F" w:rsidP="00294781">
            <w:pPr>
              <w:spacing w:after="120"/>
              <w:jc w:val="both"/>
              <w:rPr>
                <w:sz w:val="22"/>
                <w:szCs w:val="22"/>
              </w:rPr>
            </w:pPr>
            <w:r>
              <w:rPr>
                <w:sz w:val="22"/>
                <w:szCs w:val="22"/>
              </w:rPr>
              <w:t>223,259</w:t>
            </w:r>
          </w:p>
        </w:tc>
        <w:tc>
          <w:tcPr>
            <w:tcW w:w="3530" w:type="dxa"/>
          </w:tcPr>
          <w:p w14:paraId="400501AB" w14:textId="2979EE0E" w:rsidR="007D0070" w:rsidRPr="00FC1793" w:rsidRDefault="00FF4BA9" w:rsidP="00294781">
            <w:pPr>
              <w:spacing w:after="120"/>
              <w:jc w:val="both"/>
              <w:rPr>
                <w:sz w:val="22"/>
                <w:szCs w:val="22"/>
              </w:rPr>
            </w:pPr>
            <w:r>
              <w:rPr>
                <w:sz w:val="22"/>
                <w:szCs w:val="22"/>
              </w:rPr>
              <w:t>690,764</w:t>
            </w:r>
          </w:p>
        </w:tc>
      </w:tr>
    </w:tbl>
    <w:p w14:paraId="1F4887A6" w14:textId="77777777" w:rsidR="00790F32" w:rsidRDefault="00790F32" w:rsidP="007D0070">
      <w:pPr>
        <w:spacing w:after="120"/>
        <w:jc w:val="both"/>
        <w:rPr>
          <w:sz w:val="22"/>
          <w:szCs w:val="22"/>
        </w:rPr>
      </w:pPr>
    </w:p>
    <w:p w14:paraId="6054097D" w14:textId="3BBAD28E" w:rsidR="007D0070" w:rsidRPr="00FC1793" w:rsidRDefault="007D0070" w:rsidP="007D0070">
      <w:pPr>
        <w:spacing w:after="120"/>
        <w:jc w:val="both"/>
        <w:rPr>
          <w:sz w:val="22"/>
          <w:szCs w:val="22"/>
        </w:rPr>
      </w:pPr>
      <w:r w:rsidRPr="00FC1793">
        <w:rPr>
          <w:sz w:val="22"/>
          <w:szCs w:val="22"/>
        </w:rPr>
        <w:t xml:space="preserve">Total </w:t>
      </w:r>
      <w:r w:rsidR="00305D9C">
        <w:rPr>
          <w:sz w:val="22"/>
          <w:szCs w:val="22"/>
        </w:rPr>
        <w:t>D</w:t>
      </w:r>
      <w:r w:rsidRPr="00FC1793">
        <w:rPr>
          <w:sz w:val="22"/>
          <w:szCs w:val="22"/>
        </w:rPr>
        <w:t xml:space="preserve">irector </w:t>
      </w:r>
      <w:r>
        <w:rPr>
          <w:sz w:val="22"/>
          <w:szCs w:val="22"/>
        </w:rPr>
        <w:t>remuneration</w:t>
      </w:r>
      <w:r w:rsidRPr="00FC1793">
        <w:rPr>
          <w:sz w:val="22"/>
          <w:szCs w:val="22"/>
        </w:rPr>
        <w:t xml:space="preserve"> includes </w:t>
      </w:r>
      <w:r>
        <w:rPr>
          <w:sz w:val="22"/>
          <w:szCs w:val="22"/>
        </w:rPr>
        <w:t>salaries</w:t>
      </w:r>
      <w:r w:rsidR="00790F32">
        <w:rPr>
          <w:sz w:val="22"/>
          <w:szCs w:val="22"/>
        </w:rPr>
        <w:t xml:space="preserve"> and</w:t>
      </w:r>
      <w:r>
        <w:rPr>
          <w:sz w:val="22"/>
          <w:szCs w:val="22"/>
        </w:rPr>
        <w:t xml:space="preserve"> </w:t>
      </w:r>
      <w:r w:rsidRPr="00FC1793">
        <w:rPr>
          <w:sz w:val="22"/>
          <w:szCs w:val="22"/>
        </w:rPr>
        <w:t xml:space="preserve">fees, for </w:t>
      </w:r>
      <w:r>
        <w:rPr>
          <w:sz w:val="22"/>
          <w:szCs w:val="22"/>
        </w:rPr>
        <w:t>d</w:t>
      </w:r>
      <w:r w:rsidRPr="00FC1793">
        <w:rPr>
          <w:sz w:val="22"/>
          <w:szCs w:val="22"/>
        </w:rPr>
        <w:t xml:space="preserve">irectors in continuing operations. Further details on </w:t>
      </w:r>
      <w:r w:rsidR="00305D9C">
        <w:rPr>
          <w:sz w:val="22"/>
          <w:szCs w:val="22"/>
        </w:rPr>
        <w:t>D</w:t>
      </w:r>
      <w:r w:rsidRPr="00FC1793">
        <w:rPr>
          <w:sz w:val="22"/>
          <w:szCs w:val="22"/>
        </w:rPr>
        <w:t>irector</w:t>
      </w:r>
      <w:r>
        <w:rPr>
          <w:sz w:val="22"/>
          <w:szCs w:val="22"/>
        </w:rPr>
        <w:t>s’</w:t>
      </w:r>
      <w:r w:rsidRPr="00FC1793">
        <w:rPr>
          <w:sz w:val="22"/>
          <w:szCs w:val="22"/>
        </w:rPr>
        <w:t xml:space="preserve"> remuneration are provided </w:t>
      </w:r>
      <w:r w:rsidRPr="009A085B">
        <w:rPr>
          <w:sz w:val="22"/>
          <w:szCs w:val="22"/>
        </w:rPr>
        <w:t>in note 3 to the</w:t>
      </w:r>
      <w:r>
        <w:rPr>
          <w:sz w:val="22"/>
          <w:szCs w:val="22"/>
        </w:rPr>
        <w:t xml:space="preserve"> financial statements</w:t>
      </w:r>
      <w:r w:rsidRPr="00FC1793">
        <w:rPr>
          <w:sz w:val="22"/>
          <w:szCs w:val="22"/>
        </w:rPr>
        <w:t>.</w:t>
      </w:r>
    </w:p>
    <w:p w14:paraId="12FCF214" w14:textId="11A10F1D" w:rsidR="007D0070" w:rsidRPr="00FC1793" w:rsidRDefault="00305D9C" w:rsidP="007D0070">
      <w:pPr>
        <w:spacing w:after="120"/>
        <w:jc w:val="both"/>
        <w:rPr>
          <w:sz w:val="22"/>
          <w:szCs w:val="22"/>
        </w:rPr>
      </w:pPr>
      <w:r>
        <w:rPr>
          <w:sz w:val="22"/>
          <w:szCs w:val="22"/>
        </w:rPr>
        <w:t>Group o</w:t>
      </w:r>
      <w:r w:rsidR="007D0070" w:rsidRPr="00FC1793">
        <w:rPr>
          <w:sz w:val="22"/>
          <w:szCs w:val="22"/>
        </w:rPr>
        <w:t xml:space="preserve">perational cash outflow has been shown in the table above as cash flow monitoring and forecasting in an important consideration for </w:t>
      </w:r>
      <w:r w:rsidR="00790F32">
        <w:rPr>
          <w:sz w:val="22"/>
          <w:szCs w:val="22"/>
        </w:rPr>
        <w:t>the B</w:t>
      </w:r>
      <w:r w:rsidR="007D0070" w:rsidRPr="00FC1793">
        <w:rPr>
          <w:sz w:val="22"/>
          <w:szCs w:val="22"/>
        </w:rPr>
        <w:t>oard when determining cash-based remuneration for directors and employees.</w:t>
      </w:r>
    </w:p>
    <w:p w14:paraId="0CDFB1CD" w14:textId="77777777" w:rsidR="007D0070" w:rsidRPr="00FC1793" w:rsidRDefault="007D0070" w:rsidP="007D0070">
      <w:pPr>
        <w:spacing w:after="120"/>
        <w:jc w:val="both"/>
        <w:rPr>
          <w:b/>
          <w:sz w:val="22"/>
          <w:szCs w:val="22"/>
        </w:rPr>
      </w:pPr>
      <w:r w:rsidRPr="00FC1793">
        <w:rPr>
          <w:b/>
          <w:sz w:val="22"/>
          <w:szCs w:val="22"/>
        </w:rPr>
        <w:t>Consideration of shareholder views</w:t>
      </w:r>
    </w:p>
    <w:p w14:paraId="7CB4B25A" w14:textId="77777777" w:rsidR="007D0070" w:rsidRPr="00FC1793" w:rsidRDefault="007D0070" w:rsidP="007D0070">
      <w:pPr>
        <w:spacing w:after="120"/>
        <w:jc w:val="both"/>
        <w:rPr>
          <w:sz w:val="22"/>
          <w:szCs w:val="22"/>
        </w:rPr>
      </w:pPr>
      <w:r w:rsidRPr="00FC1793">
        <w:rPr>
          <w:sz w:val="22"/>
          <w:szCs w:val="22"/>
        </w:rPr>
        <w:t>The Board considers shareholder feedback received and guidance from shareholder bodies. This feedback, plus any additional feedback received from time to time, is considered as part of the Company’s annual policy on remuneration.</w:t>
      </w:r>
    </w:p>
    <w:p w14:paraId="3B2B1F55" w14:textId="77777777" w:rsidR="007D0070" w:rsidRPr="00FC1793" w:rsidRDefault="007D0070" w:rsidP="007D0070">
      <w:pPr>
        <w:spacing w:after="120"/>
        <w:jc w:val="both"/>
        <w:rPr>
          <w:sz w:val="22"/>
          <w:szCs w:val="22"/>
        </w:rPr>
      </w:pPr>
    </w:p>
    <w:p w14:paraId="005DC471" w14:textId="5A357DEC" w:rsidR="007D0070" w:rsidRPr="00FC1793" w:rsidRDefault="007D0070" w:rsidP="007D0070">
      <w:pPr>
        <w:spacing w:after="120"/>
        <w:jc w:val="both"/>
        <w:rPr>
          <w:sz w:val="22"/>
          <w:szCs w:val="22"/>
        </w:rPr>
      </w:pPr>
      <w:r w:rsidRPr="00FC1793">
        <w:rPr>
          <w:sz w:val="22"/>
          <w:szCs w:val="22"/>
        </w:rPr>
        <w:t>Approved on behalf of the Board of Directors</w:t>
      </w:r>
    </w:p>
    <w:p w14:paraId="2845DE3F" w14:textId="77777777" w:rsidR="007D0070" w:rsidRPr="00FC1793" w:rsidRDefault="007D0070" w:rsidP="007D0070">
      <w:pPr>
        <w:spacing w:after="120"/>
        <w:jc w:val="both"/>
        <w:rPr>
          <w:sz w:val="22"/>
          <w:szCs w:val="22"/>
        </w:rPr>
      </w:pPr>
    </w:p>
    <w:p w14:paraId="1B6BDD66" w14:textId="77777777" w:rsidR="007D0070" w:rsidRPr="00FC1793" w:rsidRDefault="007D0070" w:rsidP="007D0070">
      <w:pPr>
        <w:spacing w:after="120"/>
        <w:jc w:val="both"/>
        <w:rPr>
          <w:sz w:val="22"/>
          <w:szCs w:val="22"/>
        </w:rPr>
      </w:pPr>
    </w:p>
    <w:p w14:paraId="141950FF" w14:textId="77777777" w:rsidR="007D0070" w:rsidRPr="00FC1793" w:rsidRDefault="007D0070" w:rsidP="007D0070">
      <w:pPr>
        <w:spacing w:after="120"/>
        <w:jc w:val="both"/>
        <w:rPr>
          <w:sz w:val="22"/>
          <w:szCs w:val="22"/>
        </w:rPr>
      </w:pPr>
    </w:p>
    <w:p w14:paraId="2A45104B" w14:textId="7368E0D4" w:rsidR="007D0070" w:rsidRPr="00D71043" w:rsidRDefault="007D0070" w:rsidP="007D0070">
      <w:pPr>
        <w:jc w:val="both"/>
        <w:rPr>
          <w:b/>
          <w:sz w:val="22"/>
          <w:szCs w:val="22"/>
        </w:rPr>
      </w:pPr>
      <w:r>
        <w:rPr>
          <w:b/>
          <w:sz w:val="22"/>
          <w:szCs w:val="22"/>
        </w:rPr>
        <w:t xml:space="preserve">Christian </w:t>
      </w:r>
      <w:proofErr w:type="spellStart"/>
      <w:r>
        <w:rPr>
          <w:b/>
          <w:sz w:val="22"/>
          <w:szCs w:val="22"/>
        </w:rPr>
        <w:t>Schaffalitzky</w:t>
      </w:r>
      <w:proofErr w:type="spellEnd"/>
      <w:r w:rsidR="008D1B64">
        <w:rPr>
          <w:b/>
          <w:sz w:val="22"/>
          <w:szCs w:val="22"/>
        </w:rPr>
        <w:t xml:space="preserve"> de </w:t>
      </w:r>
      <w:proofErr w:type="spellStart"/>
      <w:r w:rsidR="008D1B64">
        <w:rPr>
          <w:b/>
          <w:sz w:val="22"/>
          <w:szCs w:val="22"/>
        </w:rPr>
        <w:t>Muckadell</w:t>
      </w:r>
      <w:proofErr w:type="spellEnd"/>
    </w:p>
    <w:p w14:paraId="368ED5ED" w14:textId="77777777" w:rsidR="007D0070" w:rsidRPr="00D71043" w:rsidRDefault="007D0070" w:rsidP="007D0070">
      <w:pPr>
        <w:jc w:val="both"/>
        <w:rPr>
          <w:b/>
          <w:sz w:val="22"/>
          <w:szCs w:val="22"/>
        </w:rPr>
      </w:pPr>
      <w:r>
        <w:rPr>
          <w:b/>
          <w:sz w:val="22"/>
          <w:szCs w:val="22"/>
        </w:rPr>
        <w:t>Chairman of the Remuneration Committee</w:t>
      </w:r>
    </w:p>
    <w:p w14:paraId="20B1C648" w14:textId="644317AA" w:rsidR="007D0070" w:rsidRPr="00D71043" w:rsidRDefault="001C10F8" w:rsidP="007D0070">
      <w:pPr>
        <w:jc w:val="both"/>
        <w:rPr>
          <w:b/>
          <w:sz w:val="22"/>
          <w:szCs w:val="22"/>
        </w:rPr>
      </w:pPr>
      <w:r w:rsidRPr="00315A68">
        <w:rPr>
          <w:b/>
          <w:sz w:val="22"/>
          <w:szCs w:val="22"/>
        </w:rPr>
        <w:t>28</w:t>
      </w:r>
      <w:r w:rsidR="00C448C1" w:rsidRPr="00315A68">
        <w:rPr>
          <w:b/>
          <w:sz w:val="22"/>
          <w:szCs w:val="22"/>
        </w:rPr>
        <w:t xml:space="preserve"> </w:t>
      </w:r>
      <w:r w:rsidR="00F754A9" w:rsidRPr="00315A68">
        <w:rPr>
          <w:b/>
          <w:sz w:val="22"/>
          <w:szCs w:val="22"/>
        </w:rPr>
        <w:t xml:space="preserve">April </w:t>
      </w:r>
      <w:r w:rsidR="007D0070" w:rsidRPr="00315A68">
        <w:rPr>
          <w:b/>
          <w:sz w:val="22"/>
          <w:szCs w:val="22"/>
        </w:rPr>
        <w:t>202</w:t>
      </w:r>
      <w:r w:rsidR="005F2F51" w:rsidRPr="00315A68">
        <w:rPr>
          <w:b/>
          <w:sz w:val="22"/>
          <w:szCs w:val="22"/>
        </w:rPr>
        <w:t>1</w:t>
      </w:r>
    </w:p>
    <w:p w14:paraId="05D1720C" w14:textId="4F10F6B9" w:rsidR="007D0070" w:rsidRDefault="007D0070">
      <w:pPr>
        <w:overflowPunct/>
        <w:autoSpaceDE/>
        <w:autoSpaceDN/>
        <w:adjustRightInd/>
        <w:textAlignment w:val="auto"/>
      </w:pPr>
    </w:p>
    <w:p w14:paraId="58D5F22B" w14:textId="2D876311" w:rsidR="007D0070" w:rsidRDefault="007D0070">
      <w:pPr>
        <w:overflowPunct/>
        <w:autoSpaceDE/>
        <w:autoSpaceDN/>
        <w:adjustRightInd/>
        <w:textAlignment w:val="auto"/>
      </w:pPr>
    </w:p>
    <w:p w14:paraId="3DF0524D" w14:textId="4792269E" w:rsidR="009A6620" w:rsidRDefault="009A6620">
      <w:pPr>
        <w:overflowPunct/>
        <w:autoSpaceDE/>
        <w:autoSpaceDN/>
        <w:adjustRightInd/>
        <w:textAlignment w:val="auto"/>
      </w:pPr>
    </w:p>
    <w:p w14:paraId="4CE062A6" w14:textId="57355FAE" w:rsidR="009A6620" w:rsidRDefault="009A6620">
      <w:pPr>
        <w:overflowPunct/>
        <w:autoSpaceDE/>
        <w:autoSpaceDN/>
        <w:adjustRightInd/>
        <w:textAlignment w:val="auto"/>
      </w:pPr>
    </w:p>
    <w:p w14:paraId="35A48D33" w14:textId="04C9A217" w:rsidR="009A6620" w:rsidRDefault="009A6620">
      <w:pPr>
        <w:overflowPunct/>
        <w:autoSpaceDE/>
        <w:autoSpaceDN/>
        <w:adjustRightInd/>
        <w:textAlignment w:val="auto"/>
      </w:pPr>
    </w:p>
    <w:p w14:paraId="465C078C" w14:textId="539A72BB" w:rsidR="009A6620" w:rsidRDefault="009A6620">
      <w:pPr>
        <w:overflowPunct/>
        <w:autoSpaceDE/>
        <w:autoSpaceDN/>
        <w:adjustRightInd/>
        <w:textAlignment w:val="auto"/>
      </w:pPr>
    </w:p>
    <w:p w14:paraId="673046D9" w14:textId="421AE7A5" w:rsidR="009A6620" w:rsidRDefault="009A6620">
      <w:pPr>
        <w:overflowPunct/>
        <w:autoSpaceDE/>
        <w:autoSpaceDN/>
        <w:adjustRightInd/>
        <w:textAlignment w:val="auto"/>
      </w:pPr>
    </w:p>
    <w:p w14:paraId="1D35859A" w14:textId="29532490" w:rsidR="009A6620" w:rsidRDefault="009A6620">
      <w:pPr>
        <w:overflowPunct/>
        <w:autoSpaceDE/>
        <w:autoSpaceDN/>
        <w:adjustRightInd/>
        <w:textAlignment w:val="auto"/>
      </w:pPr>
    </w:p>
    <w:p w14:paraId="75AE63F4" w14:textId="3E3D77F5" w:rsidR="009A6620" w:rsidRDefault="009A6620">
      <w:pPr>
        <w:overflowPunct/>
        <w:autoSpaceDE/>
        <w:autoSpaceDN/>
        <w:adjustRightInd/>
        <w:textAlignment w:val="auto"/>
      </w:pPr>
    </w:p>
    <w:p w14:paraId="572FD6A2" w14:textId="6149DC84" w:rsidR="009A6620" w:rsidRDefault="009A6620">
      <w:pPr>
        <w:overflowPunct/>
        <w:autoSpaceDE/>
        <w:autoSpaceDN/>
        <w:adjustRightInd/>
        <w:textAlignment w:val="auto"/>
      </w:pPr>
    </w:p>
    <w:p w14:paraId="699DA1B9" w14:textId="5F521404" w:rsidR="009A6620" w:rsidRDefault="009A6620">
      <w:pPr>
        <w:overflowPunct/>
        <w:autoSpaceDE/>
        <w:autoSpaceDN/>
        <w:adjustRightInd/>
        <w:textAlignment w:val="auto"/>
      </w:pPr>
    </w:p>
    <w:p w14:paraId="6AD6C72D" w14:textId="4CA3EE80" w:rsidR="009A6620" w:rsidRDefault="009A6620">
      <w:pPr>
        <w:overflowPunct/>
        <w:autoSpaceDE/>
        <w:autoSpaceDN/>
        <w:adjustRightInd/>
        <w:textAlignment w:val="auto"/>
      </w:pPr>
    </w:p>
    <w:p w14:paraId="480186BB" w14:textId="7D9A92CA" w:rsidR="009A6620" w:rsidRDefault="009A6620">
      <w:pPr>
        <w:overflowPunct/>
        <w:autoSpaceDE/>
        <w:autoSpaceDN/>
        <w:adjustRightInd/>
        <w:textAlignment w:val="auto"/>
      </w:pPr>
    </w:p>
    <w:p w14:paraId="2DFE4DF0" w14:textId="1000C216" w:rsidR="009A6620" w:rsidRDefault="009A6620">
      <w:pPr>
        <w:overflowPunct/>
        <w:autoSpaceDE/>
        <w:autoSpaceDN/>
        <w:adjustRightInd/>
        <w:textAlignment w:val="auto"/>
      </w:pPr>
    </w:p>
    <w:p w14:paraId="08228DED" w14:textId="30AB7EF6" w:rsidR="009A6620" w:rsidRDefault="009A6620">
      <w:pPr>
        <w:overflowPunct/>
        <w:autoSpaceDE/>
        <w:autoSpaceDN/>
        <w:adjustRightInd/>
        <w:textAlignment w:val="auto"/>
      </w:pPr>
    </w:p>
    <w:p w14:paraId="3E32703E" w14:textId="3008E24D" w:rsidR="009A6620" w:rsidRDefault="009A6620">
      <w:pPr>
        <w:overflowPunct/>
        <w:autoSpaceDE/>
        <w:autoSpaceDN/>
        <w:adjustRightInd/>
        <w:textAlignment w:val="auto"/>
      </w:pPr>
    </w:p>
    <w:p w14:paraId="5FDE6D67" w14:textId="7317E28E" w:rsidR="009A6620" w:rsidRDefault="009A6620">
      <w:pPr>
        <w:overflowPunct/>
        <w:autoSpaceDE/>
        <w:autoSpaceDN/>
        <w:adjustRightInd/>
        <w:textAlignment w:val="auto"/>
      </w:pPr>
    </w:p>
    <w:p w14:paraId="765B4F21" w14:textId="27F79469" w:rsidR="009A6620" w:rsidRDefault="009A6620">
      <w:pPr>
        <w:overflowPunct/>
        <w:autoSpaceDE/>
        <w:autoSpaceDN/>
        <w:adjustRightInd/>
        <w:textAlignment w:val="auto"/>
      </w:pPr>
    </w:p>
    <w:p w14:paraId="60053784" w14:textId="432FA5B5" w:rsidR="009A6620" w:rsidRDefault="009A6620">
      <w:pPr>
        <w:overflowPunct/>
        <w:autoSpaceDE/>
        <w:autoSpaceDN/>
        <w:adjustRightInd/>
        <w:textAlignment w:val="auto"/>
      </w:pPr>
    </w:p>
    <w:p w14:paraId="15F4FA08" w14:textId="7228C03F" w:rsidR="009A6620" w:rsidRDefault="009A6620">
      <w:pPr>
        <w:overflowPunct/>
        <w:autoSpaceDE/>
        <w:autoSpaceDN/>
        <w:adjustRightInd/>
        <w:textAlignment w:val="auto"/>
      </w:pPr>
    </w:p>
    <w:p w14:paraId="20642BB2" w14:textId="3DED1A6A" w:rsidR="009A6620" w:rsidRDefault="009A6620">
      <w:pPr>
        <w:overflowPunct/>
        <w:autoSpaceDE/>
        <w:autoSpaceDN/>
        <w:adjustRightInd/>
        <w:textAlignment w:val="auto"/>
      </w:pPr>
    </w:p>
    <w:p w14:paraId="4C1B2AAD" w14:textId="49410457" w:rsidR="009A6620" w:rsidRDefault="009A6620">
      <w:pPr>
        <w:overflowPunct/>
        <w:autoSpaceDE/>
        <w:autoSpaceDN/>
        <w:adjustRightInd/>
        <w:textAlignment w:val="auto"/>
      </w:pPr>
    </w:p>
    <w:p w14:paraId="5E50611C" w14:textId="4CAA5167" w:rsidR="009A6620" w:rsidRDefault="009A6620">
      <w:pPr>
        <w:overflowPunct/>
        <w:autoSpaceDE/>
        <w:autoSpaceDN/>
        <w:adjustRightInd/>
        <w:textAlignment w:val="auto"/>
      </w:pPr>
    </w:p>
    <w:p w14:paraId="3D01BB47" w14:textId="067A6AFD" w:rsidR="009A6620" w:rsidRDefault="009A6620">
      <w:pPr>
        <w:overflowPunct/>
        <w:autoSpaceDE/>
        <w:autoSpaceDN/>
        <w:adjustRightInd/>
        <w:textAlignment w:val="auto"/>
      </w:pPr>
    </w:p>
    <w:p w14:paraId="2167175F" w14:textId="77777777" w:rsidR="009A6620" w:rsidRDefault="009A6620">
      <w:pPr>
        <w:overflowPunct/>
        <w:autoSpaceDE/>
        <w:autoSpaceDN/>
        <w:adjustRightInd/>
        <w:textAlignment w:val="auto"/>
      </w:pPr>
    </w:p>
    <w:p w14:paraId="2F64B64A" w14:textId="5FBC00DD" w:rsidR="000F7CE3" w:rsidRDefault="000F7CE3" w:rsidP="000F7CE3">
      <w:pPr>
        <w:pStyle w:val="Heading2"/>
      </w:pPr>
      <w:r w:rsidRPr="00652CBB">
        <w:t xml:space="preserve">INDEPENDENT AUDITOR’S REPORT TO THE MEMBERS OF </w:t>
      </w:r>
      <w:r>
        <w:t>METALNRG</w:t>
      </w:r>
      <w:r w:rsidRPr="00652CBB">
        <w:t xml:space="preserve"> PLC</w:t>
      </w:r>
    </w:p>
    <w:p w14:paraId="2A7D3D2B" w14:textId="77777777" w:rsidR="00CD1376" w:rsidRPr="00CD1376" w:rsidRDefault="00CD1376" w:rsidP="00CD1376"/>
    <w:p w14:paraId="1BE74CC4" w14:textId="7110F0B6" w:rsidR="000F7CE3" w:rsidRDefault="0030512B" w:rsidP="000F7CE3">
      <w:pPr>
        <w:jc w:val="center"/>
        <w:rPr>
          <w:b/>
          <w:sz w:val="22"/>
          <w:szCs w:val="24"/>
        </w:rPr>
      </w:pPr>
      <w:r>
        <w:rPr>
          <w:b/>
          <w:bCs/>
          <w:sz w:val="24"/>
          <w:szCs w:val="24"/>
        </w:rPr>
        <w:t xml:space="preserve">FOR THE </w:t>
      </w:r>
      <w:r w:rsidR="005F2F51">
        <w:rPr>
          <w:b/>
          <w:bCs/>
          <w:sz w:val="24"/>
          <w:szCs w:val="24"/>
        </w:rPr>
        <w:t>YEAR</w:t>
      </w:r>
      <w:r w:rsidR="000F7CE3">
        <w:rPr>
          <w:b/>
          <w:bCs/>
          <w:sz w:val="24"/>
          <w:szCs w:val="24"/>
        </w:rPr>
        <w:t xml:space="preserve"> ENDED 31 DECEMBER 20</w:t>
      </w:r>
      <w:r w:rsidR="005F2F51">
        <w:rPr>
          <w:b/>
          <w:bCs/>
          <w:sz w:val="24"/>
          <w:szCs w:val="24"/>
        </w:rPr>
        <w:t>20</w:t>
      </w:r>
    </w:p>
    <w:p w14:paraId="17F1B977" w14:textId="77777777" w:rsidR="000F7CE3" w:rsidRDefault="000F7CE3" w:rsidP="005C2BFD">
      <w:pPr>
        <w:jc w:val="both"/>
        <w:rPr>
          <w:b/>
          <w:sz w:val="22"/>
          <w:szCs w:val="24"/>
        </w:rPr>
      </w:pPr>
    </w:p>
    <w:p w14:paraId="1ABE045B" w14:textId="1378AF82" w:rsidR="005C2BFD" w:rsidRPr="0098293E" w:rsidRDefault="005C2BFD" w:rsidP="005C2BFD">
      <w:pPr>
        <w:jc w:val="both"/>
        <w:rPr>
          <w:b/>
          <w:sz w:val="22"/>
          <w:szCs w:val="24"/>
        </w:rPr>
      </w:pPr>
      <w:r w:rsidRPr="0098293E">
        <w:rPr>
          <w:b/>
          <w:sz w:val="22"/>
          <w:szCs w:val="24"/>
        </w:rPr>
        <w:t>Opinion</w:t>
      </w:r>
    </w:p>
    <w:p w14:paraId="06B9D1E2" w14:textId="00DB6DB2" w:rsidR="005C2BFD" w:rsidRPr="0098293E" w:rsidRDefault="005C2BFD" w:rsidP="005C2BFD">
      <w:pPr>
        <w:jc w:val="both"/>
        <w:rPr>
          <w:sz w:val="22"/>
          <w:szCs w:val="24"/>
        </w:rPr>
      </w:pPr>
      <w:r w:rsidRPr="0098293E">
        <w:rPr>
          <w:sz w:val="22"/>
          <w:szCs w:val="24"/>
        </w:rPr>
        <w:t xml:space="preserve">We have audited the financial statements of </w:t>
      </w:r>
      <w:r w:rsidR="00AE6F2C">
        <w:rPr>
          <w:sz w:val="22"/>
          <w:szCs w:val="24"/>
        </w:rPr>
        <w:t xml:space="preserve">MetalNRG </w:t>
      </w:r>
      <w:r>
        <w:rPr>
          <w:sz w:val="22"/>
          <w:szCs w:val="24"/>
        </w:rPr>
        <w:t xml:space="preserve">plc </w:t>
      </w:r>
      <w:r w:rsidRPr="0098293E">
        <w:rPr>
          <w:sz w:val="22"/>
          <w:szCs w:val="24"/>
        </w:rPr>
        <w:t xml:space="preserve">(the ‘parent company’) and its subsidiaries (the ‘group’) for the </w:t>
      </w:r>
      <w:r w:rsidR="005F2F51">
        <w:rPr>
          <w:sz w:val="22"/>
          <w:szCs w:val="24"/>
        </w:rPr>
        <w:t xml:space="preserve">year </w:t>
      </w:r>
      <w:r w:rsidRPr="0098293E">
        <w:rPr>
          <w:sz w:val="22"/>
          <w:szCs w:val="24"/>
        </w:rPr>
        <w:t xml:space="preserve">ended </w:t>
      </w:r>
      <w:r w:rsidR="00850C63">
        <w:rPr>
          <w:sz w:val="22"/>
          <w:szCs w:val="24"/>
        </w:rPr>
        <w:t xml:space="preserve">31 December </w:t>
      </w:r>
      <w:r w:rsidR="00AE6F2C">
        <w:rPr>
          <w:sz w:val="22"/>
          <w:szCs w:val="24"/>
        </w:rPr>
        <w:t>20</w:t>
      </w:r>
      <w:r w:rsidR="005F2F51">
        <w:rPr>
          <w:sz w:val="22"/>
          <w:szCs w:val="24"/>
        </w:rPr>
        <w:t>20</w:t>
      </w:r>
      <w:r>
        <w:rPr>
          <w:sz w:val="22"/>
          <w:szCs w:val="24"/>
        </w:rPr>
        <w:t xml:space="preserve"> </w:t>
      </w:r>
      <w:r w:rsidRPr="0098293E">
        <w:rPr>
          <w:sz w:val="22"/>
          <w:szCs w:val="24"/>
        </w:rPr>
        <w:t xml:space="preserve">which comprise </w:t>
      </w:r>
      <w:r w:rsidR="005F2F51">
        <w:rPr>
          <w:sz w:val="22"/>
          <w:szCs w:val="24"/>
        </w:rPr>
        <w:t xml:space="preserve">the </w:t>
      </w:r>
      <w:r w:rsidRPr="0098293E">
        <w:rPr>
          <w:sz w:val="22"/>
          <w:szCs w:val="24"/>
        </w:rPr>
        <w:t>Consolidated Income Statement, the Consolidated Statement of Comprehensive Income, the Consolidated and Company Statements of Financial Position, the Consolidated and Company Statements of Changes in Equity, the Consolidated and Company Cash Flow Statements and the notes to the financial statements, including a summary of significant accounting policies</w:t>
      </w:r>
      <w:r>
        <w:rPr>
          <w:sz w:val="22"/>
          <w:szCs w:val="24"/>
        </w:rPr>
        <w:t xml:space="preserve">. </w:t>
      </w:r>
      <w:r w:rsidRPr="0098293E">
        <w:rPr>
          <w:sz w:val="22"/>
          <w:szCs w:val="24"/>
        </w:rPr>
        <w:t>The financial reporting framework that has been applied in their preparation is applicable law and International Financial Reporting Standards (IFRSs) as adopted by the European Union and, as regards the parent company financial statements, as applied in accordance with the provisions of the Companies Act 2006.</w:t>
      </w:r>
    </w:p>
    <w:p w14:paraId="21B56EC5" w14:textId="77777777" w:rsidR="005C2BFD" w:rsidRPr="0098293E" w:rsidRDefault="005C2BFD" w:rsidP="005C2BFD">
      <w:pPr>
        <w:jc w:val="both"/>
        <w:rPr>
          <w:sz w:val="22"/>
          <w:szCs w:val="24"/>
        </w:rPr>
      </w:pPr>
    </w:p>
    <w:p w14:paraId="55B239B5" w14:textId="77777777" w:rsidR="005C2BFD" w:rsidRDefault="005C2BFD" w:rsidP="005C2BFD">
      <w:pPr>
        <w:jc w:val="both"/>
        <w:rPr>
          <w:sz w:val="22"/>
          <w:szCs w:val="24"/>
        </w:rPr>
      </w:pPr>
      <w:r w:rsidRPr="0098293E">
        <w:rPr>
          <w:sz w:val="22"/>
          <w:szCs w:val="24"/>
        </w:rPr>
        <w:t>In our opinion:</w:t>
      </w:r>
    </w:p>
    <w:p w14:paraId="315CAEAB" w14:textId="77777777" w:rsidR="005C2BFD" w:rsidRPr="0098293E" w:rsidRDefault="005C2BFD" w:rsidP="005C2BFD">
      <w:pPr>
        <w:jc w:val="both"/>
        <w:rPr>
          <w:sz w:val="22"/>
          <w:szCs w:val="24"/>
        </w:rPr>
      </w:pPr>
    </w:p>
    <w:p w14:paraId="4BA5AEC3" w14:textId="7D0C092C" w:rsidR="005C2BFD" w:rsidRPr="0098293E" w:rsidRDefault="005C2BFD" w:rsidP="009E5B23">
      <w:pPr>
        <w:numPr>
          <w:ilvl w:val="0"/>
          <w:numId w:val="3"/>
        </w:numPr>
        <w:jc w:val="both"/>
        <w:rPr>
          <w:sz w:val="22"/>
          <w:szCs w:val="24"/>
        </w:rPr>
      </w:pPr>
      <w:r w:rsidRPr="0098293E">
        <w:rPr>
          <w:sz w:val="22"/>
          <w:szCs w:val="24"/>
        </w:rPr>
        <w:t xml:space="preserve">the financial statements give a true and fair view of the state of the group’s and of the parent company’s affairs as at </w:t>
      </w:r>
      <w:r w:rsidR="00850C63">
        <w:rPr>
          <w:sz w:val="22"/>
          <w:szCs w:val="24"/>
        </w:rPr>
        <w:t xml:space="preserve">31 December </w:t>
      </w:r>
      <w:r w:rsidR="00AE6F2C">
        <w:rPr>
          <w:sz w:val="22"/>
          <w:szCs w:val="24"/>
        </w:rPr>
        <w:t>20</w:t>
      </w:r>
      <w:r w:rsidR="005F2F51">
        <w:rPr>
          <w:sz w:val="22"/>
          <w:szCs w:val="24"/>
        </w:rPr>
        <w:t>20</w:t>
      </w:r>
      <w:r>
        <w:rPr>
          <w:sz w:val="22"/>
          <w:szCs w:val="24"/>
        </w:rPr>
        <w:t xml:space="preserve"> </w:t>
      </w:r>
      <w:r w:rsidRPr="0098293E">
        <w:rPr>
          <w:sz w:val="22"/>
          <w:szCs w:val="24"/>
        </w:rPr>
        <w:t xml:space="preserve">and of the group’s loss for the </w:t>
      </w:r>
      <w:r w:rsidR="00850C63">
        <w:rPr>
          <w:sz w:val="22"/>
          <w:szCs w:val="24"/>
        </w:rPr>
        <w:t xml:space="preserve">period </w:t>
      </w:r>
      <w:r w:rsidRPr="0098293E">
        <w:rPr>
          <w:sz w:val="22"/>
          <w:szCs w:val="24"/>
        </w:rPr>
        <w:t>then ended;</w:t>
      </w:r>
      <w:r>
        <w:rPr>
          <w:sz w:val="22"/>
          <w:szCs w:val="24"/>
        </w:rPr>
        <w:t xml:space="preserve"> </w:t>
      </w:r>
    </w:p>
    <w:p w14:paraId="2E2E441C" w14:textId="77777777" w:rsidR="005C2BFD" w:rsidRPr="0098293E" w:rsidRDefault="005C2BFD" w:rsidP="009E5B23">
      <w:pPr>
        <w:numPr>
          <w:ilvl w:val="0"/>
          <w:numId w:val="3"/>
        </w:numPr>
        <w:jc w:val="both"/>
        <w:rPr>
          <w:sz w:val="22"/>
          <w:szCs w:val="24"/>
        </w:rPr>
      </w:pPr>
      <w:r w:rsidRPr="0098293E">
        <w:rPr>
          <w:sz w:val="22"/>
          <w:szCs w:val="24"/>
        </w:rPr>
        <w:t>the group financial statements have been properly prepared in accordance with IFRSs as adopted by the European Union;</w:t>
      </w:r>
    </w:p>
    <w:p w14:paraId="3FF7B4C6" w14:textId="77777777" w:rsidR="005C2BFD" w:rsidRPr="0098293E" w:rsidRDefault="005C2BFD" w:rsidP="009E5B23">
      <w:pPr>
        <w:numPr>
          <w:ilvl w:val="0"/>
          <w:numId w:val="3"/>
        </w:numPr>
        <w:jc w:val="both"/>
        <w:rPr>
          <w:sz w:val="22"/>
          <w:szCs w:val="24"/>
        </w:rPr>
      </w:pPr>
      <w:r w:rsidRPr="0098293E">
        <w:rPr>
          <w:sz w:val="22"/>
          <w:szCs w:val="24"/>
        </w:rPr>
        <w:t>the parent company financial statements have been properly prepared in accordance with IFRSs as adopted by the European Union and as applied in accordance with the provisions of the Companies Act 2006; and</w:t>
      </w:r>
    </w:p>
    <w:p w14:paraId="1CDED82A" w14:textId="77777777" w:rsidR="005C2BFD" w:rsidRPr="0098293E" w:rsidRDefault="005C2BFD" w:rsidP="009E5B23">
      <w:pPr>
        <w:numPr>
          <w:ilvl w:val="0"/>
          <w:numId w:val="3"/>
        </w:numPr>
        <w:jc w:val="both"/>
        <w:rPr>
          <w:sz w:val="22"/>
          <w:szCs w:val="24"/>
        </w:rPr>
      </w:pPr>
      <w:r w:rsidRPr="0098293E">
        <w:rPr>
          <w:sz w:val="22"/>
          <w:szCs w:val="24"/>
        </w:rPr>
        <w:t>the financial statements have been prepared in accordance with the requirements of the Companies Act 2006.</w:t>
      </w:r>
    </w:p>
    <w:p w14:paraId="2C177AA2" w14:textId="77777777" w:rsidR="005C2BFD" w:rsidRPr="0098293E" w:rsidRDefault="005C2BFD" w:rsidP="005C2BFD">
      <w:pPr>
        <w:jc w:val="both"/>
        <w:rPr>
          <w:sz w:val="22"/>
          <w:szCs w:val="24"/>
        </w:rPr>
      </w:pPr>
    </w:p>
    <w:p w14:paraId="1BC8553F" w14:textId="77777777" w:rsidR="005C2BFD" w:rsidRPr="0098293E" w:rsidRDefault="005C2BFD" w:rsidP="005C2BFD">
      <w:pPr>
        <w:jc w:val="both"/>
        <w:rPr>
          <w:b/>
          <w:sz w:val="22"/>
          <w:szCs w:val="24"/>
        </w:rPr>
      </w:pPr>
      <w:r w:rsidRPr="0098293E">
        <w:rPr>
          <w:b/>
          <w:sz w:val="22"/>
          <w:szCs w:val="24"/>
        </w:rPr>
        <w:t>Basis for opinion</w:t>
      </w:r>
    </w:p>
    <w:p w14:paraId="6F7B14CC" w14:textId="77777777" w:rsidR="005C2BFD" w:rsidRPr="0098293E" w:rsidRDefault="005C2BFD" w:rsidP="005C2BFD">
      <w:pPr>
        <w:jc w:val="both"/>
        <w:rPr>
          <w:sz w:val="22"/>
          <w:szCs w:val="24"/>
        </w:rPr>
      </w:pPr>
      <w:r w:rsidRPr="0098293E">
        <w:rPr>
          <w:sz w:val="22"/>
          <w:szCs w:val="24"/>
        </w:rPr>
        <w:t>We conducted our audit in accordance with International Standards on Auditing (UK) (ISAs (UK)) and applicable law.</w:t>
      </w:r>
      <w:r>
        <w:rPr>
          <w:sz w:val="22"/>
          <w:szCs w:val="24"/>
        </w:rPr>
        <w:t xml:space="preserve"> </w:t>
      </w:r>
      <w:r w:rsidRPr="0098293E">
        <w:rPr>
          <w:sz w:val="22"/>
          <w:szCs w:val="24"/>
        </w:rPr>
        <w:t>Our responsibilities under those standards are further described in the Auditor’s responsibilities for the audit of the financial statements section of our report.</w:t>
      </w:r>
      <w:r>
        <w:rPr>
          <w:sz w:val="22"/>
          <w:szCs w:val="24"/>
        </w:rPr>
        <w:t xml:space="preserve"> </w:t>
      </w:r>
      <w:r w:rsidRPr="0098293E">
        <w:rPr>
          <w:sz w:val="22"/>
          <w:szCs w:val="24"/>
        </w:rPr>
        <w:t>We are independent of the group and parent company in accordance with the ethical requirements that are relevant to our audit of the financial statements in the UK, including the FRC’s Ethical Standard as applied to listed</w:t>
      </w:r>
      <w:r>
        <w:rPr>
          <w:sz w:val="22"/>
          <w:szCs w:val="24"/>
        </w:rPr>
        <w:t xml:space="preserve"> entities</w:t>
      </w:r>
      <w:r w:rsidRPr="0098293E">
        <w:rPr>
          <w:sz w:val="22"/>
          <w:szCs w:val="24"/>
        </w:rPr>
        <w:t>, and we have fulfilled our other ethical responsibilities in accordance with these requirements.</w:t>
      </w:r>
      <w:r>
        <w:rPr>
          <w:sz w:val="22"/>
          <w:szCs w:val="24"/>
        </w:rPr>
        <w:t xml:space="preserve"> </w:t>
      </w:r>
      <w:r w:rsidRPr="0098293E">
        <w:rPr>
          <w:sz w:val="22"/>
          <w:szCs w:val="24"/>
        </w:rPr>
        <w:t xml:space="preserve">We believe that the audit evidence we have obtained is sufficient and appropriate to provide a basis for our opinion. </w:t>
      </w:r>
    </w:p>
    <w:p w14:paraId="5FD9B7D0" w14:textId="77777777" w:rsidR="005C2BFD" w:rsidRPr="0098293E" w:rsidRDefault="005C2BFD" w:rsidP="005C2BFD">
      <w:pPr>
        <w:jc w:val="both"/>
        <w:rPr>
          <w:sz w:val="22"/>
          <w:szCs w:val="24"/>
        </w:rPr>
      </w:pPr>
    </w:p>
    <w:p w14:paraId="2363CFE1" w14:textId="77777777" w:rsidR="00E72D6E" w:rsidRPr="00E72D6E" w:rsidRDefault="00E72D6E" w:rsidP="00E72D6E">
      <w:pPr>
        <w:jc w:val="both"/>
        <w:rPr>
          <w:b/>
          <w:sz w:val="22"/>
          <w:szCs w:val="24"/>
        </w:rPr>
      </w:pPr>
      <w:r w:rsidRPr="00E72D6E">
        <w:rPr>
          <w:b/>
          <w:sz w:val="22"/>
          <w:szCs w:val="24"/>
        </w:rPr>
        <w:t xml:space="preserve">Conclusions relating to going concern </w:t>
      </w:r>
    </w:p>
    <w:p w14:paraId="472AADCD" w14:textId="7574EEA6" w:rsidR="00E72D6E" w:rsidRDefault="00E72D6E" w:rsidP="00E72D6E">
      <w:pPr>
        <w:jc w:val="both"/>
        <w:rPr>
          <w:sz w:val="22"/>
          <w:szCs w:val="24"/>
        </w:rPr>
      </w:pPr>
      <w:r w:rsidRPr="00E72D6E">
        <w:rPr>
          <w:sz w:val="22"/>
          <w:szCs w:val="24"/>
        </w:rPr>
        <w:t xml:space="preserve">We have nothing to report in respect of the following matters in relation to which the ISAs (UK) require us to report to you </w:t>
      </w:r>
      <w:proofErr w:type="spellStart"/>
      <w:r w:rsidRPr="00E72D6E">
        <w:rPr>
          <w:sz w:val="22"/>
          <w:szCs w:val="24"/>
        </w:rPr>
        <w:t>where</w:t>
      </w:r>
      <w:proofErr w:type="spellEnd"/>
      <w:r w:rsidRPr="00E72D6E">
        <w:rPr>
          <w:sz w:val="22"/>
          <w:szCs w:val="24"/>
        </w:rPr>
        <w:t xml:space="preserve">: </w:t>
      </w:r>
    </w:p>
    <w:p w14:paraId="21F4420E" w14:textId="77777777" w:rsidR="007815DF" w:rsidRPr="00E72D6E" w:rsidRDefault="007815DF" w:rsidP="00E72D6E">
      <w:pPr>
        <w:jc w:val="both"/>
        <w:rPr>
          <w:sz w:val="22"/>
          <w:szCs w:val="24"/>
        </w:rPr>
      </w:pPr>
    </w:p>
    <w:p w14:paraId="4B5A5AC1" w14:textId="43BC6A3D" w:rsidR="00E72D6E" w:rsidRPr="00E72D6E" w:rsidRDefault="00E72D6E" w:rsidP="009E5B23">
      <w:pPr>
        <w:numPr>
          <w:ilvl w:val="0"/>
          <w:numId w:val="3"/>
        </w:numPr>
        <w:jc w:val="both"/>
        <w:rPr>
          <w:sz w:val="22"/>
          <w:szCs w:val="24"/>
        </w:rPr>
      </w:pPr>
      <w:r w:rsidRPr="00E72D6E">
        <w:rPr>
          <w:sz w:val="22"/>
          <w:szCs w:val="24"/>
        </w:rPr>
        <w:t xml:space="preserve">the directors' use of the going concern basis of accounting in the preparation of the financial statements is not appropriate; or </w:t>
      </w:r>
    </w:p>
    <w:p w14:paraId="46F84BBE" w14:textId="138521F8" w:rsidR="00E72D6E" w:rsidRPr="00E72D6E" w:rsidRDefault="00E72D6E" w:rsidP="009E5B23">
      <w:pPr>
        <w:numPr>
          <w:ilvl w:val="0"/>
          <w:numId w:val="3"/>
        </w:numPr>
        <w:jc w:val="both"/>
        <w:rPr>
          <w:sz w:val="22"/>
          <w:szCs w:val="24"/>
        </w:rPr>
      </w:pPr>
      <w:r w:rsidRPr="00E72D6E">
        <w:rPr>
          <w:sz w:val="22"/>
          <w:szCs w:val="24"/>
        </w:rPr>
        <w:t>the directors have not disclosed in the financial statements any identified material uncertainties that may cast significant doubt about the company's ability to continue to adopt the going concern basis of accounting for a period of at least twelve months from the date when the financial statements are authorised for issue.</w:t>
      </w:r>
    </w:p>
    <w:p w14:paraId="1AF062F7" w14:textId="4BC21DD8" w:rsidR="00E72D6E" w:rsidRDefault="00E72D6E" w:rsidP="00E72D6E">
      <w:pPr>
        <w:jc w:val="both"/>
        <w:rPr>
          <w:sz w:val="22"/>
          <w:szCs w:val="24"/>
        </w:rPr>
      </w:pPr>
    </w:p>
    <w:p w14:paraId="724A7C0E" w14:textId="77777777" w:rsidR="002812C8" w:rsidRPr="002812C8" w:rsidRDefault="002812C8" w:rsidP="002812C8">
      <w:pPr>
        <w:jc w:val="both"/>
        <w:rPr>
          <w:b/>
          <w:sz w:val="22"/>
          <w:szCs w:val="24"/>
        </w:rPr>
      </w:pPr>
      <w:r w:rsidRPr="002812C8">
        <w:rPr>
          <w:b/>
          <w:sz w:val="22"/>
          <w:szCs w:val="24"/>
        </w:rPr>
        <w:t>Key Audit Matters</w:t>
      </w:r>
    </w:p>
    <w:p w14:paraId="2E862703" w14:textId="154679AC" w:rsidR="002812C8" w:rsidRPr="002812C8" w:rsidRDefault="002812C8" w:rsidP="002812C8">
      <w:pPr>
        <w:jc w:val="both"/>
        <w:rPr>
          <w:sz w:val="22"/>
          <w:szCs w:val="24"/>
        </w:rPr>
      </w:pPr>
      <w:r w:rsidRPr="002812C8">
        <w:rPr>
          <w:sz w:val="22"/>
          <w:szCs w:val="24"/>
        </w:rPr>
        <w:t>Key audit matters are those that, in our professional judgement, were of most significance in our audit of the Financial Statements of the current period and include the most significant assessed risks of material misstatement (whether or not due to fraud) we identified, including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p>
    <w:p w14:paraId="70FFD649" w14:textId="7C875C04" w:rsidR="002812C8" w:rsidRDefault="002812C8" w:rsidP="00E72D6E">
      <w:pPr>
        <w:jc w:val="both"/>
        <w:rPr>
          <w:sz w:val="22"/>
          <w:szCs w:val="24"/>
        </w:rPr>
      </w:pPr>
    </w:p>
    <w:p w14:paraId="6FE20880" w14:textId="4D6D0ADD" w:rsidR="002812C8" w:rsidRDefault="002812C8" w:rsidP="00E72D6E">
      <w:pPr>
        <w:jc w:val="both"/>
        <w:rPr>
          <w:sz w:val="22"/>
          <w:szCs w:val="24"/>
        </w:rPr>
      </w:pPr>
    </w:p>
    <w:p w14:paraId="6B469D92" w14:textId="6B082A53" w:rsidR="002812C8" w:rsidRDefault="002812C8" w:rsidP="00E72D6E">
      <w:pPr>
        <w:jc w:val="both"/>
        <w:rPr>
          <w:sz w:val="22"/>
          <w:szCs w:val="24"/>
        </w:rPr>
      </w:pPr>
    </w:p>
    <w:p w14:paraId="334C9C7A" w14:textId="1D1BC492" w:rsidR="002812C8" w:rsidRDefault="002812C8" w:rsidP="00E72D6E">
      <w:pPr>
        <w:jc w:val="both"/>
        <w:rPr>
          <w:sz w:val="22"/>
          <w:szCs w:val="24"/>
        </w:rPr>
      </w:pPr>
    </w:p>
    <w:p w14:paraId="4D50DD1F" w14:textId="323FBE10" w:rsidR="002812C8" w:rsidRDefault="002812C8" w:rsidP="00E72D6E">
      <w:pPr>
        <w:jc w:val="both"/>
        <w:rPr>
          <w:sz w:val="22"/>
          <w:szCs w:val="24"/>
        </w:rPr>
      </w:pPr>
    </w:p>
    <w:p w14:paraId="3E2D125B" w14:textId="77777777" w:rsidR="002812C8" w:rsidRDefault="002812C8" w:rsidP="002812C8">
      <w:pPr>
        <w:pStyle w:val="Heading2"/>
      </w:pPr>
      <w:r w:rsidRPr="00652CBB">
        <w:t xml:space="preserve">INDEPENDENT AUDITOR’S REPORT TO THE MEMBERS OF </w:t>
      </w:r>
      <w:r>
        <w:t>METALNRG</w:t>
      </w:r>
      <w:r w:rsidRPr="00652CBB">
        <w:t xml:space="preserve"> PLC</w:t>
      </w:r>
    </w:p>
    <w:p w14:paraId="6226022D" w14:textId="77777777" w:rsidR="002812C8" w:rsidRDefault="002812C8" w:rsidP="002812C8">
      <w:pPr>
        <w:jc w:val="center"/>
        <w:rPr>
          <w:b/>
          <w:bCs/>
          <w:sz w:val="24"/>
          <w:szCs w:val="24"/>
        </w:rPr>
      </w:pPr>
    </w:p>
    <w:p w14:paraId="672E5F5F" w14:textId="0CA8DE66" w:rsidR="002812C8" w:rsidRDefault="002812C8" w:rsidP="002812C8">
      <w:pPr>
        <w:jc w:val="center"/>
        <w:rPr>
          <w:b/>
          <w:bCs/>
          <w:sz w:val="24"/>
          <w:szCs w:val="24"/>
        </w:rPr>
      </w:pPr>
      <w:r>
        <w:rPr>
          <w:b/>
          <w:bCs/>
          <w:sz w:val="24"/>
          <w:szCs w:val="24"/>
        </w:rPr>
        <w:t xml:space="preserve">FOR THE </w:t>
      </w:r>
      <w:r w:rsidR="005F2F51">
        <w:rPr>
          <w:b/>
          <w:bCs/>
          <w:sz w:val="24"/>
          <w:szCs w:val="24"/>
        </w:rPr>
        <w:t>YEAR</w:t>
      </w:r>
      <w:r w:rsidR="00F754A9">
        <w:rPr>
          <w:b/>
          <w:bCs/>
          <w:sz w:val="24"/>
          <w:szCs w:val="24"/>
        </w:rPr>
        <w:t xml:space="preserve"> </w:t>
      </w:r>
      <w:r>
        <w:rPr>
          <w:b/>
          <w:bCs/>
          <w:sz w:val="24"/>
          <w:szCs w:val="24"/>
        </w:rPr>
        <w:t>ENDED 31 DECEMBER 20</w:t>
      </w:r>
      <w:r w:rsidR="005F2F51">
        <w:rPr>
          <w:b/>
          <w:bCs/>
          <w:sz w:val="24"/>
          <w:szCs w:val="24"/>
        </w:rPr>
        <w:t>20</w:t>
      </w:r>
      <w:r>
        <w:rPr>
          <w:b/>
          <w:bCs/>
          <w:sz w:val="24"/>
          <w:szCs w:val="24"/>
        </w:rPr>
        <w:t xml:space="preserve"> (continued)</w:t>
      </w:r>
    </w:p>
    <w:p w14:paraId="113C78F1" w14:textId="57F866A1" w:rsidR="002812C8" w:rsidRDefault="002812C8" w:rsidP="00E72D6E">
      <w:pPr>
        <w:jc w:val="both"/>
        <w:rPr>
          <w:sz w:val="22"/>
          <w:szCs w:val="24"/>
        </w:rPr>
      </w:pPr>
    </w:p>
    <w:tbl>
      <w:tblPr>
        <w:tblStyle w:val="TableGrid"/>
        <w:tblW w:w="10060" w:type="dxa"/>
        <w:tblLook w:val="04A0" w:firstRow="1" w:lastRow="0" w:firstColumn="1" w:lastColumn="0" w:noHBand="0" w:noVBand="1"/>
      </w:tblPr>
      <w:tblGrid>
        <w:gridCol w:w="5098"/>
        <w:gridCol w:w="4962"/>
      </w:tblGrid>
      <w:tr w:rsidR="002812C8" w14:paraId="0280BBE8" w14:textId="77777777" w:rsidTr="00F85F68">
        <w:tc>
          <w:tcPr>
            <w:tcW w:w="5098" w:type="dxa"/>
          </w:tcPr>
          <w:p w14:paraId="5F80F8AF" w14:textId="77777777" w:rsidR="002812C8" w:rsidRPr="002812C8" w:rsidRDefault="002812C8" w:rsidP="002812C8">
            <w:pPr>
              <w:jc w:val="both"/>
              <w:rPr>
                <w:b/>
                <w:sz w:val="22"/>
                <w:szCs w:val="24"/>
              </w:rPr>
            </w:pPr>
            <w:r w:rsidRPr="002812C8">
              <w:rPr>
                <w:b/>
                <w:sz w:val="22"/>
                <w:szCs w:val="24"/>
              </w:rPr>
              <w:t>Key audit matter</w:t>
            </w:r>
          </w:p>
        </w:tc>
        <w:tc>
          <w:tcPr>
            <w:tcW w:w="4962" w:type="dxa"/>
          </w:tcPr>
          <w:p w14:paraId="71D138E6" w14:textId="77777777" w:rsidR="002812C8" w:rsidRPr="002812C8" w:rsidRDefault="002812C8" w:rsidP="002812C8">
            <w:pPr>
              <w:jc w:val="both"/>
              <w:rPr>
                <w:b/>
                <w:sz w:val="22"/>
                <w:szCs w:val="24"/>
              </w:rPr>
            </w:pPr>
            <w:r w:rsidRPr="002812C8">
              <w:rPr>
                <w:b/>
                <w:sz w:val="22"/>
                <w:szCs w:val="24"/>
              </w:rPr>
              <w:t>Audit response</w:t>
            </w:r>
          </w:p>
        </w:tc>
      </w:tr>
      <w:tr w:rsidR="002812C8" w14:paraId="26C45F8D" w14:textId="77777777" w:rsidTr="00F85F68">
        <w:tc>
          <w:tcPr>
            <w:tcW w:w="5098" w:type="dxa"/>
          </w:tcPr>
          <w:p w14:paraId="1FB55992" w14:textId="77777777" w:rsidR="002812C8" w:rsidRPr="002812C8" w:rsidRDefault="002812C8" w:rsidP="002812C8">
            <w:pPr>
              <w:jc w:val="both"/>
              <w:rPr>
                <w:b/>
                <w:sz w:val="22"/>
                <w:szCs w:val="24"/>
              </w:rPr>
            </w:pPr>
            <w:r w:rsidRPr="002812C8">
              <w:rPr>
                <w:b/>
                <w:sz w:val="22"/>
                <w:szCs w:val="24"/>
              </w:rPr>
              <w:t>Investment</w:t>
            </w:r>
          </w:p>
          <w:p w14:paraId="0B3A08EA" w14:textId="77777777" w:rsidR="002812C8" w:rsidRDefault="002812C8" w:rsidP="00566450"/>
          <w:p w14:paraId="4C74BF71" w14:textId="6E3EF0C7" w:rsidR="002812C8" w:rsidRPr="002812C8" w:rsidRDefault="002812C8" w:rsidP="002812C8">
            <w:pPr>
              <w:jc w:val="both"/>
              <w:rPr>
                <w:sz w:val="22"/>
                <w:szCs w:val="24"/>
              </w:rPr>
            </w:pPr>
            <w:r w:rsidRPr="002812C8">
              <w:rPr>
                <w:sz w:val="22"/>
                <w:szCs w:val="24"/>
              </w:rPr>
              <w:t>The Investment Portfolio at 31 December 20</w:t>
            </w:r>
            <w:r w:rsidR="005F2F51">
              <w:rPr>
                <w:sz w:val="22"/>
                <w:szCs w:val="24"/>
              </w:rPr>
              <w:t>20</w:t>
            </w:r>
            <w:r w:rsidRPr="002812C8">
              <w:rPr>
                <w:sz w:val="22"/>
                <w:szCs w:val="24"/>
              </w:rPr>
              <w:t xml:space="preserve"> comprised of Listed investments and options whose price is readily available and unlisted options.</w:t>
            </w:r>
          </w:p>
          <w:p w14:paraId="35E12200" w14:textId="77777777" w:rsidR="002812C8" w:rsidRPr="002812C8" w:rsidRDefault="002812C8" w:rsidP="002812C8">
            <w:pPr>
              <w:jc w:val="both"/>
              <w:rPr>
                <w:sz w:val="22"/>
                <w:szCs w:val="24"/>
              </w:rPr>
            </w:pPr>
          </w:p>
          <w:p w14:paraId="18E22C93" w14:textId="0317ABBD" w:rsidR="002812C8" w:rsidRDefault="002812C8" w:rsidP="002812C8">
            <w:pPr>
              <w:jc w:val="both"/>
            </w:pPr>
            <w:r w:rsidRPr="002812C8">
              <w:rPr>
                <w:sz w:val="22"/>
                <w:szCs w:val="24"/>
              </w:rPr>
              <w:t>We focussed on the existence and valuation of investment</w:t>
            </w:r>
            <w:r w:rsidR="003D1C0B">
              <w:rPr>
                <w:sz w:val="22"/>
                <w:szCs w:val="24"/>
              </w:rPr>
              <w:t>s</w:t>
            </w:r>
            <w:r w:rsidRPr="002812C8">
              <w:rPr>
                <w:sz w:val="22"/>
                <w:szCs w:val="24"/>
              </w:rPr>
              <w:t xml:space="preserve"> because investments represent the principal element of the net asset value as disclosed in the Statement of Financial Position in the Financial Statements</w:t>
            </w:r>
            <w:r>
              <w:t xml:space="preserve"> </w:t>
            </w:r>
          </w:p>
        </w:tc>
        <w:tc>
          <w:tcPr>
            <w:tcW w:w="4962" w:type="dxa"/>
          </w:tcPr>
          <w:p w14:paraId="37D4BD53" w14:textId="77777777" w:rsidR="002812C8" w:rsidRDefault="002812C8" w:rsidP="00566450"/>
          <w:p w14:paraId="776FDC49" w14:textId="77777777" w:rsidR="002812C8" w:rsidRDefault="002812C8" w:rsidP="00566450"/>
          <w:p w14:paraId="1962D322" w14:textId="77777777" w:rsidR="002812C8" w:rsidRPr="002812C8" w:rsidRDefault="002812C8" w:rsidP="002812C8">
            <w:pPr>
              <w:jc w:val="both"/>
              <w:rPr>
                <w:sz w:val="22"/>
                <w:szCs w:val="24"/>
              </w:rPr>
            </w:pPr>
            <w:r w:rsidRPr="002812C8">
              <w:rPr>
                <w:sz w:val="22"/>
                <w:szCs w:val="24"/>
              </w:rPr>
              <w:t>We agreed existence of the investment portfolio holdings to the Custodian information.</w:t>
            </w:r>
          </w:p>
          <w:p w14:paraId="7F4A8781" w14:textId="77777777" w:rsidR="002812C8" w:rsidRPr="002812C8" w:rsidRDefault="002812C8" w:rsidP="002812C8">
            <w:pPr>
              <w:jc w:val="both"/>
              <w:rPr>
                <w:sz w:val="22"/>
                <w:szCs w:val="24"/>
              </w:rPr>
            </w:pPr>
          </w:p>
          <w:p w14:paraId="693D5CFE" w14:textId="77777777" w:rsidR="002812C8" w:rsidRPr="002812C8" w:rsidRDefault="002812C8" w:rsidP="002812C8">
            <w:pPr>
              <w:jc w:val="both"/>
              <w:rPr>
                <w:sz w:val="22"/>
                <w:szCs w:val="24"/>
              </w:rPr>
            </w:pPr>
            <w:r w:rsidRPr="002812C8">
              <w:rPr>
                <w:sz w:val="22"/>
                <w:szCs w:val="24"/>
              </w:rPr>
              <w:t>We tested the valuation of all listed investments held by agreeing prices to independent third-party sources.</w:t>
            </w:r>
          </w:p>
          <w:p w14:paraId="7225634C" w14:textId="77777777" w:rsidR="002812C8" w:rsidRPr="002812C8" w:rsidRDefault="002812C8" w:rsidP="002812C8">
            <w:pPr>
              <w:jc w:val="both"/>
              <w:rPr>
                <w:sz w:val="22"/>
                <w:szCs w:val="24"/>
              </w:rPr>
            </w:pPr>
          </w:p>
          <w:p w14:paraId="1F5F5173" w14:textId="77777777" w:rsidR="002812C8" w:rsidRDefault="002812C8" w:rsidP="002812C8">
            <w:pPr>
              <w:jc w:val="both"/>
            </w:pPr>
            <w:r w:rsidRPr="002812C8">
              <w:rPr>
                <w:sz w:val="22"/>
                <w:szCs w:val="24"/>
              </w:rPr>
              <w:t>For all unlisted options we carried them at cost. We substantiated the carrying value reference to external expert reports and other professional opinion.</w:t>
            </w:r>
          </w:p>
        </w:tc>
      </w:tr>
      <w:tr w:rsidR="002812C8" w14:paraId="45E266EC" w14:textId="77777777" w:rsidTr="00F85F68">
        <w:tc>
          <w:tcPr>
            <w:tcW w:w="5098" w:type="dxa"/>
          </w:tcPr>
          <w:p w14:paraId="56927598" w14:textId="77777777" w:rsidR="002812C8" w:rsidRPr="002812C8" w:rsidRDefault="002812C8" w:rsidP="002812C8">
            <w:pPr>
              <w:jc w:val="both"/>
              <w:rPr>
                <w:b/>
                <w:sz w:val="22"/>
                <w:szCs w:val="24"/>
              </w:rPr>
            </w:pPr>
            <w:r w:rsidRPr="002812C8">
              <w:rPr>
                <w:b/>
                <w:sz w:val="22"/>
                <w:szCs w:val="24"/>
              </w:rPr>
              <w:t>Going concern</w:t>
            </w:r>
          </w:p>
          <w:p w14:paraId="4BB62C19" w14:textId="77777777" w:rsidR="002812C8" w:rsidRDefault="002812C8" w:rsidP="00566450">
            <w:pPr>
              <w:rPr>
                <w:b/>
                <w:bCs/>
              </w:rPr>
            </w:pPr>
          </w:p>
          <w:p w14:paraId="26C699CB" w14:textId="3FA88219" w:rsidR="002812C8" w:rsidRPr="002812C8" w:rsidRDefault="002812C8" w:rsidP="002812C8">
            <w:pPr>
              <w:jc w:val="both"/>
              <w:rPr>
                <w:sz w:val="22"/>
                <w:szCs w:val="24"/>
              </w:rPr>
            </w:pPr>
            <w:r w:rsidRPr="002812C8">
              <w:rPr>
                <w:sz w:val="22"/>
                <w:szCs w:val="24"/>
              </w:rPr>
              <w:t>The company raised finance during the period to fund its Investment Strategy and will require further funding in the future. The cash and cash equivalent balance as at 31 December 20</w:t>
            </w:r>
            <w:r w:rsidR="005F2F51">
              <w:rPr>
                <w:sz w:val="22"/>
                <w:szCs w:val="24"/>
              </w:rPr>
              <w:t>20</w:t>
            </w:r>
            <w:r w:rsidRPr="002812C8">
              <w:rPr>
                <w:sz w:val="22"/>
                <w:szCs w:val="24"/>
              </w:rPr>
              <w:t xml:space="preserve"> </w:t>
            </w:r>
            <w:r w:rsidRPr="00810588">
              <w:rPr>
                <w:sz w:val="22"/>
                <w:szCs w:val="24"/>
              </w:rPr>
              <w:t>amounted to £</w:t>
            </w:r>
            <w:r w:rsidR="00810588" w:rsidRPr="00810588">
              <w:rPr>
                <w:sz w:val="22"/>
                <w:szCs w:val="24"/>
              </w:rPr>
              <w:t>63,611</w:t>
            </w:r>
            <w:r w:rsidRPr="00810588">
              <w:rPr>
                <w:sz w:val="22"/>
                <w:szCs w:val="24"/>
              </w:rPr>
              <w:t>.</w:t>
            </w:r>
          </w:p>
          <w:p w14:paraId="2C06CB00" w14:textId="77777777" w:rsidR="002812C8" w:rsidRPr="002812C8" w:rsidRDefault="002812C8" w:rsidP="002812C8">
            <w:pPr>
              <w:jc w:val="both"/>
              <w:rPr>
                <w:sz w:val="22"/>
                <w:szCs w:val="24"/>
              </w:rPr>
            </w:pPr>
          </w:p>
          <w:p w14:paraId="1BA69911" w14:textId="77777777" w:rsidR="002812C8" w:rsidRPr="00261C93" w:rsidRDefault="002812C8" w:rsidP="002812C8">
            <w:pPr>
              <w:jc w:val="both"/>
            </w:pPr>
            <w:r w:rsidRPr="002812C8">
              <w:rPr>
                <w:sz w:val="22"/>
                <w:szCs w:val="24"/>
              </w:rPr>
              <w:t>The risk for our audit was whether this contributed to a material uncertainty that may cast doubt on the Company’s’ ability to continue as a going concern</w:t>
            </w:r>
            <w:r>
              <w:t xml:space="preserve"> </w:t>
            </w:r>
          </w:p>
        </w:tc>
        <w:tc>
          <w:tcPr>
            <w:tcW w:w="4962" w:type="dxa"/>
          </w:tcPr>
          <w:p w14:paraId="614AE163" w14:textId="77777777" w:rsidR="002812C8" w:rsidRDefault="002812C8" w:rsidP="00566450"/>
          <w:p w14:paraId="10B5865C" w14:textId="77777777" w:rsidR="002812C8" w:rsidRDefault="002812C8" w:rsidP="00566450"/>
          <w:p w14:paraId="1EF02069" w14:textId="313880E9" w:rsidR="002812C8" w:rsidRPr="002812C8" w:rsidRDefault="002812C8" w:rsidP="002812C8">
            <w:pPr>
              <w:jc w:val="both"/>
              <w:rPr>
                <w:sz w:val="22"/>
                <w:szCs w:val="24"/>
              </w:rPr>
            </w:pPr>
            <w:r w:rsidRPr="002812C8">
              <w:rPr>
                <w:sz w:val="22"/>
                <w:szCs w:val="24"/>
              </w:rPr>
              <w:t xml:space="preserve">Critical assessment of the </w:t>
            </w:r>
            <w:r w:rsidR="00F754A9">
              <w:rPr>
                <w:sz w:val="22"/>
                <w:szCs w:val="24"/>
              </w:rPr>
              <w:t>d</w:t>
            </w:r>
            <w:r w:rsidRPr="002812C8">
              <w:rPr>
                <w:sz w:val="22"/>
                <w:szCs w:val="24"/>
              </w:rPr>
              <w:t>irectors’ going concern assessment, challenging forecast and assumption.</w:t>
            </w:r>
          </w:p>
          <w:p w14:paraId="7D181D54" w14:textId="77777777" w:rsidR="002812C8" w:rsidRPr="002812C8" w:rsidRDefault="002812C8" w:rsidP="002812C8">
            <w:pPr>
              <w:jc w:val="both"/>
              <w:rPr>
                <w:sz w:val="22"/>
                <w:szCs w:val="24"/>
              </w:rPr>
            </w:pPr>
          </w:p>
          <w:p w14:paraId="212A20C5" w14:textId="77777777" w:rsidR="002812C8" w:rsidRPr="002812C8" w:rsidRDefault="002812C8" w:rsidP="002812C8">
            <w:pPr>
              <w:jc w:val="both"/>
              <w:rPr>
                <w:sz w:val="22"/>
                <w:szCs w:val="24"/>
              </w:rPr>
            </w:pPr>
            <w:r w:rsidRPr="002812C8">
              <w:rPr>
                <w:sz w:val="22"/>
                <w:szCs w:val="24"/>
              </w:rPr>
              <w:t>Assessment of the cash flow forecast for committed and contracted expenditure versus discretionary expenditure compared to the level of cash resources.</w:t>
            </w:r>
          </w:p>
          <w:p w14:paraId="6837E5C7" w14:textId="77777777" w:rsidR="002812C8" w:rsidRPr="002812C8" w:rsidRDefault="002812C8" w:rsidP="002812C8">
            <w:pPr>
              <w:jc w:val="both"/>
              <w:rPr>
                <w:sz w:val="22"/>
                <w:szCs w:val="24"/>
              </w:rPr>
            </w:pPr>
          </w:p>
          <w:p w14:paraId="4376F6AF" w14:textId="77777777" w:rsidR="002812C8" w:rsidRDefault="002812C8" w:rsidP="002812C8">
            <w:pPr>
              <w:jc w:val="both"/>
            </w:pPr>
            <w:r w:rsidRPr="002812C8">
              <w:rPr>
                <w:sz w:val="22"/>
                <w:szCs w:val="24"/>
              </w:rPr>
              <w:t>Assessment of the adequacy of disclosures in the financial statements</w:t>
            </w:r>
          </w:p>
        </w:tc>
      </w:tr>
    </w:tbl>
    <w:p w14:paraId="6F86075A" w14:textId="03D4F1DF" w:rsidR="002812C8" w:rsidRDefault="002812C8" w:rsidP="00E72D6E">
      <w:pPr>
        <w:jc w:val="both"/>
        <w:rPr>
          <w:sz w:val="22"/>
          <w:szCs w:val="24"/>
        </w:rPr>
      </w:pPr>
    </w:p>
    <w:p w14:paraId="4368353C" w14:textId="77777777" w:rsidR="002812C8" w:rsidRPr="002812C8" w:rsidRDefault="002812C8" w:rsidP="002812C8">
      <w:pPr>
        <w:jc w:val="both"/>
        <w:rPr>
          <w:b/>
          <w:sz w:val="22"/>
          <w:szCs w:val="24"/>
        </w:rPr>
      </w:pPr>
      <w:r w:rsidRPr="002812C8">
        <w:rPr>
          <w:b/>
          <w:sz w:val="22"/>
          <w:szCs w:val="24"/>
        </w:rPr>
        <w:t>An overview of the scope of our audit</w:t>
      </w:r>
    </w:p>
    <w:p w14:paraId="0FCF2620" w14:textId="77777777" w:rsidR="002812C8" w:rsidRPr="002812C8" w:rsidRDefault="002812C8" w:rsidP="002812C8">
      <w:pPr>
        <w:jc w:val="both"/>
        <w:rPr>
          <w:sz w:val="22"/>
          <w:szCs w:val="24"/>
        </w:rPr>
      </w:pPr>
      <w:r w:rsidRPr="002812C8">
        <w:rPr>
          <w:sz w:val="22"/>
          <w:szCs w:val="24"/>
        </w:rPr>
        <w:t xml:space="preserve">As part of designing our audit, we determined materiality and assessed the risks of material misstatements in the Financial Statements. As in all our audits, we addressed the risk of management override of controls, including among other matters consideration of whether there was any evidence of bias that represented a risk of material misstatement due to fraud. </w:t>
      </w:r>
    </w:p>
    <w:p w14:paraId="1B4FBA53" w14:textId="5CABD279" w:rsidR="002812C8" w:rsidRDefault="002812C8" w:rsidP="00E72D6E">
      <w:pPr>
        <w:jc w:val="both"/>
        <w:rPr>
          <w:sz w:val="22"/>
          <w:szCs w:val="24"/>
        </w:rPr>
      </w:pPr>
    </w:p>
    <w:p w14:paraId="420D15F0" w14:textId="77777777" w:rsidR="002812C8" w:rsidRPr="002812C8" w:rsidRDefault="002812C8" w:rsidP="002812C8">
      <w:pPr>
        <w:jc w:val="both"/>
        <w:rPr>
          <w:b/>
          <w:sz w:val="22"/>
          <w:szCs w:val="24"/>
        </w:rPr>
      </w:pPr>
      <w:r w:rsidRPr="002812C8">
        <w:rPr>
          <w:b/>
          <w:sz w:val="22"/>
          <w:szCs w:val="24"/>
        </w:rPr>
        <w:t>Our application of materiality</w:t>
      </w:r>
    </w:p>
    <w:p w14:paraId="0B0F5E8C" w14:textId="77777777" w:rsidR="002812C8" w:rsidRPr="002812C8" w:rsidRDefault="002812C8" w:rsidP="002812C8">
      <w:pPr>
        <w:jc w:val="both"/>
        <w:rPr>
          <w:sz w:val="22"/>
          <w:szCs w:val="24"/>
        </w:rPr>
      </w:pPr>
      <w:r w:rsidRPr="00063338">
        <w:rPr>
          <w:sz w:val="22"/>
          <w:szCs w:val="24"/>
        </w:rPr>
        <w:t xml:space="preserve">We apply the concept of materiality both in planning and performing our audit and in evaluating the effect of misstatements. </w:t>
      </w:r>
      <w:r w:rsidRPr="002812C8">
        <w:rPr>
          <w:sz w:val="22"/>
          <w:szCs w:val="24"/>
        </w:rPr>
        <w:t>We consider materiality to be the magnitude by which misstatements, including omissions could influence the economic decisions of reasonable users that are taken on the basis of the financial statements. Importantly, misstatements below these levels will not necessarily be evaluated as material, as we also take into account the nature of identified misstatements, and the particular circumstances of their occurrence, when evaluating their effect on the financial statements as a whole.</w:t>
      </w:r>
    </w:p>
    <w:p w14:paraId="7D0FA9A7" w14:textId="77777777" w:rsidR="002812C8" w:rsidRDefault="002812C8" w:rsidP="002812C8">
      <w:pPr>
        <w:jc w:val="both"/>
        <w:rPr>
          <w:sz w:val="22"/>
          <w:szCs w:val="24"/>
        </w:rPr>
      </w:pPr>
    </w:p>
    <w:p w14:paraId="67AAE9D6" w14:textId="5890C14B" w:rsidR="002812C8" w:rsidRPr="002812C8" w:rsidRDefault="002812C8" w:rsidP="002812C8">
      <w:pPr>
        <w:jc w:val="both"/>
        <w:rPr>
          <w:sz w:val="22"/>
          <w:szCs w:val="24"/>
        </w:rPr>
      </w:pPr>
      <w:r w:rsidRPr="009A6642">
        <w:rPr>
          <w:sz w:val="22"/>
          <w:szCs w:val="24"/>
        </w:rPr>
        <w:t xml:space="preserve">Based on our professional judgement, we determined the materiality for the financial statements </w:t>
      </w:r>
      <w:r w:rsidR="00F754A9">
        <w:rPr>
          <w:sz w:val="22"/>
          <w:szCs w:val="24"/>
        </w:rPr>
        <w:t xml:space="preserve">(“Financial Statement materiality”) </w:t>
      </w:r>
      <w:r w:rsidRPr="009A6642">
        <w:rPr>
          <w:sz w:val="22"/>
          <w:szCs w:val="24"/>
        </w:rPr>
        <w:t>as a whole to be</w:t>
      </w:r>
      <w:r w:rsidRPr="00E0603D">
        <w:rPr>
          <w:sz w:val="22"/>
          <w:szCs w:val="24"/>
        </w:rPr>
        <w:t xml:space="preserve"> </w:t>
      </w:r>
      <w:r w:rsidRPr="00A4151B">
        <w:rPr>
          <w:sz w:val="22"/>
          <w:szCs w:val="24"/>
        </w:rPr>
        <w:t>£</w:t>
      </w:r>
      <w:r w:rsidR="00A4151B" w:rsidRPr="00A4151B">
        <w:rPr>
          <w:sz w:val="22"/>
          <w:szCs w:val="24"/>
        </w:rPr>
        <w:t>31</w:t>
      </w:r>
      <w:r w:rsidRPr="00A4151B">
        <w:rPr>
          <w:sz w:val="22"/>
          <w:szCs w:val="24"/>
        </w:rPr>
        <w:t>,000 (201</w:t>
      </w:r>
      <w:r w:rsidR="00975BE0" w:rsidRPr="00A4151B">
        <w:rPr>
          <w:sz w:val="22"/>
          <w:szCs w:val="24"/>
        </w:rPr>
        <w:t>9</w:t>
      </w:r>
      <w:r w:rsidRPr="00A4151B">
        <w:rPr>
          <w:sz w:val="22"/>
          <w:szCs w:val="24"/>
        </w:rPr>
        <w:t>: £2</w:t>
      </w:r>
      <w:r w:rsidR="00063338" w:rsidRPr="00A4151B">
        <w:rPr>
          <w:sz w:val="22"/>
          <w:szCs w:val="24"/>
        </w:rPr>
        <w:t>8</w:t>
      </w:r>
      <w:r w:rsidRPr="00A4151B">
        <w:rPr>
          <w:sz w:val="22"/>
          <w:szCs w:val="24"/>
        </w:rPr>
        <w:t xml:space="preserve">,000) which is based on </w:t>
      </w:r>
      <w:r w:rsidR="000E784C">
        <w:rPr>
          <w:sz w:val="22"/>
          <w:szCs w:val="24"/>
        </w:rPr>
        <w:t>2.5</w:t>
      </w:r>
      <w:r w:rsidRPr="00A4151B">
        <w:rPr>
          <w:sz w:val="22"/>
          <w:szCs w:val="24"/>
        </w:rPr>
        <w:t xml:space="preserve">% of gross assets. </w:t>
      </w:r>
      <w:r w:rsidRPr="009A6642">
        <w:rPr>
          <w:sz w:val="22"/>
          <w:szCs w:val="24"/>
        </w:rPr>
        <w:t>We considered this as an appropriate benchmark as Investments are held for long term future growth.</w:t>
      </w:r>
    </w:p>
    <w:p w14:paraId="74F03BF6" w14:textId="77777777" w:rsidR="002812C8" w:rsidRDefault="002812C8" w:rsidP="002812C8">
      <w:pPr>
        <w:jc w:val="both"/>
        <w:rPr>
          <w:sz w:val="22"/>
          <w:szCs w:val="24"/>
        </w:rPr>
      </w:pPr>
    </w:p>
    <w:p w14:paraId="22D9B3CD" w14:textId="5FB62696" w:rsidR="002812C8" w:rsidRPr="002812C8" w:rsidRDefault="002812C8" w:rsidP="002812C8">
      <w:pPr>
        <w:jc w:val="both"/>
        <w:rPr>
          <w:sz w:val="22"/>
          <w:szCs w:val="24"/>
        </w:rPr>
      </w:pPr>
      <w:r w:rsidRPr="00810588">
        <w:rPr>
          <w:sz w:val="22"/>
          <w:szCs w:val="24"/>
        </w:rPr>
        <w:t xml:space="preserve">We set </w:t>
      </w:r>
      <w:r w:rsidR="00F754A9" w:rsidRPr="00810588">
        <w:rPr>
          <w:sz w:val="22"/>
          <w:szCs w:val="24"/>
        </w:rPr>
        <w:t>P</w:t>
      </w:r>
      <w:r w:rsidRPr="00810588">
        <w:rPr>
          <w:sz w:val="22"/>
          <w:szCs w:val="24"/>
        </w:rPr>
        <w:t>erformance materiality as 80% of the overall Financial Statement materiality.</w:t>
      </w:r>
    </w:p>
    <w:p w14:paraId="46B6615F" w14:textId="77777777" w:rsidR="002812C8" w:rsidRDefault="002812C8" w:rsidP="00E72D6E">
      <w:pPr>
        <w:jc w:val="both"/>
        <w:rPr>
          <w:sz w:val="22"/>
          <w:szCs w:val="24"/>
        </w:rPr>
      </w:pPr>
    </w:p>
    <w:p w14:paraId="16DCE32C" w14:textId="77777777" w:rsidR="00F85F68" w:rsidRPr="00E72D6E" w:rsidRDefault="00F85F68" w:rsidP="00F85F68">
      <w:pPr>
        <w:jc w:val="both"/>
        <w:rPr>
          <w:b/>
          <w:sz w:val="22"/>
          <w:szCs w:val="24"/>
        </w:rPr>
      </w:pPr>
      <w:r w:rsidRPr="00E72D6E">
        <w:rPr>
          <w:b/>
          <w:sz w:val="22"/>
          <w:szCs w:val="24"/>
        </w:rPr>
        <w:t xml:space="preserve">Other information </w:t>
      </w:r>
    </w:p>
    <w:p w14:paraId="3303D232" w14:textId="77777777" w:rsidR="00F85F68" w:rsidRDefault="00F85F68" w:rsidP="00F85F68">
      <w:pPr>
        <w:jc w:val="both"/>
        <w:rPr>
          <w:sz w:val="22"/>
          <w:szCs w:val="24"/>
        </w:rPr>
      </w:pPr>
      <w:r w:rsidRPr="00E72D6E">
        <w:rPr>
          <w:sz w:val="22"/>
          <w:szCs w:val="24"/>
        </w:rPr>
        <w:t xml:space="preserve">The other information comprises the information included in the annual report, other than the financial statements and our auditor’s report thereon. The directors are responsible for the other information. Our opinion on the financial statements does not cover the other information and, except to the extent otherwise explicitly stated in our report, we do not express any form of assurance conclusion thereon. </w:t>
      </w:r>
    </w:p>
    <w:p w14:paraId="1E9436F9" w14:textId="370DA78E" w:rsidR="002812C8" w:rsidRDefault="002812C8" w:rsidP="00E72D6E">
      <w:pPr>
        <w:jc w:val="both"/>
        <w:rPr>
          <w:sz w:val="22"/>
          <w:szCs w:val="24"/>
        </w:rPr>
      </w:pPr>
    </w:p>
    <w:p w14:paraId="21E1B5CC" w14:textId="23873B02" w:rsidR="002812C8" w:rsidRDefault="002812C8" w:rsidP="00E72D6E">
      <w:pPr>
        <w:jc w:val="both"/>
        <w:rPr>
          <w:sz w:val="22"/>
          <w:szCs w:val="24"/>
        </w:rPr>
      </w:pPr>
    </w:p>
    <w:p w14:paraId="15EF8F20" w14:textId="77777777" w:rsidR="002812C8" w:rsidRDefault="002812C8" w:rsidP="00E72D6E">
      <w:pPr>
        <w:jc w:val="both"/>
        <w:rPr>
          <w:sz w:val="22"/>
          <w:szCs w:val="24"/>
        </w:rPr>
      </w:pPr>
    </w:p>
    <w:p w14:paraId="786A160E" w14:textId="77777777" w:rsidR="002812C8" w:rsidRDefault="002812C8" w:rsidP="002812C8">
      <w:pPr>
        <w:pStyle w:val="Heading2"/>
      </w:pPr>
      <w:r w:rsidRPr="00652CBB">
        <w:t xml:space="preserve">INDEPENDENT AUDITOR’S REPORT TO THE MEMBERS OF </w:t>
      </w:r>
      <w:r>
        <w:t>METALNRG</w:t>
      </w:r>
      <w:r w:rsidRPr="00652CBB">
        <w:t xml:space="preserve"> PLC</w:t>
      </w:r>
    </w:p>
    <w:p w14:paraId="18DD1618" w14:textId="77777777" w:rsidR="002812C8" w:rsidRDefault="002812C8" w:rsidP="002812C8">
      <w:pPr>
        <w:jc w:val="center"/>
        <w:rPr>
          <w:b/>
          <w:bCs/>
          <w:sz w:val="24"/>
          <w:szCs w:val="24"/>
        </w:rPr>
      </w:pPr>
    </w:p>
    <w:p w14:paraId="74A545B2" w14:textId="687BCD3D" w:rsidR="002812C8" w:rsidRDefault="002812C8" w:rsidP="002812C8">
      <w:pPr>
        <w:jc w:val="center"/>
        <w:rPr>
          <w:b/>
          <w:bCs/>
          <w:sz w:val="24"/>
          <w:szCs w:val="24"/>
        </w:rPr>
      </w:pPr>
      <w:r>
        <w:rPr>
          <w:b/>
          <w:bCs/>
          <w:sz w:val="24"/>
          <w:szCs w:val="24"/>
        </w:rPr>
        <w:t xml:space="preserve">FOR THE </w:t>
      </w:r>
      <w:r w:rsidR="005F2F51">
        <w:rPr>
          <w:b/>
          <w:bCs/>
          <w:sz w:val="24"/>
          <w:szCs w:val="24"/>
        </w:rPr>
        <w:t>YEAR</w:t>
      </w:r>
      <w:r w:rsidR="007D061B">
        <w:rPr>
          <w:b/>
          <w:bCs/>
          <w:sz w:val="24"/>
          <w:szCs w:val="24"/>
        </w:rPr>
        <w:t xml:space="preserve"> </w:t>
      </w:r>
      <w:r>
        <w:rPr>
          <w:b/>
          <w:bCs/>
          <w:sz w:val="24"/>
          <w:szCs w:val="24"/>
        </w:rPr>
        <w:t>ENDED 31 DECEMBER 20</w:t>
      </w:r>
      <w:r w:rsidR="005F2F51">
        <w:rPr>
          <w:b/>
          <w:bCs/>
          <w:sz w:val="24"/>
          <w:szCs w:val="24"/>
        </w:rPr>
        <w:t>20</w:t>
      </w:r>
      <w:r>
        <w:rPr>
          <w:b/>
          <w:bCs/>
          <w:sz w:val="24"/>
          <w:szCs w:val="24"/>
        </w:rPr>
        <w:t xml:space="preserve"> (continued)</w:t>
      </w:r>
    </w:p>
    <w:p w14:paraId="50E47620" w14:textId="77777777" w:rsidR="002812C8" w:rsidRDefault="002812C8" w:rsidP="00E72D6E">
      <w:pPr>
        <w:jc w:val="both"/>
        <w:rPr>
          <w:b/>
          <w:sz w:val="22"/>
          <w:szCs w:val="24"/>
        </w:rPr>
      </w:pPr>
    </w:p>
    <w:p w14:paraId="3C346F2E" w14:textId="0D8FE66F" w:rsidR="00E72D6E" w:rsidRDefault="00E72D6E" w:rsidP="00E72D6E">
      <w:pPr>
        <w:jc w:val="both"/>
        <w:rPr>
          <w:sz w:val="22"/>
          <w:szCs w:val="24"/>
        </w:rPr>
      </w:pPr>
      <w:r w:rsidRPr="00E72D6E">
        <w:rPr>
          <w:sz w:val="22"/>
          <w:szCs w:val="24"/>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t>
      </w:r>
    </w:p>
    <w:p w14:paraId="58CF4FA1" w14:textId="77777777" w:rsidR="000F7CE3" w:rsidRDefault="000F7CE3" w:rsidP="000F7CE3">
      <w:pPr>
        <w:jc w:val="both"/>
        <w:rPr>
          <w:sz w:val="22"/>
          <w:szCs w:val="24"/>
        </w:rPr>
      </w:pPr>
    </w:p>
    <w:p w14:paraId="52D3B8F0" w14:textId="1F6AA1D6" w:rsidR="000F7CE3" w:rsidRPr="00E72D6E" w:rsidRDefault="000F7CE3" w:rsidP="000F7CE3">
      <w:pPr>
        <w:jc w:val="both"/>
        <w:rPr>
          <w:sz w:val="22"/>
          <w:szCs w:val="24"/>
        </w:rPr>
      </w:pPr>
      <w:r w:rsidRPr="00E72D6E">
        <w:rPr>
          <w:sz w:val="22"/>
          <w:szCs w:val="24"/>
        </w:rPr>
        <w:t xml:space="preserve">We have nothing to report in this regard. </w:t>
      </w:r>
    </w:p>
    <w:p w14:paraId="3F7EB511" w14:textId="77777777" w:rsidR="006A198A" w:rsidRDefault="006A198A" w:rsidP="006A198A">
      <w:pPr>
        <w:jc w:val="center"/>
        <w:rPr>
          <w:b/>
          <w:sz w:val="22"/>
          <w:szCs w:val="24"/>
        </w:rPr>
      </w:pPr>
    </w:p>
    <w:p w14:paraId="2B66A27C" w14:textId="0F9E12E8" w:rsidR="00E72D6E" w:rsidRPr="00E72D6E" w:rsidRDefault="00E72D6E" w:rsidP="00E72D6E">
      <w:pPr>
        <w:jc w:val="both"/>
        <w:rPr>
          <w:b/>
          <w:sz w:val="22"/>
          <w:szCs w:val="24"/>
        </w:rPr>
      </w:pPr>
      <w:r w:rsidRPr="00E72D6E">
        <w:rPr>
          <w:b/>
          <w:sz w:val="22"/>
          <w:szCs w:val="24"/>
        </w:rPr>
        <w:t xml:space="preserve">Opinions on other matters prescribed by the Companies Act 2006 </w:t>
      </w:r>
    </w:p>
    <w:p w14:paraId="1B7427C5" w14:textId="1805623D" w:rsidR="00E72D6E" w:rsidRDefault="00E72D6E" w:rsidP="00E72D6E">
      <w:pPr>
        <w:jc w:val="both"/>
        <w:rPr>
          <w:sz w:val="22"/>
          <w:szCs w:val="24"/>
        </w:rPr>
      </w:pPr>
      <w:r w:rsidRPr="00E72D6E">
        <w:rPr>
          <w:sz w:val="22"/>
          <w:szCs w:val="24"/>
        </w:rPr>
        <w:t xml:space="preserve">In our opinion, based on the work undertaken in the course of the audit: </w:t>
      </w:r>
    </w:p>
    <w:p w14:paraId="21968066" w14:textId="77777777" w:rsidR="007815DF" w:rsidRPr="00E72D6E" w:rsidRDefault="007815DF" w:rsidP="00E72D6E">
      <w:pPr>
        <w:jc w:val="both"/>
        <w:rPr>
          <w:sz w:val="22"/>
          <w:szCs w:val="24"/>
        </w:rPr>
      </w:pPr>
    </w:p>
    <w:p w14:paraId="5226774C" w14:textId="5DF03180" w:rsidR="00E72D6E" w:rsidRPr="00E72D6E" w:rsidRDefault="00E72D6E" w:rsidP="009E5B23">
      <w:pPr>
        <w:numPr>
          <w:ilvl w:val="0"/>
          <w:numId w:val="3"/>
        </w:numPr>
        <w:jc w:val="both"/>
        <w:rPr>
          <w:sz w:val="22"/>
          <w:szCs w:val="24"/>
        </w:rPr>
      </w:pPr>
      <w:r w:rsidRPr="00E72D6E">
        <w:rPr>
          <w:sz w:val="22"/>
          <w:szCs w:val="24"/>
        </w:rPr>
        <w:t xml:space="preserve">the information given in the strategic report and the directors' report for the financial year for which the financial statements are prepared is consistent with the financial statements; and </w:t>
      </w:r>
    </w:p>
    <w:p w14:paraId="28BB8A6F" w14:textId="5C2EB696" w:rsidR="00E72D6E" w:rsidRDefault="00E72D6E" w:rsidP="009E5B23">
      <w:pPr>
        <w:numPr>
          <w:ilvl w:val="0"/>
          <w:numId w:val="3"/>
        </w:numPr>
        <w:jc w:val="both"/>
        <w:rPr>
          <w:sz w:val="22"/>
          <w:szCs w:val="24"/>
        </w:rPr>
      </w:pPr>
      <w:r w:rsidRPr="00E72D6E">
        <w:rPr>
          <w:sz w:val="22"/>
          <w:szCs w:val="24"/>
        </w:rPr>
        <w:t xml:space="preserve">the strategic report and the directors' report have been prepared in accordance with applicable legal requirements. </w:t>
      </w:r>
    </w:p>
    <w:p w14:paraId="501BB0CD" w14:textId="77777777" w:rsidR="00E72D6E" w:rsidRPr="00E72D6E" w:rsidRDefault="00E72D6E" w:rsidP="00E72D6E">
      <w:pPr>
        <w:jc w:val="both"/>
        <w:rPr>
          <w:sz w:val="22"/>
          <w:szCs w:val="24"/>
        </w:rPr>
      </w:pPr>
    </w:p>
    <w:p w14:paraId="3DBA8669" w14:textId="77777777" w:rsidR="00E72D6E" w:rsidRPr="00E72D6E" w:rsidRDefault="00E72D6E" w:rsidP="00E72D6E">
      <w:pPr>
        <w:jc w:val="both"/>
        <w:rPr>
          <w:b/>
          <w:sz w:val="22"/>
          <w:szCs w:val="24"/>
        </w:rPr>
      </w:pPr>
      <w:r w:rsidRPr="00E72D6E">
        <w:rPr>
          <w:b/>
          <w:sz w:val="22"/>
          <w:szCs w:val="24"/>
        </w:rPr>
        <w:t xml:space="preserve">Matters on which we are required to report by exception </w:t>
      </w:r>
    </w:p>
    <w:p w14:paraId="37C34BED" w14:textId="77777777" w:rsidR="00E72D6E" w:rsidRPr="00E72D6E" w:rsidRDefault="00E72D6E" w:rsidP="00E72D6E">
      <w:pPr>
        <w:jc w:val="both"/>
        <w:rPr>
          <w:sz w:val="22"/>
          <w:szCs w:val="24"/>
        </w:rPr>
      </w:pPr>
      <w:r w:rsidRPr="00E72D6E">
        <w:rPr>
          <w:sz w:val="22"/>
          <w:szCs w:val="24"/>
        </w:rPr>
        <w:t xml:space="preserve">In the light of the knowledge and understanding of the company and its environment obtained in the course of the audit, we have not identified material misstatements in the strategic report or the directors' report. </w:t>
      </w:r>
    </w:p>
    <w:p w14:paraId="5A449E82" w14:textId="06002B10" w:rsidR="00E72D6E" w:rsidRDefault="00E72D6E" w:rsidP="00E72D6E">
      <w:pPr>
        <w:jc w:val="both"/>
        <w:rPr>
          <w:sz w:val="22"/>
          <w:szCs w:val="24"/>
        </w:rPr>
      </w:pPr>
      <w:r w:rsidRPr="00E72D6E">
        <w:rPr>
          <w:sz w:val="22"/>
          <w:szCs w:val="24"/>
        </w:rPr>
        <w:t xml:space="preserve">We have nothing to report in respect of the following matters in relation to which the Companies Act 2006 requires us to report to you if, in our opinion: </w:t>
      </w:r>
    </w:p>
    <w:p w14:paraId="4F80B750" w14:textId="77777777" w:rsidR="007815DF" w:rsidRPr="00E72D6E" w:rsidRDefault="007815DF" w:rsidP="00E72D6E">
      <w:pPr>
        <w:jc w:val="both"/>
        <w:rPr>
          <w:sz w:val="22"/>
          <w:szCs w:val="24"/>
        </w:rPr>
      </w:pPr>
    </w:p>
    <w:p w14:paraId="1581D225" w14:textId="3DBC3F3C" w:rsidR="00E72D6E" w:rsidRPr="00E72D6E" w:rsidRDefault="00E72D6E" w:rsidP="009E5B23">
      <w:pPr>
        <w:numPr>
          <w:ilvl w:val="0"/>
          <w:numId w:val="3"/>
        </w:numPr>
        <w:jc w:val="both"/>
        <w:rPr>
          <w:sz w:val="22"/>
          <w:szCs w:val="24"/>
        </w:rPr>
      </w:pPr>
      <w:r w:rsidRPr="00E72D6E">
        <w:rPr>
          <w:sz w:val="22"/>
          <w:szCs w:val="24"/>
        </w:rPr>
        <w:t xml:space="preserve">adequate accounting records have not been kept, or returns adequate for our audit have not been received from branches not visited by us; or </w:t>
      </w:r>
    </w:p>
    <w:p w14:paraId="3067A504" w14:textId="23CA96D6" w:rsidR="00E72D6E" w:rsidRPr="00E72D6E" w:rsidRDefault="00E72D6E" w:rsidP="009E5B23">
      <w:pPr>
        <w:numPr>
          <w:ilvl w:val="0"/>
          <w:numId w:val="3"/>
        </w:numPr>
        <w:jc w:val="both"/>
        <w:rPr>
          <w:sz w:val="22"/>
          <w:szCs w:val="24"/>
        </w:rPr>
      </w:pPr>
      <w:r w:rsidRPr="00E72D6E">
        <w:rPr>
          <w:sz w:val="22"/>
          <w:szCs w:val="24"/>
        </w:rPr>
        <w:t xml:space="preserve">the financial statements are not in agreement with the accounting records and returns; or </w:t>
      </w:r>
    </w:p>
    <w:p w14:paraId="1332608C" w14:textId="39BCCF75" w:rsidR="00E72D6E" w:rsidRPr="00E72D6E" w:rsidRDefault="00E72D6E" w:rsidP="009E5B23">
      <w:pPr>
        <w:numPr>
          <w:ilvl w:val="0"/>
          <w:numId w:val="3"/>
        </w:numPr>
        <w:jc w:val="both"/>
        <w:rPr>
          <w:sz w:val="22"/>
          <w:szCs w:val="24"/>
        </w:rPr>
      </w:pPr>
      <w:r w:rsidRPr="00E72D6E">
        <w:rPr>
          <w:sz w:val="22"/>
          <w:szCs w:val="24"/>
        </w:rPr>
        <w:t xml:space="preserve">certain disclosures of directors' remuneration specified by law are not made; or </w:t>
      </w:r>
    </w:p>
    <w:p w14:paraId="0EAEA963" w14:textId="21EC6C36" w:rsidR="00E72D6E" w:rsidRPr="00E72D6E" w:rsidRDefault="00E72D6E" w:rsidP="009E5B23">
      <w:pPr>
        <w:numPr>
          <w:ilvl w:val="0"/>
          <w:numId w:val="3"/>
        </w:numPr>
        <w:jc w:val="both"/>
        <w:rPr>
          <w:sz w:val="22"/>
          <w:szCs w:val="24"/>
        </w:rPr>
      </w:pPr>
      <w:r w:rsidRPr="00E72D6E">
        <w:rPr>
          <w:sz w:val="22"/>
          <w:szCs w:val="24"/>
        </w:rPr>
        <w:t xml:space="preserve">we have not received all the information and explanations we require for our audit. </w:t>
      </w:r>
    </w:p>
    <w:p w14:paraId="12EC52A6" w14:textId="77777777" w:rsidR="00E72D6E" w:rsidRDefault="00E72D6E" w:rsidP="00E72D6E">
      <w:pPr>
        <w:overflowPunct/>
        <w:textAlignment w:val="auto"/>
        <w:rPr>
          <w:rFonts w:ascii="Arial" w:hAnsi="Arial" w:cs="Arial"/>
          <w:b/>
          <w:bCs/>
          <w:color w:val="000000"/>
          <w:lang w:eastAsia="en-GB"/>
        </w:rPr>
      </w:pPr>
    </w:p>
    <w:p w14:paraId="5DA4FC3A" w14:textId="43B50778" w:rsidR="00E72D6E" w:rsidRPr="00E72D6E" w:rsidRDefault="00E72D6E" w:rsidP="00E72D6E">
      <w:pPr>
        <w:jc w:val="both"/>
        <w:rPr>
          <w:b/>
          <w:sz w:val="22"/>
          <w:szCs w:val="24"/>
        </w:rPr>
      </w:pPr>
      <w:r w:rsidRPr="00E72D6E">
        <w:rPr>
          <w:b/>
          <w:sz w:val="22"/>
          <w:szCs w:val="24"/>
        </w:rPr>
        <w:t xml:space="preserve">Responsibilities of directors </w:t>
      </w:r>
    </w:p>
    <w:p w14:paraId="1D6D1EEE" w14:textId="718B0E75" w:rsidR="00E72D6E" w:rsidRDefault="00E72D6E" w:rsidP="00E72D6E">
      <w:pPr>
        <w:jc w:val="both"/>
        <w:rPr>
          <w:sz w:val="22"/>
          <w:szCs w:val="24"/>
        </w:rPr>
      </w:pPr>
      <w:r w:rsidRPr="00E72D6E">
        <w:rPr>
          <w:sz w:val="22"/>
          <w:szCs w:val="24"/>
        </w:rPr>
        <w:t xml:space="preserve">As explained more fully in the directors' responsibilities statement,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 </w:t>
      </w:r>
    </w:p>
    <w:p w14:paraId="7EB6896C" w14:textId="77777777" w:rsidR="007815DF" w:rsidRPr="00E72D6E" w:rsidRDefault="007815DF" w:rsidP="00E72D6E">
      <w:pPr>
        <w:jc w:val="both"/>
        <w:rPr>
          <w:sz w:val="22"/>
          <w:szCs w:val="24"/>
        </w:rPr>
      </w:pPr>
    </w:p>
    <w:p w14:paraId="06BBDE5B" w14:textId="7E484C7A" w:rsidR="00E72D6E" w:rsidRPr="00E72D6E" w:rsidRDefault="00E72D6E" w:rsidP="00E72D6E">
      <w:pPr>
        <w:jc w:val="both"/>
        <w:rPr>
          <w:sz w:val="22"/>
          <w:szCs w:val="24"/>
        </w:rPr>
      </w:pPr>
      <w:r w:rsidRPr="00E72D6E">
        <w:rPr>
          <w:sz w:val="22"/>
          <w:szCs w:val="24"/>
        </w:rPr>
        <w:t>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1CACB5AD" w14:textId="77777777" w:rsidR="00E72D6E" w:rsidRPr="00E72D6E" w:rsidRDefault="00E72D6E" w:rsidP="00E72D6E">
      <w:pPr>
        <w:jc w:val="both"/>
        <w:rPr>
          <w:sz w:val="22"/>
          <w:szCs w:val="24"/>
        </w:rPr>
      </w:pPr>
    </w:p>
    <w:p w14:paraId="41AB590E" w14:textId="77777777" w:rsidR="00E72D6E" w:rsidRPr="00E72D6E" w:rsidRDefault="00E72D6E" w:rsidP="00E72D6E">
      <w:pPr>
        <w:jc w:val="both"/>
        <w:rPr>
          <w:b/>
          <w:sz w:val="22"/>
          <w:szCs w:val="24"/>
        </w:rPr>
      </w:pPr>
      <w:r w:rsidRPr="00E72D6E">
        <w:rPr>
          <w:b/>
          <w:sz w:val="22"/>
          <w:szCs w:val="24"/>
        </w:rPr>
        <w:t xml:space="preserve">Auditor's responsibilities for the audit of the financial statements </w:t>
      </w:r>
    </w:p>
    <w:p w14:paraId="7DDF3E52" w14:textId="692AD41B" w:rsidR="00F85F68" w:rsidRDefault="00E72D6E" w:rsidP="00E72D6E">
      <w:pPr>
        <w:jc w:val="both"/>
        <w:rPr>
          <w:sz w:val="22"/>
          <w:szCs w:val="24"/>
        </w:rPr>
      </w:pPr>
      <w:r w:rsidRPr="00E72D6E">
        <w:rPr>
          <w:sz w:val="22"/>
          <w:szCs w:val="24"/>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w:t>
      </w:r>
    </w:p>
    <w:p w14:paraId="658446B9" w14:textId="56AAF65C" w:rsidR="00E72D6E" w:rsidRDefault="00E72D6E" w:rsidP="00E72D6E">
      <w:pPr>
        <w:jc w:val="both"/>
        <w:rPr>
          <w:sz w:val="22"/>
          <w:szCs w:val="24"/>
        </w:rPr>
      </w:pPr>
      <w:r w:rsidRPr="00E72D6E">
        <w:rPr>
          <w:sz w:val="22"/>
          <w:szCs w:val="24"/>
        </w:rPr>
        <w:t xml:space="preserve">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77BA1AA9" w14:textId="01C30E99" w:rsidR="00F85F68" w:rsidRDefault="00F85F68" w:rsidP="00E72D6E">
      <w:pPr>
        <w:jc w:val="both"/>
        <w:rPr>
          <w:sz w:val="22"/>
          <w:szCs w:val="24"/>
        </w:rPr>
      </w:pPr>
    </w:p>
    <w:p w14:paraId="3313BFD3" w14:textId="3D34884F" w:rsidR="001A3398" w:rsidRDefault="001A3398" w:rsidP="00E72D6E">
      <w:pPr>
        <w:jc w:val="both"/>
        <w:rPr>
          <w:sz w:val="22"/>
          <w:szCs w:val="24"/>
        </w:rPr>
      </w:pPr>
    </w:p>
    <w:p w14:paraId="235E07C2" w14:textId="3BF70557" w:rsidR="001A3398" w:rsidRDefault="001A3398" w:rsidP="00E72D6E">
      <w:pPr>
        <w:jc w:val="both"/>
        <w:rPr>
          <w:sz w:val="22"/>
          <w:szCs w:val="24"/>
        </w:rPr>
      </w:pPr>
    </w:p>
    <w:p w14:paraId="5F8863B0" w14:textId="77777777" w:rsidR="001A3398" w:rsidRDefault="001A3398" w:rsidP="001A3398">
      <w:pPr>
        <w:pStyle w:val="Heading2"/>
      </w:pPr>
      <w:r w:rsidRPr="00652CBB">
        <w:t xml:space="preserve">INDEPENDENT AUDITOR’S REPORT TO THE MEMBERS OF </w:t>
      </w:r>
      <w:r>
        <w:t>METALNRG</w:t>
      </w:r>
      <w:r w:rsidRPr="00652CBB">
        <w:t xml:space="preserve"> PLC</w:t>
      </w:r>
    </w:p>
    <w:p w14:paraId="0E65332D" w14:textId="77777777" w:rsidR="001A3398" w:rsidRDefault="001A3398" w:rsidP="001A3398">
      <w:pPr>
        <w:jc w:val="center"/>
        <w:rPr>
          <w:b/>
          <w:bCs/>
          <w:sz w:val="24"/>
          <w:szCs w:val="24"/>
        </w:rPr>
      </w:pPr>
    </w:p>
    <w:p w14:paraId="0E94A457" w14:textId="707D8E00" w:rsidR="001A3398" w:rsidRDefault="001A3398" w:rsidP="001A3398">
      <w:pPr>
        <w:jc w:val="center"/>
        <w:rPr>
          <w:sz w:val="22"/>
          <w:szCs w:val="24"/>
        </w:rPr>
      </w:pPr>
      <w:r>
        <w:rPr>
          <w:b/>
          <w:bCs/>
          <w:sz w:val="24"/>
          <w:szCs w:val="24"/>
        </w:rPr>
        <w:t>FOR THE YEAR</w:t>
      </w:r>
      <w:r w:rsidR="007D061B">
        <w:rPr>
          <w:b/>
          <w:bCs/>
          <w:sz w:val="24"/>
          <w:szCs w:val="24"/>
        </w:rPr>
        <w:t xml:space="preserve"> </w:t>
      </w:r>
      <w:r>
        <w:rPr>
          <w:b/>
          <w:bCs/>
          <w:sz w:val="24"/>
          <w:szCs w:val="24"/>
        </w:rPr>
        <w:t>ENDED 31 DECEMBER 2020 (continued)</w:t>
      </w:r>
    </w:p>
    <w:p w14:paraId="6320EC5F" w14:textId="77777777" w:rsidR="001A3398" w:rsidRDefault="001A3398" w:rsidP="00E72D6E">
      <w:pPr>
        <w:jc w:val="both"/>
        <w:rPr>
          <w:sz w:val="22"/>
          <w:szCs w:val="24"/>
        </w:rPr>
      </w:pPr>
    </w:p>
    <w:p w14:paraId="799474D1" w14:textId="77777777" w:rsidR="001A3398" w:rsidRPr="001A3398" w:rsidRDefault="001A3398" w:rsidP="001A3398">
      <w:pPr>
        <w:jc w:val="both"/>
        <w:rPr>
          <w:sz w:val="22"/>
          <w:szCs w:val="24"/>
        </w:rPr>
      </w:pPr>
      <w:r w:rsidRPr="001A3398">
        <w:rPr>
          <w:sz w:val="22"/>
          <w:szCs w:val="24"/>
        </w:rPr>
        <w:t>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w:t>
      </w:r>
    </w:p>
    <w:p w14:paraId="4F526C76" w14:textId="77777777" w:rsidR="001A3398" w:rsidRPr="001A3398" w:rsidRDefault="001A3398" w:rsidP="001A3398">
      <w:pPr>
        <w:jc w:val="both"/>
        <w:rPr>
          <w:sz w:val="22"/>
          <w:szCs w:val="24"/>
        </w:rPr>
      </w:pPr>
    </w:p>
    <w:p w14:paraId="2C5A2072" w14:textId="471AAD72" w:rsidR="001A3398" w:rsidRPr="001A3398" w:rsidRDefault="001A3398" w:rsidP="001A3398">
      <w:pPr>
        <w:pStyle w:val="ListParagraph"/>
        <w:numPr>
          <w:ilvl w:val="0"/>
          <w:numId w:val="22"/>
        </w:numPr>
        <w:jc w:val="both"/>
        <w:rPr>
          <w:rFonts w:ascii="Times New Roman" w:hAnsi="Times New Roman"/>
          <w:szCs w:val="24"/>
        </w:rPr>
      </w:pPr>
      <w:r w:rsidRPr="001A3398">
        <w:rPr>
          <w:rFonts w:ascii="Times New Roman" w:hAnsi="Times New Roman"/>
          <w:szCs w:val="24"/>
        </w:rPr>
        <w:t>Enquiries with management, about any known or suspected instances of non-compliance with laws and regulations and fraud.</w:t>
      </w:r>
    </w:p>
    <w:p w14:paraId="189B855E" w14:textId="750C6A15" w:rsidR="001A3398" w:rsidRPr="001A3398" w:rsidRDefault="001A3398" w:rsidP="001A3398">
      <w:pPr>
        <w:pStyle w:val="ListParagraph"/>
        <w:numPr>
          <w:ilvl w:val="0"/>
          <w:numId w:val="22"/>
        </w:numPr>
        <w:jc w:val="both"/>
        <w:rPr>
          <w:rFonts w:ascii="Times New Roman" w:hAnsi="Times New Roman"/>
          <w:szCs w:val="24"/>
        </w:rPr>
      </w:pPr>
      <w:r w:rsidRPr="001A3398">
        <w:rPr>
          <w:rFonts w:ascii="Times New Roman" w:hAnsi="Times New Roman"/>
          <w:szCs w:val="24"/>
        </w:rPr>
        <w:t>Auditing the risk of management of override controls, including through testing journal entries and other adjustments for appropriateness.</w:t>
      </w:r>
    </w:p>
    <w:p w14:paraId="4AEB6A57" w14:textId="3880711E" w:rsidR="001A3398" w:rsidRPr="001A3398" w:rsidRDefault="001A3398" w:rsidP="001A3398">
      <w:pPr>
        <w:jc w:val="both"/>
        <w:rPr>
          <w:sz w:val="22"/>
          <w:szCs w:val="24"/>
        </w:rPr>
      </w:pPr>
      <w:r w:rsidRPr="001A3398">
        <w:rPr>
          <w:sz w:val="22"/>
          <w:szCs w:val="24"/>
        </w:rPr>
        <w:t xml:space="preserve">Because of the field in which the client operates, we identified that employment law, LSE listing rules and compliance with the Companies Act </w:t>
      </w:r>
      <w:r w:rsidR="007D061B">
        <w:rPr>
          <w:sz w:val="22"/>
          <w:szCs w:val="24"/>
        </w:rPr>
        <w:t xml:space="preserve">2006 </w:t>
      </w:r>
      <w:r w:rsidRPr="001A3398">
        <w:rPr>
          <w:sz w:val="22"/>
          <w:szCs w:val="24"/>
        </w:rPr>
        <w:t>are most likely to have a material impact on the financial statements.</w:t>
      </w:r>
    </w:p>
    <w:p w14:paraId="445B751B" w14:textId="77777777" w:rsidR="001A3398" w:rsidRPr="001A3398" w:rsidRDefault="001A3398" w:rsidP="001A3398">
      <w:pPr>
        <w:jc w:val="both"/>
        <w:rPr>
          <w:sz w:val="22"/>
          <w:szCs w:val="24"/>
        </w:rPr>
      </w:pPr>
    </w:p>
    <w:p w14:paraId="03A85D10" w14:textId="77777777" w:rsidR="001A3398" w:rsidRPr="001A3398" w:rsidRDefault="001A3398" w:rsidP="001A3398">
      <w:pPr>
        <w:jc w:val="both"/>
        <w:rPr>
          <w:sz w:val="22"/>
          <w:szCs w:val="24"/>
        </w:rPr>
      </w:pPr>
      <w:r w:rsidRPr="001A3398">
        <w:rPr>
          <w:sz w:val="22"/>
          <w:szCs w:val="24"/>
        </w:rPr>
        <w:t>The group is subject to many other laws and regulations where consequences of non-compliance could have material effect on amounts or disclosures in the financial statements, for instance through the imposition of fines. We identified the following areas as most likely to have such an effect: The Listing Rules in certain aspects of company legislation recognising the financial and regulated nature of the Company’s activities and its legal form. Auditing standards limit required audit procedure to identify non-compliance with these laws and regulations to inquiry of the directors and other management and inspection of regulatory and legal correspondence, if any. Through these procedures, we did not become aware of actual or suspected non-compliance.</w:t>
      </w:r>
    </w:p>
    <w:p w14:paraId="6D06D087" w14:textId="77777777" w:rsidR="001A3398" w:rsidRPr="001A3398" w:rsidRDefault="001A3398" w:rsidP="001A3398">
      <w:pPr>
        <w:jc w:val="both"/>
        <w:rPr>
          <w:sz w:val="22"/>
          <w:szCs w:val="24"/>
        </w:rPr>
      </w:pPr>
    </w:p>
    <w:p w14:paraId="7E4E72BA" w14:textId="397AC135" w:rsidR="001A3398" w:rsidRPr="001A3398" w:rsidRDefault="001A3398" w:rsidP="001A3398">
      <w:pPr>
        <w:jc w:val="both"/>
        <w:rPr>
          <w:sz w:val="22"/>
          <w:szCs w:val="24"/>
        </w:rPr>
      </w:pPr>
      <w:r w:rsidRPr="001A3398">
        <w:rPr>
          <w:sz w:val="22"/>
          <w:szCs w:val="24"/>
        </w:rPr>
        <w:t>Owing to the inherent limitations of an audit, there's an unavoidable risk that some material misstatements in the financial statements may not be detected, even though the audit is properly planned and performed in accordance with ISAs (UK). For instance, the further removed non-compliances from the events and transactions reflected in the financial statements, the less likely the auditor is to become aware of it or to recognise the non-compliance.</w:t>
      </w:r>
    </w:p>
    <w:p w14:paraId="4FF270E6" w14:textId="77777777" w:rsidR="00C37AC8" w:rsidRPr="001A3398" w:rsidRDefault="00C37AC8" w:rsidP="00E72D6E">
      <w:pPr>
        <w:jc w:val="both"/>
        <w:rPr>
          <w:sz w:val="22"/>
          <w:szCs w:val="24"/>
        </w:rPr>
      </w:pPr>
    </w:p>
    <w:p w14:paraId="575BAC7E" w14:textId="0A15AE85" w:rsidR="00F85F68" w:rsidRDefault="00F85F68" w:rsidP="00F85F68">
      <w:pPr>
        <w:jc w:val="both"/>
        <w:rPr>
          <w:sz w:val="22"/>
          <w:szCs w:val="24"/>
        </w:rPr>
      </w:pPr>
      <w:r w:rsidRPr="00E72D6E">
        <w:rPr>
          <w:sz w:val="22"/>
          <w:szCs w:val="24"/>
        </w:rPr>
        <w:t xml:space="preserve">As part of an audit in accordance with ISAs (UK), we exercise professional judgment and maintain professional scepticism throughout the audit. We also: </w:t>
      </w:r>
    </w:p>
    <w:p w14:paraId="64FCDFC8" w14:textId="77777777" w:rsidR="00F85F68" w:rsidRPr="00E72D6E" w:rsidRDefault="00F85F68" w:rsidP="00E72D6E">
      <w:pPr>
        <w:jc w:val="both"/>
        <w:rPr>
          <w:sz w:val="22"/>
          <w:szCs w:val="24"/>
        </w:rPr>
      </w:pPr>
    </w:p>
    <w:p w14:paraId="1A3760B5" w14:textId="7B856576" w:rsidR="00E72D6E" w:rsidRDefault="00E72D6E" w:rsidP="009E5B23">
      <w:pPr>
        <w:numPr>
          <w:ilvl w:val="0"/>
          <w:numId w:val="3"/>
        </w:numPr>
        <w:jc w:val="both"/>
        <w:rPr>
          <w:sz w:val="22"/>
          <w:szCs w:val="24"/>
        </w:rPr>
      </w:pPr>
      <w:r w:rsidRPr="00E72D6E">
        <w:rPr>
          <w:sz w:val="22"/>
          <w:szCs w:val="24"/>
        </w:rPr>
        <w:t xml:space="preserve">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985C7FC" w14:textId="547F6FAA" w:rsidR="00E72D6E" w:rsidRDefault="00E72D6E" w:rsidP="009E5B23">
      <w:pPr>
        <w:numPr>
          <w:ilvl w:val="0"/>
          <w:numId w:val="3"/>
        </w:numPr>
        <w:jc w:val="both"/>
        <w:rPr>
          <w:sz w:val="22"/>
          <w:szCs w:val="24"/>
        </w:rPr>
      </w:pPr>
      <w:r w:rsidRPr="00E72D6E">
        <w:rPr>
          <w:sz w:val="22"/>
          <w:szCs w:val="24"/>
        </w:rPr>
        <w:t xml:space="preserve">Obtain an understanding of internal control relevant to the audit in order to design audit procedures that are appropriate in the circumstances, but not for the purpose of expressing an opinion on the effectiveness of the internal control. </w:t>
      </w:r>
    </w:p>
    <w:p w14:paraId="7C55EC47" w14:textId="5B84684E" w:rsidR="00E72D6E" w:rsidRDefault="00E72D6E" w:rsidP="009E5B23">
      <w:pPr>
        <w:numPr>
          <w:ilvl w:val="0"/>
          <w:numId w:val="3"/>
        </w:numPr>
        <w:jc w:val="both"/>
        <w:rPr>
          <w:sz w:val="22"/>
          <w:szCs w:val="24"/>
        </w:rPr>
      </w:pPr>
      <w:r w:rsidRPr="00E72D6E">
        <w:rPr>
          <w:sz w:val="22"/>
          <w:szCs w:val="24"/>
        </w:rPr>
        <w:t xml:space="preserve">Evaluate the appropriateness of accounting policies used and the reasonableness of accounting estimates and related disclosures made by the directors. </w:t>
      </w:r>
    </w:p>
    <w:p w14:paraId="075668EA" w14:textId="2021F546" w:rsidR="00E72D6E" w:rsidRDefault="00E72D6E" w:rsidP="009E5B23">
      <w:pPr>
        <w:numPr>
          <w:ilvl w:val="0"/>
          <w:numId w:val="3"/>
        </w:numPr>
        <w:jc w:val="both"/>
        <w:rPr>
          <w:sz w:val="22"/>
          <w:szCs w:val="24"/>
        </w:rPr>
      </w:pPr>
      <w:r w:rsidRPr="00E72D6E">
        <w:rPr>
          <w:sz w:val="22"/>
          <w:szCs w:val="24"/>
        </w:rPr>
        <w:t xml:space="preserve">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 </w:t>
      </w:r>
    </w:p>
    <w:p w14:paraId="4527D2CC" w14:textId="7D48EBCD" w:rsidR="00E72D6E" w:rsidRPr="00E72D6E" w:rsidRDefault="00E72D6E" w:rsidP="009E5B23">
      <w:pPr>
        <w:numPr>
          <w:ilvl w:val="0"/>
          <w:numId w:val="3"/>
        </w:numPr>
        <w:jc w:val="both"/>
        <w:rPr>
          <w:sz w:val="22"/>
          <w:szCs w:val="24"/>
        </w:rPr>
      </w:pPr>
      <w:r w:rsidRPr="00E72D6E">
        <w:rPr>
          <w:sz w:val="22"/>
          <w:szCs w:val="24"/>
        </w:rPr>
        <w:t>Evaluate the overall presentation, structure and content of the financial statements, including the disclosures, and whether the financial statements represent the underlying transactions and events in a manner that achieves fair presentation.</w:t>
      </w:r>
    </w:p>
    <w:p w14:paraId="4C241D14" w14:textId="77777777" w:rsidR="00E72D6E" w:rsidRPr="00E72D6E" w:rsidRDefault="00E72D6E" w:rsidP="007815DF">
      <w:pPr>
        <w:jc w:val="both"/>
        <w:rPr>
          <w:sz w:val="22"/>
          <w:szCs w:val="24"/>
        </w:rPr>
      </w:pPr>
    </w:p>
    <w:p w14:paraId="70098DAF" w14:textId="77777777" w:rsidR="001A3398" w:rsidRDefault="001A3398" w:rsidP="00E72D6E">
      <w:pPr>
        <w:jc w:val="both"/>
        <w:rPr>
          <w:sz w:val="22"/>
          <w:szCs w:val="24"/>
        </w:rPr>
      </w:pPr>
    </w:p>
    <w:p w14:paraId="1B4223C1" w14:textId="77777777" w:rsidR="001A3398" w:rsidRDefault="001A3398" w:rsidP="00E72D6E">
      <w:pPr>
        <w:jc w:val="both"/>
        <w:rPr>
          <w:sz w:val="22"/>
          <w:szCs w:val="24"/>
        </w:rPr>
      </w:pPr>
    </w:p>
    <w:p w14:paraId="4793B9B1" w14:textId="77777777" w:rsidR="001A3398" w:rsidRDefault="001A3398" w:rsidP="001A3398">
      <w:pPr>
        <w:pStyle w:val="Heading2"/>
      </w:pPr>
      <w:r w:rsidRPr="00652CBB">
        <w:t xml:space="preserve">INDEPENDENT AUDITOR’S REPORT TO THE MEMBERS OF </w:t>
      </w:r>
      <w:r>
        <w:t>METALNRG</w:t>
      </w:r>
      <w:r w:rsidRPr="00652CBB">
        <w:t xml:space="preserve"> PLC</w:t>
      </w:r>
    </w:p>
    <w:p w14:paraId="094784E2" w14:textId="77777777" w:rsidR="001A3398" w:rsidRDefault="001A3398" w:rsidP="001A3398">
      <w:pPr>
        <w:jc w:val="center"/>
        <w:rPr>
          <w:b/>
          <w:bCs/>
          <w:sz w:val="24"/>
          <w:szCs w:val="24"/>
        </w:rPr>
      </w:pPr>
    </w:p>
    <w:p w14:paraId="17C193D1" w14:textId="0C46EE09" w:rsidR="001A3398" w:rsidRDefault="001A3398" w:rsidP="001A3398">
      <w:pPr>
        <w:jc w:val="center"/>
        <w:rPr>
          <w:sz w:val="22"/>
          <w:szCs w:val="24"/>
        </w:rPr>
      </w:pPr>
      <w:r>
        <w:rPr>
          <w:b/>
          <w:bCs/>
          <w:sz w:val="24"/>
          <w:szCs w:val="24"/>
        </w:rPr>
        <w:t>FOR THE YEAR</w:t>
      </w:r>
      <w:r w:rsidR="007D061B">
        <w:rPr>
          <w:b/>
          <w:bCs/>
          <w:sz w:val="24"/>
          <w:szCs w:val="24"/>
        </w:rPr>
        <w:t xml:space="preserve"> </w:t>
      </w:r>
      <w:r>
        <w:rPr>
          <w:b/>
          <w:bCs/>
          <w:sz w:val="24"/>
          <w:szCs w:val="24"/>
        </w:rPr>
        <w:t>ENDED 31 DECEMBER 2020 (continued)</w:t>
      </w:r>
    </w:p>
    <w:p w14:paraId="6385F71D" w14:textId="77777777" w:rsidR="001A3398" w:rsidRDefault="001A3398" w:rsidP="00E72D6E">
      <w:pPr>
        <w:jc w:val="both"/>
        <w:rPr>
          <w:sz w:val="22"/>
          <w:szCs w:val="24"/>
        </w:rPr>
      </w:pPr>
    </w:p>
    <w:p w14:paraId="10C04964" w14:textId="383A5C2E" w:rsidR="00E72D6E" w:rsidRDefault="00E72D6E" w:rsidP="00E72D6E">
      <w:pPr>
        <w:jc w:val="both"/>
        <w:rPr>
          <w:sz w:val="22"/>
          <w:szCs w:val="24"/>
        </w:rPr>
      </w:pPr>
      <w:r w:rsidRPr="00E72D6E">
        <w:rPr>
          <w:sz w:val="22"/>
          <w:szCs w:val="24"/>
        </w:rPr>
        <w:t>We communicate with those charged with governance regarding, among other matters, the planned scope and timing of the audit and significant audit findings, including any significant deficiencies in internal control that we identify during our audit</w:t>
      </w:r>
      <w:r w:rsidR="00417BAB">
        <w:rPr>
          <w:sz w:val="22"/>
          <w:szCs w:val="24"/>
        </w:rPr>
        <w:t>.</w:t>
      </w:r>
    </w:p>
    <w:p w14:paraId="6A4C1A09" w14:textId="0D652ABD" w:rsidR="00397A87" w:rsidRDefault="00397A87" w:rsidP="00397A87">
      <w:pPr>
        <w:jc w:val="both"/>
        <w:rPr>
          <w:sz w:val="22"/>
          <w:szCs w:val="24"/>
        </w:rPr>
      </w:pPr>
    </w:p>
    <w:p w14:paraId="7EE7C31A" w14:textId="23AA8549" w:rsidR="005817CF" w:rsidRPr="00E72D6E" w:rsidRDefault="005817CF" w:rsidP="005817CF">
      <w:pPr>
        <w:jc w:val="both"/>
        <w:rPr>
          <w:b/>
          <w:sz w:val="22"/>
          <w:szCs w:val="24"/>
        </w:rPr>
      </w:pPr>
      <w:r>
        <w:rPr>
          <w:b/>
          <w:sz w:val="22"/>
          <w:szCs w:val="24"/>
        </w:rPr>
        <w:t>Use of our report</w:t>
      </w:r>
      <w:r w:rsidRPr="00E72D6E">
        <w:rPr>
          <w:b/>
          <w:sz w:val="22"/>
          <w:szCs w:val="24"/>
        </w:rPr>
        <w:t xml:space="preserve"> </w:t>
      </w:r>
    </w:p>
    <w:p w14:paraId="399D7EF7" w14:textId="048FC422" w:rsidR="00397A87" w:rsidRPr="0098293E" w:rsidRDefault="00397A87" w:rsidP="00397A87">
      <w:pPr>
        <w:jc w:val="both"/>
        <w:rPr>
          <w:sz w:val="22"/>
          <w:szCs w:val="24"/>
        </w:rPr>
      </w:pPr>
      <w:r w:rsidRPr="0098293E">
        <w:rPr>
          <w:sz w:val="22"/>
          <w:szCs w:val="24"/>
        </w:rPr>
        <w:t xml:space="preserve">This report is made solely to the parent company’s members, as a body, in accordance with </w:t>
      </w:r>
      <w:r w:rsidRPr="0098293E">
        <w:rPr>
          <w:sz w:val="22"/>
          <w:szCs w:val="24"/>
          <w:lang w:val="en"/>
        </w:rPr>
        <w:t xml:space="preserve">Chapter 3 of Part 16 </w:t>
      </w:r>
      <w:r w:rsidRPr="0098293E">
        <w:rPr>
          <w:sz w:val="22"/>
          <w:szCs w:val="24"/>
        </w:rPr>
        <w:t>of the Companies Act 2006.</w:t>
      </w:r>
      <w:r>
        <w:rPr>
          <w:sz w:val="22"/>
          <w:szCs w:val="24"/>
        </w:rPr>
        <w:t xml:space="preserve"> </w:t>
      </w:r>
      <w:r w:rsidRPr="0098293E">
        <w:rPr>
          <w:sz w:val="22"/>
          <w:szCs w:val="24"/>
        </w:rPr>
        <w:t>Our audit work has been undertaken so that we might state to the parent company’s members those matters we are required to state to them in an auditor’s report and for no other purpose.</w:t>
      </w:r>
      <w:r>
        <w:rPr>
          <w:sz w:val="22"/>
          <w:szCs w:val="24"/>
        </w:rPr>
        <w:t xml:space="preserve"> </w:t>
      </w:r>
      <w:r w:rsidRPr="0098293E">
        <w:rPr>
          <w:sz w:val="22"/>
          <w:szCs w:val="24"/>
        </w:rPr>
        <w:t>To the fullest extent permitted by law, we do not accept or assume responsibility to anyone other than the parent company and the parent company’s members as a body, for our audit work, for this report, or for the opinions we have formed.</w:t>
      </w:r>
    </w:p>
    <w:p w14:paraId="24B66D23" w14:textId="77777777" w:rsidR="00E72D6E" w:rsidRDefault="00E72D6E" w:rsidP="00E72D6E">
      <w:pPr>
        <w:jc w:val="both"/>
        <w:rPr>
          <w:sz w:val="22"/>
          <w:szCs w:val="24"/>
        </w:rPr>
      </w:pPr>
    </w:p>
    <w:p w14:paraId="09D3DF33" w14:textId="77777777" w:rsidR="005817CF" w:rsidRDefault="005817CF" w:rsidP="00E72D6E">
      <w:pPr>
        <w:jc w:val="both"/>
        <w:rPr>
          <w:sz w:val="22"/>
          <w:szCs w:val="24"/>
        </w:rPr>
      </w:pPr>
    </w:p>
    <w:p w14:paraId="2CEA31E1" w14:textId="6B1CC816" w:rsidR="00E72D6E" w:rsidRDefault="00E72D6E" w:rsidP="00E72D6E">
      <w:pPr>
        <w:jc w:val="both"/>
        <w:rPr>
          <w:sz w:val="22"/>
          <w:szCs w:val="24"/>
        </w:rPr>
      </w:pPr>
      <w:r w:rsidRPr="00E72D6E">
        <w:rPr>
          <w:sz w:val="22"/>
          <w:szCs w:val="24"/>
        </w:rPr>
        <w:t xml:space="preserve">Mr Lee Lederberg (Senior Statutory Auditor)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98"/>
      </w:tblGrid>
      <w:tr w:rsidR="00417BAB" w:rsidRPr="00417BAB" w14:paraId="2093360C" w14:textId="77777777">
        <w:trPr>
          <w:trHeight w:val="93"/>
        </w:trPr>
        <w:tc>
          <w:tcPr>
            <w:tcW w:w="3598" w:type="dxa"/>
          </w:tcPr>
          <w:p w14:paraId="33C17ADD" w14:textId="77777777" w:rsidR="00417BAB" w:rsidRPr="00417BAB" w:rsidRDefault="00417BAB" w:rsidP="00417BAB">
            <w:pPr>
              <w:jc w:val="both"/>
              <w:rPr>
                <w:sz w:val="22"/>
                <w:szCs w:val="24"/>
              </w:rPr>
            </w:pPr>
            <w:r w:rsidRPr="00417BAB">
              <w:rPr>
                <w:sz w:val="22"/>
                <w:szCs w:val="24"/>
              </w:rPr>
              <w:t xml:space="preserve">For and on behalf of </w:t>
            </w:r>
          </w:p>
        </w:tc>
      </w:tr>
      <w:tr w:rsidR="00417BAB" w:rsidRPr="00417BAB" w14:paraId="235C854E" w14:textId="77777777">
        <w:trPr>
          <w:trHeight w:val="93"/>
        </w:trPr>
        <w:tc>
          <w:tcPr>
            <w:tcW w:w="3598" w:type="dxa"/>
          </w:tcPr>
          <w:p w14:paraId="4A8D21F5" w14:textId="77777777" w:rsidR="00417BAB" w:rsidRPr="00417BAB" w:rsidRDefault="00417BAB" w:rsidP="00417BAB">
            <w:pPr>
              <w:jc w:val="both"/>
              <w:rPr>
                <w:sz w:val="22"/>
                <w:szCs w:val="24"/>
              </w:rPr>
            </w:pPr>
            <w:r w:rsidRPr="00417BAB">
              <w:rPr>
                <w:sz w:val="22"/>
                <w:szCs w:val="24"/>
              </w:rPr>
              <w:t xml:space="preserve">Edwards Veeder (UK) Limited </w:t>
            </w:r>
          </w:p>
        </w:tc>
      </w:tr>
      <w:tr w:rsidR="00417BAB" w:rsidRPr="00417BAB" w14:paraId="5F053BEE" w14:textId="77777777">
        <w:trPr>
          <w:trHeight w:val="93"/>
        </w:trPr>
        <w:tc>
          <w:tcPr>
            <w:tcW w:w="3598" w:type="dxa"/>
          </w:tcPr>
          <w:p w14:paraId="2F72B7E3" w14:textId="77777777" w:rsidR="00417BAB" w:rsidRPr="00417BAB" w:rsidRDefault="00417BAB" w:rsidP="00417BAB">
            <w:pPr>
              <w:jc w:val="both"/>
              <w:rPr>
                <w:sz w:val="22"/>
                <w:szCs w:val="24"/>
              </w:rPr>
            </w:pPr>
            <w:r w:rsidRPr="00417BAB">
              <w:rPr>
                <w:sz w:val="22"/>
                <w:szCs w:val="24"/>
              </w:rPr>
              <w:t xml:space="preserve">Chartered accountant &amp; statutory auditor </w:t>
            </w:r>
          </w:p>
        </w:tc>
      </w:tr>
      <w:tr w:rsidR="00417BAB" w:rsidRPr="00417BAB" w14:paraId="2F561BFA" w14:textId="77777777">
        <w:trPr>
          <w:trHeight w:val="93"/>
        </w:trPr>
        <w:tc>
          <w:tcPr>
            <w:tcW w:w="3598" w:type="dxa"/>
          </w:tcPr>
          <w:p w14:paraId="66D909B4" w14:textId="77777777" w:rsidR="00417BAB" w:rsidRPr="00417BAB" w:rsidRDefault="00417BAB" w:rsidP="00417BAB">
            <w:pPr>
              <w:jc w:val="both"/>
              <w:rPr>
                <w:sz w:val="22"/>
                <w:szCs w:val="24"/>
              </w:rPr>
            </w:pPr>
            <w:r w:rsidRPr="00417BAB">
              <w:rPr>
                <w:sz w:val="22"/>
                <w:szCs w:val="24"/>
              </w:rPr>
              <w:t xml:space="preserve">4 Broadgate </w:t>
            </w:r>
          </w:p>
        </w:tc>
      </w:tr>
      <w:tr w:rsidR="00417BAB" w:rsidRPr="00417BAB" w14:paraId="5516D0BB" w14:textId="77777777">
        <w:trPr>
          <w:trHeight w:val="93"/>
        </w:trPr>
        <w:tc>
          <w:tcPr>
            <w:tcW w:w="3598" w:type="dxa"/>
          </w:tcPr>
          <w:p w14:paraId="157C1AA4" w14:textId="77777777" w:rsidR="00417BAB" w:rsidRPr="00417BAB" w:rsidRDefault="00417BAB" w:rsidP="00417BAB">
            <w:pPr>
              <w:jc w:val="both"/>
              <w:rPr>
                <w:sz w:val="22"/>
                <w:szCs w:val="24"/>
              </w:rPr>
            </w:pPr>
            <w:r w:rsidRPr="00417BAB">
              <w:rPr>
                <w:sz w:val="22"/>
                <w:szCs w:val="24"/>
              </w:rPr>
              <w:t xml:space="preserve">Broadway Business Park </w:t>
            </w:r>
          </w:p>
        </w:tc>
      </w:tr>
      <w:tr w:rsidR="00417BAB" w:rsidRPr="00417BAB" w14:paraId="61A7E450" w14:textId="77777777">
        <w:trPr>
          <w:trHeight w:val="93"/>
        </w:trPr>
        <w:tc>
          <w:tcPr>
            <w:tcW w:w="3598" w:type="dxa"/>
          </w:tcPr>
          <w:p w14:paraId="675276E4" w14:textId="77777777" w:rsidR="00417BAB" w:rsidRPr="00417BAB" w:rsidRDefault="00417BAB" w:rsidP="00417BAB">
            <w:pPr>
              <w:jc w:val="both"/>
              <w:rPr>
                <w:sz w:val="22"/>
                <w:szCs w:val="24"/>
              </w:rPr>
            </w:pPr>
            <w:r w:rsidRPr="00417BAB">
              <w:rPr>
                <w:sz w:val="22"/>
                <w:szCs w:val="24"/>
              </w:rPr>
              <w:t xml:space="preserve">Chadderton </w:t>
            </w:r>
          </w:p>
        </w:tc>
      </w:tr>
      <w:tr w:rsidR="00417BAB" w:rsidRPr="00417BAB" w14:paraId="639FDDBA" w14:textId="77777777">
        <w:trPr>
          <w:trHeight w:val="93"/>
        </w:trPr>
        <w:tc>
          <w:tcPr>
            <w:tcW w:w="3598" w:type="dxa"/>
          </w:tcPr>
          <w:p w14:paraId="00EEC8F4" w14:textId="77777777" w:rsidR="00417BAB" w:rsidRPr="00417BAB" w:rsidRDefault="00417BAB" w:rsidP="00417BAB">
            <w:pPr>
              <w:jc w:val="both"/>
              <w:rPr>
                <w:sz w:val="22"/>
                <w:szCs w:val="24"/>
              </w:rPr>
            </w:pPr>
            <w:r w:rsidRPr="00417BAB">
              <w:rPr>
                <w:sz w:val="22"/>
                <w:szCs w:val="24"/>
              </w:rPr>
              <w:t xml:space="preserve">Oldham </w:t>
            </w:r>
          </w:p>
        </w:tc>
      </w:tr>
      <w:tr w:rsidR="00417BAB" w:rsidRPr="00417BAB" w14:paraId="2B49B6E3" w14:textId="77777777">
        <w:trPr>
          <w:trHeight w:val="93"/>
        </w:trPr>
        <w:tc>
          <w:tcPr>
            <w:tcW w:w="3598" w:type="dxa"/>
          </w:tcPr>
          <w:p w14:paraId="070A2568" w14:textId="77777777" w:rsidR="00417BAB" w:rsidRPr="00417BAB" w:rsidRDefault="00417BAB" w:rsidP="00417BAB">
            <w:pPr>
              <w:jc w:val="both"/>
              <w:rPr>
                <w:sz w:val="22"/>
                <w:szCs w:val="24"/>
              </w:rPr>
            </w:pPr>
            <w:r w:rsidRPr="00417BAB">
              <w:rPr>
                <w:sz w:val="22"/>
                <w:szCs w:val="24"/>
              </w:rPr>
              <w:t xml:space="preserve">OL9 9XA </w:t>
            </w:r>
          </w:p>
        </w:tc>
      </w:tr>
    </w:tbl>
    <w:p w14:paraId="557B37B8" w14:textId="77777777" w:rsidR="00417BAB" w:rsidRPr="00E72D6E" w:rsidRDefault="00417BAB" w:rsidP="00E72D6E">
      <w:pPr>
        <w:jc w:val="both"/>
        <w:rPr>
          <w:sz w:val="22"/>
          <w:szCs w:val="24"/>
        </w:rPr>
      </w:pPr>
    </w:p>
    <w:p w14:paraId="5F595124" w14:textId="77777777" w:rsidR="00E72D6E" w:rsidRDefault="00E72D6E" w:rsidP="00E72D6E">
      <w:pPr>
        <w:jc w:val="both"/>
        <w:rPr>
          <w:rFonts w:ascii="Arial" w:hAnsi="Arial" w:cs="Arial"/>
          <w:color w:val="000000"/>
          <w:lang w:eastAsia="en-GB"/>
        </w:rPr>
      </w:pPr>
    </w:p>
    <w:p w14:paraId="671C9810" w14:textId="77777777" w:rsidR="00E72D6E" w:rsidRDefault="00E72D6E" w:rsidP="00E72D6E">
      <w:pPr>
        <w:jc w:val="both"/>
        <w:rPr>
          <w:rFonts w:ascii="Arial" w:hAnsi="Arial" w:cs="Arial"/>
          <w:color w:val="000000"/>
          <w:lang w:eastAsia="en-GB"/>
        </w:rPr>
      </w:pPr>
    </w:p>
    <w:p w14:paraId="20D93347" w14:textId="3FCAF5B3" w:rsidR="001A4A7B" w:rsidRPr="00C448C1" w:rsidRDefault="006B7D04">
      <w:pPr>
        <w:overflowPunct/>
        <w:autoSpaceDE/>
        <w:autoSpaceDN/>
        <w:adjustRightInd/>
        <w:textAlignment w:val="auto"/>
        <w:rPr>
          <w:b/>
          <w:sz w:val="22"/>
          <w:szCs w:val="24"/>
        </w:rPr>
      </w:pPr>
      <w:r w:rsidRPr="00D80E25">
        <w:rPr>
          <w:b/>
          <w:sz w:val="22"/>
          <w:szCs w:val="24"/>
        </w:rPr>
        <w:t>28</w:t>
      </w:r>
      <w:r w:rsidR="005F2F51" w:rsidRPr="00D80E25">
        <w:rPr>
          <w:b/>
          <w:sz w:val="22"/>
          <w:szCs w:val="24"/>
        </w:rPr>
        <w:t xml:space="preserve"> </w:t>
      </w:r>
      <w:r w:rsidR="007D061B" w:rsidRPr="00D80E25">
        <w:rPr>
          <w:b/>
          <w:sz w:val="22"/>
          <w:szCs w:val="24"/>
        </w:rPr>
        <w:t>April</w:t>
      </w:r>
      <w:r w:rsidR="00BF56B7" w:rsidRPr="00D80E25">
        <w:rPr>
          <w:b/>
          <w:sz w:val="22"/>
          <w:szCs w:val="24"/>
        </w:rPr>
        <w:t xml:space="preserve"> </w:t>
      </w:r>
      <w:r w:rsidR="00EA37DE" w:rsidRPr="00D80E25">
        <w:rPr>
          <w:b/>
          <w:sz w:val="22"/>
          <w:szCs w:val="24"/>
        </w:rPr>
        <w:t>202</w:t>
      </w:r>
      <w:r w:rsidR="005F2F51" w:rsidRPr="00D80E25">
        <w:rPr>
          <w:b/>
          <w:sz w:val="22"/>
          <w:szCs w:val="24"/>
        </w:rPr>
        <w:t>1</w:t>
      </w:r>
    </w:p>
    <w:p w14:paraId="3AA48B46" w14:textId="44493791" w:rsidR="005C2BFD" w:rsidRPr="00AE6F2C" w:rsidRDefault="005C2BFD">
      <w:pPr>
        <w:overflowPunct/>
        <w:autoSpaceDE/>
        <w:autoSpaceDN/>
        <w:adjustRightInd/>
        <w:textAlignment w:val="auto"/>
        <w:rPr>
          <w:b/>
          <w:sz w:val="22"/>
          <w:szCs w:val="24"/>
          <w:highlight w:val="yellow"/>
        </w:rPr>
      </w:pPr>
    </w:p>
    <w:p w14:paraId="5DAC7028" w14:textId="1D43F47C" w:rsidR="005C2BFD" w:rsidRPr="00AE6F2C" w:rsidRDefault="005C2BFD">
      <w:pPr>
        <w:overflowPunct/>
        <w:autoSpaceDE/>
        <w:autoSpaceDN/>
        <w:adjustRightInd/>
        <w:textAlignment w:val="auto"/>
        <w:rPr>
          <w:b/>
          <w:sz w:val="22"/>
          <w:szCs w:val="24"/>
          <w:highlight w:val="yellow"/>
        </w:rPr>
      </w:pPr>
    </w:p>
    <w:p w14:paraId="320A9F4E" w14:textId="5306F8F6" w:rsidR="001E3BD1" w:rsidRDefault="001E3BD1" w:rsidP="00D91A89">
      <w:pPr>
        <w:overflowPunct/>
        <w:jc w:val="both"/>
        <w:textAlignment w:val="auto"/>
        <w:rPr>
          <w:b/>
        </w:rPr>
        <w:sectPr w:rsidR="001E3BD1" w:rsidSect="00D91A89">
          <w:headerReference w:type="default" r:id="rId22"/>
          <w:headerReference w:type="first" r:id="rId23"/>
          <w:pgSz w:w="11909" w:h="16834" w:code="9"/>
          <w:pgMar w:top="562" w:right="936" w:bottom="720" w:left="936" w:header="706" w:footer="706" w:gutter="0"/>
          <w:cols w:space="720"/>
          <w:titlePg/>
        </w:sectPr>
      </w:pPr>
    </w:p>
    <w:tbl>
      <w:tblPr>
        <w:tblW w:w="9568" w:type="dxa"/>
        <w:tblCellMar>
          <w:left w:w="0" w:type="dxa"/>
          <w:right w:w="0" w:type="dxa"/>
        </w:tblCellMar>
        <w:tblLook w:val="0000" w:firstRow="0" w:lastRow="0" w:firstColumn="0" w:lastColumn="0" w:noHBand="0" w:noVBand="0"/>
      </w:tblPr>
      <w:tblGrid>
        <w:gridCol w:w="5706"/>
        <w:gridCol w:w="713"/>
        <w:gridCol w:w="1696"/>
        <w:gridCol w:w="1453"/>
      </w:tblGrid>
      <w:tr w:rsidR="00743328" w:rsidRPr="0077396B" w14:paraId="3933BD15"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486F1454" w14:textId="77777777" w:rsidR="00743328" w:rsidRPr="0077396B" w:rsidRDefault="00743328" w:rsidP="00743328">
            <w:pPr>
              <w:rPr>
                <w:rFonts w:eastAsia="Arial Unicode MS"/>
                <w:sz w:val="22"/>
                <w:szCs w:val="22"/>
              </w:rPr>
            </w:pPr>
          </w:p>
        </w:tc>
        <w:tc>
          <w:tcPr>
            <w:tcW w:w="713" w:type="dxa"/>
            <w:tcBorders>
              <w:top w:val="nil"/>
              <w:left w:val="nil"/>
              <w:bottom w:val="nil"/>
              <w:right w:val="nil"/>
            </w:tcBorders>
            <w:noWrap/>
            <w:tcMar>
              <w:top w:w="15" w:type="dxa"/>
              <w:left w:w="15" w:type="dxa"/>
              <w:bottom w:w="0" w:type="dxa"/>
              <w:right w:w="15" w:type="dxa"/>
            </w:tcMar>
            <w:vAlign w:val="bottom"/>
          </w:tcPr>
          <w:p w14:paraId="686BC776" w14:textId="147DDD34" w:rsidR="00743328" w:rsidRPr="0077396B" w:rsidRDefault="00743328" w:rsidP="00743328">
            <w:pPr>
              <w:jc w:val="center"/>
              <w:rPr>
                <w:rFonts w:eastAsia="Arial Unicode MS"/>
                <w:b/>
                <w:bCs/>
                <w:sz w:val="22"/>
                <w:szCs w:val="22"/>
              </w:rPr>
            </w:pPr>
            <w:r w:rsidRPr="0077396B">
              <w:rPr>
                <w:b/>
                <w:bCs/>
                <w:sz w:val="22"/>
                <w:szCs w:val="22"/>
              </w:rPr>
              <w:t>Note</w:t>
            </w:r>
            <w:r w:rsidR="00B15D76">
              <w:rPr>
                <w:b/>
                <w:bCs/>
                <w:sz w:val="22"/>
                <w:szCs w:val="22"/>
              </w:rPr>
              <w:t>s</w:t>
            </w:r>
          </w:p>
        </w:tc>
        <w:tc>
          <w:tcPr>
            <w:tcW w:w="1696" w:type="dxa"/>
            <w:tcBorders>
              <w:top w:val="nil"/>
              <w:left w:val="nil"/>
              <w:bottom w:val="nil"/>
              <w:right w:val="nil"/>
            </w:tcBorders>
            <w:vAlign w:val="bottom"/>
          </w:tcPr>
          <w:p w14:paraId="09CFD7C2" w14:textId="567DBE8A" w:rsidR="00743328" w:rsidRPr="0077396B" w:rsidRDefault="005F2F51">
            <w:pPr>
              <w:ind w:right="110"/>
              <w:jc w:val="right"/>
              <w:rPr>
                <w:b/>
                <w:bCs/>
                <w:sz w:val="22"/>
                <w:szCs w:val="22"/>
              </w:rPr>
            </w:pPr>
            <w:r>
              <w:rPr>
                <w:b/>
                <w:bCs/>
                <w:sz w:val="22"/>
                <w:szCs w:val="22"/>
              </w:rPr>
              <w:t>Year</w:t>
            </w:r>
            <w:r w:rsidR="002B61AB">
              <w:rPr>
                <w:b/>
                <w:bCs/>
                <w:sz w:val="22"/>
                <w:szCs w:val="22"/>
              </w:rPr>
              <w:t xml:space="preserve"> to</w:t>
            </w:r>
          </w:p>
        </w:tc>
        <w:tc>
          <w:tcPr>
            <w:tcW w:w="1453" w:type="dxa"/>
            <w:tcBorders>
              <w:top w:val="nil"/>
              <w:left w:val="nil"/>
              <w:bottom w:val="nil"/>
              <w:right w:val="nil"/>
            </w:tcBorders>
            <w:noWrap/>
            <w:tcMar>
              <w:top w:w="15" w:type="dxa"/>
              <w:left w:w="15" w:type="dxa"/>
              <w:bottom w:w="0" w:type="dxa"/>
              <w:right w:w="15" w:type="dxa"/>
            </w:tcMar>
            <w:vAlign w:val="bottom"/>
          </w:tcPr>
          <w:p w14:paraId="0594D172" w14:textId="3103A9EC" w:rsidR="00743328" w:rsidRPr="0077396B" w:rsidRDefault="005F2F51" w:rsidP="00754973">
            <w:pPr>
              <w:ind w:right="110"/>
              <w:jc w:val="right"/>
              <w:rPr>
                <w:rFonts w:eastAsia="Arial Unicode MS"/>
                <w:b/>
                <w:bCs/>
                <w:sz w:val="22"/>
                <w:szCs w:val="22"/>
              </w:rPr>
            </w:pPr>
            <w:r>
              <w:rPr>
                <w:b/>
                <w:bCs/>
                <w:sz w:val="22"/>
                <w:szCs w:val="22"/>
              </w:rPr>
              <w:t>10-Month Period to</w:t>
            </w:r>
          </w:p>
        </w:tc>
      </w:tr>
      <w:tr w:rsidR="002B61AB" w:rsidRPr="0077396B" w14:paraId="4A454E6B"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4110E05F" w14:textId="77777777" w:rsidR="002B61AB" w:rsidRPr="0077396B" w:rsidRDefault="002B61AB" w:rsidP="00743328">
            <w:pPr>
              <w:rPr>
                <w:rFonts w:eastAsia="Arial Unicode MS"/>
                <w:sz w:val="22"/>
                <w:szCs w:val="22"/>
              </w:rPr>
            </w:pPr>
          </w:p>
        </w:tc>
        <w:tc>
          <w:tcPr>
            <w:tcW w:w="713" w:type="dxa"/>
            <w:tcBorders>
              <w:top w:val="nil"/>
              <w:left w:val="nil"/>
              <w:bottom w:val="nil"/>
              <w:right w:val="nil"/>
            </w:tcBorders>
            <w:noWrap/>
            <w:tcMar>
              <w:top w:w="15" w:type="dxa"/>
              <w:left w:w="15" w:type="dxa"/>
              <w:bottom w:w="0" w:type="dxa"/>
              <w:right w:w="15" w:type="dxa"/>
            </w:tcMar>
            <w:vAlign w:val="bottom"/>
          </w:tcPr>
          <w:p w14:paraId="3F7C7D65" w14:textId="77777777" w:rsidR="002B61AB" w:rsidRPr="0077396B" w:rsidRDefault="002B61AB" w:rsidP="00743328">
            <w:pPr>
              <w:jc w:val="center"/>
              <w:rPr>
                <w:b/>
                <w:bCs/>
                <w:sz w:val="22"/>
                <w:szCs w:val="22"/>
              </w:rPr>
            </w:pPr>
          </w:p>
        </w:tc>
        <w:tc>
          <w:tcPr>
            <w:tcW w:w="1696" w:type="dxa"/>
            <w:tcBorders>
              <w:top w:val="nil"/>
              <w:left w:val="nil"/>
              <w:bottom w:val="nil"/>
              <w:right w:val="nil"/>
            </w:tcBorders>
            <w:vAlign w:val="bottom"/>
          </w:tcPr>
          <w:p w14:paraId="25E36036" w14:textId="749A8AE3" w:rsidR="002B61AB" w:rsidRPr="0077396B" w:rsidRDefault="002B61AB">
            <w:pPr>
              <w:ind w:right="110"/>
              <w:jc w:val="right"/>
              <w:rPr>
                <w:b/>
                <w:bCs/>
                <w:sz w:val="22"/>
                <w:szCs w:val="22"/>
              </w:rPr>
            </w:pPr>
            <w:r>
              <w:rPr>
                <w:b/>
                <w:bCs/>
                <w:sz w:val="22"/>
                <w:szCs w:val="22"/>
              </w:rPr>
              <w:t>31 December 20</w:t>
            </w:r>
            <w:r w:rsidR="005F2F51">
              <w:rPr>
                <w:b/>
                <w:bCs/>
                <w:sz w:val="22"/>
                <w:szCs w:val="22"/>
              </w:rPr>
              <w:t>20</w:t>
            </w:r>
          </w:p>
        </w:tc>
        <w:tc>
          <w:tcPr>
            <w:tcW w:w="1453" w:type="dxa"/>
            <w:tcBorders>
              <w:top w:val="nil"/>
              <w:left w:val="nil"/>
              <w:bottom w:val="nil"/>
              <w:right w:val="nil"/>
            </w:tcBorders>
            <w:noWrap/>
            <w:tcMar>
              <w:top w:w="15" w:type="dxa"/>
              <w:left w:w="15" w:type="dxa"/>
              <w:bottom w:w="0" w:type="dxa"/>
              <w:right w:w="15" w:type="dxa"/>
            </w:tcMar>
            <w:vAlign w:val="bottom"/>
          </w:tcPr>
          <w:p w14:paraId="1EEECD43" w14:textId="67CF2398" w:rsidR="002B61AB" w:rsidRPr="0077396B" w:rsidRDefault="005F2F51" w:rsidP="00754973">
            <w:pPr>
              <w:ind w:right="110"/>
              <w:jc w:val="right"/>
              <w:rPr>
                <w:b/>
                <w:bCs/>
                <w:sz w:val="22"/>
                <w:szCs w:val="22"/>
              </w:rPr>
            </w:pPr>
            <w:r>
              <w:rPr>
                <w:b/>
                <w:bCs/>
                <w:sz w:val="22"/>
                <w:szCs w:val="22"/>
              </w:rPr>
              <w:t>31 December 2019</w:t>
            </w:r>
          </w:p>
        </w:tc>
      </w:tr>
      <w:tr w:rsidR="00744595" w:rsidRPr="0077396B" w14:paraId="771FE019"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10E9B116" w14:textId="77777777" w:rsidR="00744595" w:rsidRPr="0077396B" w:rsidRDefault="00744595">
            <w:pPr>
              <w:rPr>
                <w:rFonts w:eastAsia="Arial Unicode MS"/>
                <w:sz w:val="22"/>
                <w:szCs w:val="22"/>
              </w:rPr>
            </w:pPr>
          </w:p>
        </w:tc>
        <w:tc>
          <w:tcPr>
            <w:tcW w:w="713" w:type="dxa"/>
            <w:tcBorders>
              <w:top w:val="nil"/>
              <w:left w:val="nil"/>
              <w:bottom w:val="nil"/>
              <w:right w:val="nil"/>
            </w:tcBorders>
            <w:noWrap/>
            <w:tcMar>
              <w:top w:w="15" w:type="dxa"/>
              <w:left w:w="15" w:type="dxa"/>
              <w:bottom w:w="0" w:type="dxa"/>
              <w:right w:w="15" w:type="dxa"/>
            </w:tcMar>
            <w:vAlign w:val="bottom"/>
          </w:tcPr>
          <w:p w14:paraId="703B6664" w14:textId="77777777" w:rsidR="00744595" w:rsidRPr="0077396B" w:rsidRDefault="00744595">
            <w:pPr>
              <w:jc w:val="center"/>
              <w:rPr>
                <w:rFonts w:eastAsia="Arial Unicode MS"/>
                <w:sz w:val="22"/>
                <w:szCs w:val="22"/>
              </w:rPr>
            </w:pPr>
          </w:p>
        </w:tc>
        <w:tc>
          <w:tcPr>
            <w:tcW w:w="1696" w:type="dxa"/>
            <w:tcBorders>
              <w:top w:val="nil"/>
              <w:left w:val="nil"/>
              <w:bottom w:val="nil"/>
              <w:right w:val="nil"/>
            </w:tcBorders>
          </w:tcPr>
          <w:p w14:paraId="31D3FC85" w14:textId="77777777" w:rsidR="00744595" w:rsidRPr="0077396B" w:rsidRDefault="00744595" w:rsidP="00FA4086">
            <w:pPr>
              <w:ind w:right="110"/>
              <w:jc w:val="right"/>
              <w:rPr>
                <w:b/>
                <w:bCs/>
                <w:sz w:val="22"/>
                <w:szCs w:val="22"/>
              </w:rPr>
            </w:pPr>
            <w:r w:rsidRPr="0077396B">
              <w:rPr>
                <w:b/>
                <w:bCs/>
                <w:sz w:val="22"/>
                <w:szCs w:val="22"/>
              </w:rPr>
              <w:t>£</w:t>
            </w:r>
          </w:p>
        </w:tc>
        <w:tc>
          <w:tcPr>
            <w:tcW w:w="1453" w:type="dxa"/>
            <w:tcBorders>
              <w:top w:val="nil"/>
              <w:left w:val="nil"/>
              <w:bottom w:val="nil"/>
              <w:right w:val="nil"/>
            </w:tcBorders>
            <w:noWrap/>
            <w:tcMar>
              <w:top w:w="15" w:type="dxa"/>
              <w:left w:w="15" w:type="dxa"/>
              <w:bottom w:w="0" w:type="dxa"/>
              <w:right w:w="15" w:type="dxa"/>
            </w:tcMar>
            <w:vAlign w:val="bottom"/>
          </w:tcPr>
          <w:p w14:paraId="2C8B4D43" w14:textId="77777777" w:rsidR="00744595" w:rsidRPr="0077396B" w:rsidRDefault="00744595" w:rsidP="00FA4086">
            <w:pPr>
              <w:ind w:right="110"/>
              <w:jc w:val="right"/>
              <w:rPr>
                <w:rFonts w:eastAsia="Arial Unicode MS"/>
                <w:b/>
                <w:bCs/>
                <w:sz w:val="22"/>
                <w:szCs w:val="22"/>
              </w:rPr>
            </w:pPr>
            <w:r w:rsidRPr="0077396B">
              <w:rPr>
                <w:b/>
                <w:bCs/>
                <w:sz w:val="22"/>
                <w:szCs w:val="22"/>
              </w:rPr>
              <w:t>£</w:t>
            </w:r>
          </w:p>
        </w:tc>
      </w:tr>
      <w:tr w:rsidR="00744595" w:rsidRPr="0077396B" w14:paraId="1A6E0226"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1CE51A57" w14:textId="77777777" w:rsidR="00744595" w:rsidRPr="0077396B" w:rsidRDefault="00744595" w:rsidP="00FA4086">
            <w:pPr>
              <w:rPr>
                <w:rFonts w:eastAsia="Arial Unicode MS"/>
                <w:sz w:val="22"/>
                <w:szCs w:val="22"/>
              </w:rPr>
            </w:pPr>
            <w:r w:rsidRPr="0077396B">
              <w:rPr>
                <w:b/>
                <w:bCs/>
                <w:sz w:val="22"/>
                <w:szCs w:val="22"/>
              </w:rPr>
              <w:t>Revenue</w:t>
            </w:r>
          </w:p>
        </w:tc>
        <w:tc>
          <w:tcPr>
            <w:tcW w:w="713" w:type="dxa"/>
            <w:tcBorders>
              <w:top w:val="nil"/>
              <w:left w:val="nil"/>
              <w:bottom w:val="nil"/>
              <w:right w:val="nil"/>
            </w:tcBorders>
            <w:noWrap/>
            <w:tcMar>
              <w:top w:w="15" w:type="dxa"/>
              <w:left w:w="15" w:type="dxa"/>
              <w:bottom w:w="0" w:type="dxa"/>
              <w:right w:w="15" w:type="dxa"/>
            </w:tcMar>
            <w:vAlign w:val="bottom"/>
          </w:tcPr>
          <w:p w14:paraId="1C304DCE" w14:textId="77777777" w:rsidR="00744595" w:rsidRPr="0077396B" w:rsidRDefault="00744595" w:rsidP="00FA4086">
            <w:pPr>
              <w:rPr>
                <w:rFonts w:eastAsia="Arial Unicode MS"/>
                <w:sz w:val="22"/>
                <w:szCs w:val="22"/>
              </w:rPr>
            </w:pPr>
          </w:p>
        </w:tc>
        <w:tc>
          <w:tcPr>
            <w:tcW w:w="1696" w:type="dxa"/>
            <w:tcBorders>
              <w:top w:val="nil"/>
              <w:left w:val="nil"/>
              <w:bottom w:val="nil"/>
              <w:right w:val="nil"/>
            </w:tcBorders>
            <w:vAlign w:val="center"/>
          </w:tcPr>
          <w:p w14:paraId="04259548" w14:textId="77777777" w:rsidR="00744595" w:rsidRPr="0077396B" w:rsidRDefault="00744595" w:rsidP="00D164E1">
            <w:pPr>
              <w:ind w:right="110"/>
              <w:jc w:val="right"/>
              <w:rPr>
                <w:sz w:val="22"/>
                <w:szCs w:val="22"/>
              </w:rPr>
            </w:pPr>
            <w:r w:rsidRPr="0077396B">
              <w:rPr>
                <w:sz w:val="22"/>
                <w:szCs w:val="22"/>
              </w:rPr>
              <w:t>-</w:t>
            </w:r>
          </w:p>
        </w:tc>
        <w:tc>
          <w:tcPr>
            <w:tcW w:w="1453" w:type="dxa"/>
            <w:tcBorders>
              <w:top w:val="nil"/>
              <w:left w:val="nil"/>
              <w:bottom w:val="nil"/>
              <w:right w:val="nil"/>
            </w:tcBorders>
            <w:noWrap/>
            <w:tcMar>
              <w:top w:w="15" w:type="dxa"/>
              <w:left w:w="15" w:type="dxa"/>
              <w:bottom w:w="0" w:type="dxa"/>
              <w:right w:w="15" w:type="dxa"/>
            </w:tcMar>
            <w:vAlign w:val="center"/>
          </w:tcPr>
          <w:p w14:paraId="30DC9C89" w14:textId="77777777" w:rsidR="00744595" w:rsidRPr="0077396B" w:rsidRDefault="00744595" w:rsidP="00D164E1">
            <w:pPr>
              <w:ind w:right="110"/>
              <w:jc w:val="right"/>
              <w:rPr>
                <w:rFonts w:eastAsia="Arial Unicode MS"/>
                <w:sz w:val="22"/>
                <w:szCs w:val="22"/>
              </w:rPr>
            </w:pPr>
            <w:r w:rsidRPr="0077396B">
              <w:rPr>
                <w:sz w:val="22"/>
                <w:szCs w:val="22"/>
              </w:rPr>
              <w:t>-</w:t>
            </w:r>
          </w:p>
        </w:tc>
      </w:tr>
      <w:tr w:rsidR="00744595" w:rsidRPr="0077396B" w14:paraId="3E2721BE"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09551F22" w14:textId="77777777" w:rsidR="00744595" w:rsidRPr="0077396B" w:rsidRDefault="00744595" w:rsidP="00FA4086">
            <w:pPr>
              <w:rPr>
                <w:rFonts w:eastAsia="Arial Unicode MS"/>
                <w:sz w:val="22"/>
                <w:szCs w:val="22"/>
              </w:rPr>
            </w:pPr>
            <w:r w:rsidRPr="0077396B">
              <w:rPr>
                <w:b/>
                <w:bCs/>
                <w:sz w:val="22"/>
                <w:szCs w:val="22"/>
              </w:rPr>
              <w:t>Cost of sales</w:t>
            </w:r>
          </w:p>
        </w:tc>
        <w:tc>
          <w:tcPr>
            <w:tcW w:w="713" w:type="dxa"/>
            <w:tcBorders>
              <w:top w:val="nil"/>
              <w:left w:val="nil"/>
              <w:bottom w:val="nil"/>
              <w:right w:val="nil"/>
            </w:tcBorders>
            <w:noWrap/>
            <w:tcMar>
              <w:top w:w="15" w:type="dxa"/>
              <w:left w:w="15" w:type="dxa"/>
              <w:bottom w:w="0" w:type="dxa"/>
              <w:right w:w="15" w:type="dxa"/>
            </w:tcMar>
            <w:vAlign w:val="bottom"/>
          </w:tcPr>
          <w:p w14:paraId="21981F17" w14:textId="77777777" w:rsidR="00744595" w:rsidRPr="0077396B" w:rsidRDefault="00744595" w:rsidP="00FA4086">
            <w:pPr>
              <w:rPr>
                <w:rFonts w:eastAsia="Arial Unicode MS"/>
                <w:sz w:val="22"/>
                <w:szCs w:val="22"/>
              </w:rPr>
            </w:pPr>
          </w:p>
        </w:tc>
        <w:tc>
          <w:tcPr>
            <w:tcW w:w="1696" w:type="dxa"/>
            <w:tcBorders>
              <w:top w:val="nil"/>
              <w:left w:val="nil"/>
              <w:bottom w:val="single" w:sz="4" w:space="0" w:color="auto"/>
              <w:right w:val="nil"/>
            </w:tcBorders>
            <w:vAlign w:val="center"/>
          </w:tcPr>
          <w:p w14:paraId="63ED709F" w14:textId="77777777" w:rsidR="00744595" w:rsidRPr="0077396B" w:rsidRDefault="00744595" w:rsidP="00D164E1">
            <w:pPr>
              <w:ind w:right="110"/>
              <w:jc w:val="right"/>
              <w:rPr>
                <w:sz w:val="22"/>
                <w:szCs w:val="22"/>
              </w:rPr>
            </w:pPr>
            <w:r w:rsidRPr="0077396B">
              <w:rPr>
                <w:sz w:val="22"/>
                <w:szCs w:val="22"/>
              </w:rPr>
              <w:t>-</w:t>
            </w:r>
          </w:p>
        </w:tc>
        <w:tc>
          <w:tcPr>
            <w:tcW w:w="1453" w:type="dxa"/>
            <w:tcBorders>
              <w:top w:val="nil"/>
              <w:left w:val="nil"/>
              <w:bottom w:val="single" w:sz="4" w:space="0" w:color="auto"/>
              <w:right w:val="nil"/>
            </w:tcBorders>
            <w:noWrap/>
            <w:tcMar>
              <w:top w:w="15" w:type="dxa"/>
              <w:left w:w="15" w:type="dxa"/>
              <w:bottom w:w="0" w:type="dxa"/>
              <w:right w:w="15" w:type="dxa"/>
            </w:tcMar>
            <w:vAlign w:val="center"/>
          </w:tcPr>
          <w:p w14:paraId="2706779A" w14:textId="77777777" w:rsidR="00744595" w:rsidRPr="0077396B" w:rsidRDefault="00744595" w:rsidP="00D164E1">
            <w:pPr>
              <w:ind w:right="110"/>
              <w:jc w:val="right"/>
              <w:rPr>
                <w:rFonts w:eastAsia="Arial Unicode MS"/>
                <w:sz w:val="22"/>
                <w:szCs w:val="22"/>
              </w:rPr>
            </w:pPr>
            <w:r w:rsidRPr="0077396B">
              <w:rPr>
                <w:sz w:val="22"/>
                <w:szCs w:val="22"/>
              </w:rPr>
              <w:t>-</w:t>
            </w:r>
          </w:p>
        </w:tc>
      </w:tr>
      <w:tr w:rsidR="00744595" w:rsidRPr="0077396B" w14:paraId="43E82BEC" w14:textId="77777777" w:rsidTr="00481F93">
        <w:trPr>
          <w:trHeight w:val="313"/>
        </w:trPr>
        <w:tc>
          <w:tcPr>
            <w:tcW w:w="5706" w:type="dxa"/>
            <w:tcBorders>
              <w:top w:val="nil"/>
              <w:left w:val="nil"/>
              <w:right w:val="nil"/>
            </w:tcBorders>
            <w:noWrap/>
            <w:tcMar>
              <w:top w:w="15" w:type="dxa"/>
              <w:left w:w="15" w:type="dxa"/>
              <w:bottom w:w="0" w:type="dxa"/>
              <w:right w:w="15" w:type="dxa"/>
            </w:tcMar>
            <w:vAlign w:val="bottom"/>
          </w:tcPr>
          <w:p w14:paraId="7E4644D8" w14:textId="77777777" w:rsidR="00744595" w:rsidRPr="0077396B" w:rsidRDefault="00744595" w:rsidP="00FA4086">
            <w:pPr>
              <w:rPr>
                <w:rFonts w:eastAsia="Arial Unicode MS"/>
                <w:sz w:val="22"/>
                <w:szCs w:val="22"/>
              </w:rPr>
            </w:pPr>
            <w:r w:rsidRPr="0077396B">
              <w:rPr>
                <w:b/>
                <w:bCs/>
                <w:sz w:val="22"/>
                <w:szCs w:val="22"/>
              </w:rPr>
              <w:t>Gross loss</w:t>
            </w:r>
          </w:p>
        </w:tc>
        <w:tc>
          <w:tcPr>
            <w:tcW w:w="713" w:type="dxa"/>
            <w:tcBorders>
              <w:top w:val="nil"/>
              <w:left w:val="nil"/>
              <w:right w:val="nil"/>
            </w:tcBorders>
            <w:noWrap/>
            <w:tcMar>
              <w:top w:w="15" w:type="dxa"/>
              <w:left w:w="15" w:type="dxa"/>
              <w:bottom w:w="0" w:type="dxa"/>
              <w:right w:w="15" w:type="dxa"/>
            </w:tcMar>
            <w:vAlign w:val="bottom"/>
          </w:tcPr>
          <w:p w14:paraId="68CC15F7" w14:textId="77777777" w:rsidR="00744595" w:rsidRPr="0077396B" w:rsidRDefault="00744595" w:rsidP="00FA4086">
            <w:pPr>
              <w:rPr>
                <w:rFonts w:eastAsia="Arial Unicode MS"/>
                <w:sz w:val="22"/>
                <w:szCs w:val="22"/>
              </w:rPr>
            </w:pPr>
          </w:p>
        </w:tc>
        <w:tc>
          <w:tcPr>
            <w:tcW w:w="1696" w:type="dxa"/>
            <w:tcBorders>
              <w:top w:val="nil"/>
              <w:left w:val="nil"/>
              <w:right w:val="nil"/>
            </w:tcBorders>
            <w:vAlign w:val="center"/>
          </w:tcPr>
          <w:p w14:paraId="78739C8A" w14:textId="77777777" w:rsidR="00744595" w:rsidRPr="0077396B" w:rsidRDefault="00744595" w:rsidP="00D164E1">
            <w:pPr>
              <w:ind w:right="110"/>
              <w:jc w:val="right"/>
              <w:rPr>
                <w:sz w:val="22"/>
                <w:szCs w:val="22"/>
              </w:rPr>
            </w:pPr>
            <w:r w:rsidRPr="0077396B">
              <w:rPr>
                <w:sz w:val="22"/>
                <w:szCs w:val="22"/>
              </w:rPr>
              <w:t>-</w:t>
            </w:r>
          </w:p>
        </w:tc>
        <w:tc>
          <w:tcPr>
            <w:tcW w:w="1453" w:type="dxa"/>
            <w:tcBorders>
              <w:top w:val="nil"/>
              <w:left w:val="nil"/>
              <w:right w:val="nil"/>
            </w:tcBorders>
            <w:noWrap/>
            <w:tcMar>
              <w:top w:w="15" w:type="dxa"/>
              <w:left w:w="15" w:type="dxa"/>
              <w:bottom w:w="0" w:type="dxa"/>
              <w:right w:w="15" w:type="dxa"/>
            </w:tcMar>
            <w:vAlign w:val="center"/>
          </w:tcPr>
          <w:p w14:paraId="064944FC" w14:textId="77777777" w:rsidR="00744595" w:rsidRPr="0077396B" w:rsidRDefault="00744595" w:rsidP="00D164E1">
            <w:pPr>
              <w:ind w:right="110"/>
              <w:jc w:val="right"/>
              <w:rPr>
                <w:rFonts w:eastAsia="Arial Unicode MS"/>
                <w:sz w:val="22"/>
                <w:szCs w:val="22"/>
              </w:rPr>
            </w:pPr>
            <w:r w:rsidRPr="0077396B">
              <w:rPr>
                <w:sz w:val="22"/>
                <w:szCs w:val="22"/>
              </w:rPr>
              <w:t>-</w:t>
            </w:r>
          </w:p>
        </w:tc>
      </w:tr>
      <w:tr w:rsidR="00FA4086" w:rsidRPr="0077396B" w14:paraId="63C35482" w14:textId="77777777" w:rsidTr="00481F93">
        <w:trPr>
          <w:trHeight w:val="313"/>
        </w:trPr>
        <w:tc>
          <w:tcPr>
            <w:tcW w:w="0" w:type="auto"/>
            <w:tcBorders>
              <w:bottom w:val="nil"/>
              <w:right w:val="nil"/>
            </w:tcBorders>
            <w:noWrap/>
            <w:tcMar>
              <w:top w:w="15" w:type="dxa"/>
              <w:left w:w="15" w:type="dxa"/>
              <w:bottom w:w="0" w:type="dxa"/>
              <w:right w:w="15" w:type="dxa"/>
            </w:tcMar>
            <w:vAlign w:val="bottom"/>
          </w:tcPr>
          <w:p w14:paraId="3CE9D54D" w14:textId="23D33D1D" w:rsidR="00FA4086" w:rsidRPr="0077396B" w:rsidRDefault="00795E46" w:rsidP="00FA4086">
            <w:pPr>
              <w:rPr>
                <w:rFonts w:eastAsia="Arial Unicode MS"/>
                <w:sz w:val="22"/>
                <w:szCs w:val="22"/>
              </w:rPr>
            </w:pPr>
            <w:r>
              <w:rPr>
                <w:sz w:val="22"/>
                <w:szCs w:val="22"/>
              </w:rPr>
              <w:t>A</w:t>
            </w:r>
            <w:r w:rsidR="00FA4086" w:rsidRPr="0077396B">
              <w:rPr>
                <w:sz w:val="22"/>
                <w:szCs w:val="22"/>
              </w:rPr>
              <w:t>dministrative expenses</w:t>
            </w:r>
          </w:p>
        </w:tc>
        <w:tc>
          <w:tcPr>
            <w:tcW w:w="713" w:type="dxa"/>
            <w:tcBorders>
              <w:left w:val="nil"/>
              <w:bottom w:val="nil"/>
              <w:right w:val="nil"/>
            </w:tcBorders>
            <w:noWrap/>
            <w:tcMar>
              <w:top w:w="15" w:type="dxa"/>
              <w:left w:w="15" w:type="dxa"/>
              <w:bottom w:w="0" w:type="dxa"/>
              <w:right w:w="15" w:type="dxa"/>
            </w:tcMar>
            <w:vAlign w:val="bottom"/>
          </w:tcPr>
          <w:p w14:paraId="71A8B945" w14:textId="7E4A20C2" w:rsidR="00FA4086" w:rsidRPr="0077396B" w:rsidRDefault="00FA4086" w:rsidP="005C2BFD">
            <w:pPr>
              <w:jc w:val="center"/>
              <w:rPr>
                <w:rFonts w:eastAsia="Arial Unicode MS"/>
                <w:sz w:val="22"/>
                <w:szCs w:val="22"/>
              </w:rPr>
            </w:pPr>
          </w:p>
        </w:tc>
        <w:tc>
          <w:tcPr>
            <w:tcW w:w="1696" w:type="dxa"/>
            <w:tcBorders>
              <w:left w:val="nil"/>
              <w:bottom w:val="nil"/>
              <w:right w:val="nil"/>
            </w:tcBorders>
            <w:vAlign w:val="center"/>
          </w:tcPr>
          <w:p w14:paraId="70D88526" w14:textId="3FB12F2F" w:rsidR="00FA4086" w:rsidRPr="006D56BD" w:rsidRDefault="006406CF" w:rsidP="00B529FB">
            <w:pPr>
              <w:ind w:right="110"/>
              <w:jc w:val="right"/>
              <w:rPr>
                <w:sz w:val="22"/>
                <w:szCs w:val="22"/>
              </w:rPr>
            </w:pPr>
            <w:r>
              <w:rPr>
                <w:sz w:val="22"/>
                <w:szCs w:val="22"/>
              </w:rPr>
              <w:t>(</w:t>
            </w:r>
            <w:r w:rsidR="00415F6A">
              <w:rPr>
                <w:sz w:val="22"/>
                <w:szCs w:val="22"/>
              </w:rPr>
              <w:t>829,267</w:t>
            </w:r>
            <w:r>
              <w:rPr>
                <w:sz w:val="22"/>
                <w:szCs w:val="22"/>
              </w:rPr>
              <w:t>)</w:t>
            </w:r>
          </w:p>
        </w:tc>
        <w:tc>
          <w:tcPr>
            <w:tcW w:w="1453" w:type="dxa"/>
            <w:tcBorders>
              <w:left w:val="nil"/>
              <w:bottom w:val="nil"/>
            </w:tcBorders>
            <w:noWrap/>
            <w:tcMar>
              <w:top w:w="15" w:type="dxa"/>
              <w:left w:w="15" w:type="dxa"/>
              <w:bottom w:w="0" w:type="dxa"/>
              <w:right w:w="15" w:type="dxa"/>
            </w:tcMar>
            <w:vAlign w:val="center"/>
          </w:tcPr>
          <w:p w14:paraId="3D78F106" w14:textId="10956540" w:rsidR="00FA4086" w:rsidRPr="0077396B" w:rsidRDefault="00FA4086" w:rsidP="00754973">
            <w:pPr>
              <w:ind w:right="110"/>
              <w:jc w:val="right"/>
              <w:rPr>
                <w:rFonts w:eastAsia="Arial Unicode MS"/>
                <w:sz w:val="22"/>
                <w:szCs w:val="22"/>
              </w:rPr>
            </w:pPr>
            <w:r w:rsidRPr="0077396B">
              <w:rPr>
                <w:sz w:val="22"/>
                <w:szCs w:val="22"/>
              </w:rPr>
              <w:t>(</w:t>
            </w:r>
            <w:r w:rsidR="005F2F51">
              <w:rPr>
                <w:sz w:val="22"/>
                <w:szCs w:val="22"/>
              </w:rPr>
              <w:t>594,140</w:t>
            </w:r>
            <w:r w:rsidRPr="0077396B">
              <w:rPr>
                <w:sz w:val="22"/>
                <w:szCs w:val="22"/>
              </w:rPr>
              <w:t>)</w:t>
            </w:r>
          </w:p>
        </w:tc>
      </w:tr>
      <w:tr w:rsidR="00546BDB" w:rsidRPr="0077396B" w14:paraId="0F4504B5" w14:textId="77777777" w:rsidTr="00481F93">
        <w:trPr>
          <w:trHeight w:val="313"/>
        </w:trPr>
        <w:tc>
          <w:tcPr>
            <w:tcW w:w="0" w:type="auto"/>
            <w:tcBorders>
              <w:bottom w:val="nil"/>
              <w:right w:val="nil"/>
            </w:tcBorders>
            <w:noWrap/>
            <w:tcMar>
              <w:top w:w="15" w:type="dxa"/>
              <w:left w:w="15" w:type="dxa"/>
              <w:bottom w:w="0" w:type="dxa"/>
              <w:right w:w="15" w:type="dxa"/>
            </w:tcMar>
            <w:vAlign w:val="bottom"/>
          </w:tcPr>
          <w:p w14:paraId="59E5E444" w14:textId="500D6650" w:rsidR="00546BDB" w:rsidRDefault="00397A87" w:rsidP="00FA4086">
            <w:pPr>
              <w:rPr>
                <w:sz w:val="22"/>
                <w:szCs w:val="22"/>
              </w:rPr>
            </w:pPr>
            <w:r>
              <w:rPr>
                <w:sz w:val="22"/>
                <w:szCs w:val="22"/>
              </w:rPr>
              <w:t>Other operating income</w:t>
            </w:r>
          </w:p>
        </w:tc>
        <w:tc>
          <w:tcPr>
            <w:tcW w:w="713" w:type="dxa"/>
            <w:tcBorders>
              <w:left w:val="nil"/>
              <w:bottom w:val="nil"/>
              <w:right w:val="nil"/>
            </w:tcBorders>
            <w:noWrap/>
            <w:tcMar>
              <w:top w:w="15" w:type="dxa"/>
              <w:left w:w="15" w:type="dxa"/>
              <w:bottom w:w="0" w:type="dxa"/>
              <w:right w:w="15" w:type="dxa"/>
            </w:tcMar>
            <w:vAlign w:val="bottom"/>
          </w:tcPr>
          <w:p w14:paraId="6372F94A" w14:textId="770954F0" w:rsidR="00546BDB" w:rsidRPr="00533364" w:rsidRDefault="00546BDB" w:rsidP="005C2BFD">
            <w:pPr>
              <w:jc w:val="center"/>
              <w:rPr>
                <w:b/>
                <w:sz w:val="22"/>
                <w:szCs w:val="22"/>
              </w:rPr>
            </w:pPr>
          </w:p>
        </w:tc>
        <w:tc>
          <w:tcPr>
            <w:tcW w:w="1696" w:type="dxa"/>
            <w:tcBorders>
              <w:left w:val="nil"/>
              <w:bottom w:val="nil"/>
              <w:right w:val="nil"/>
            </w:tcBorders>
            <w:vAlign w:val="center"/>
          </w:tcPr>
          <w:p w14:paraId="4CD27E00" w14:textId="74E1C821" w:rsidR="00546BDB" w:rsidRDefault="00415F6A" w:rsidP="00B529FB">
            <w:pPr>
              <w:ind w:right="110"/>
              <w:jc w:val="right"/>
              <w:rPr>
                <w:sz w:val="22"/>
                <w:szCs w:val="22"/>
              </w:rPr>
            </w:pPr>
            <w:r>
              <w:rPr>
                <w:sz w:val="22"/>
                <w:szCs w:val="22"/>
              </w:rPr>
              <w:t>19,134</w:t>
            </w:r>
          </w:p>
        </w:tc>
        <w:tc>
          <w:tcPr>
            <w:tcW w:w="1453" w:type="dxa"/>
            <w:tcBorders>
              <w:left w:val="nil"/>
              <w:bottom w:val="nil"/>
            </w:tcBorders>
            <w:noWrap/>
            <w:tcMar>
              <w:top w:w="15" w:type="dxa"/>
              <w:left w:w="15" w:type="dxa"/>
              <w:bottom w:w="0" w:type="dxa"/>
              <w:right w:w="15" w:type="dxa"/>
            </w:tcMar>
            <w:vAlign w:val="center"/>
          </w:tcPr>
          <w:p w14:paraId="423891FA" w14:textId="4E59F25C" w:rsidR="00546BDB" w:rsidRPr="0077396B" w:rsidRDefault="005F2F51" w:rsidP="00754973">
            <w:pPr>
              <w:ind w:right="110"/>
              <w:jc w:val="right"/>
              <w:rPr>
                <w:sz w:val="22"/>
                <w:szCs w:val="22"/>
              </w:rPr>
            </w:pPr>
            <w:r>
              <w:rPr>
                <w:sz w:val="22"/>
                <w:szCs w:val="22"/>
              </w:rPr>
              <w:t>9,285</w:t>
            </w:r>
          </w:p>
        </w:tc>
      </w:tr>
      <w:tr w:rsidR="00FA4086" w:rsidRPr="0077396B" w14:paraId="47E3455F" w14:textId="77777777" w:rsidTr="00481F93">
        <w:trPr>
          <w:trHeight w:val="313"/>
        </w:trPr>
        <w:tc>
          <w:tcPr>
            <w:tcW w:w="0" w:type="auto"/>
            <w:tcBorders>
              <w:left w:val="nil"/>
              <w:bottom w:val="nil"/>
              <w:right w:val="nil"/>
            </w:tcBorders>
            <w:noWrap/>
            <w:tcMar>
              <w:top w:w="15" w:type="dxa"/>
              <w:left w:w="15" w:type="dxa"/>
              <w:bottom w:w="0" w:type="dxa"/>
              <w:right w:w="15" w:type="dxa"/>
            </w:tcMar>
            <w:vAlign w:val="bottom"/>
          </w:tcPr>
          <w:p w14:paraId="2C2DAD2E" w14:textId="04E70A59" w:rsidR="00FA4086" w:rsidRPr="0077396B" w:rsidRDefault="00FA4086">
            <w:pPr>
              <w:rPr>
                <w:rFonts w:eastAsia="Arial Unicode MS"/>
                <w:b/>
                <w:bCs/>
                <w:sz w:val="22"/>
                <w:szCs w:val="22"/>
              </w:rPr>
            </w:pPr>
            <w:r w:rsidRPr="0077396B">
              <w:rPr>
                <w:b/>
                <w:bCs/>
                <w:sz w:val="22"/>
                <w:szCs w:val="22"/>
              </w:rPr>
              <w:t>Operating loss</w:t>
            </w:r>
          </w:p>
        </w:tc>
        <w:tc>
          <w:tcPr>
            <w:tcW w:w="713" w:type="dxa"/>
            <w:tcBorders>
              <w:left w:val="nil"/>
              <w:bottom w:val="nil"/>
              <w:right w:val="nil"/>
            </w:tcBorders>
            <w:noWrap/>
            <w:tcMar>
              <w:top w:w="15" w:type="dxa"/>
              <w:left w:w="15" w:type="dxa"/>
              <w:bottom w:w="0" w:type="dxa"/>
              <w:right w:w="15" w:type="dxa"/>
            </w:tcMar>
            <w:vAlign w:val="bottom"/>
          </w:tcPr>
          <w:p w14:paraId="6F599620" w14:textId="3C0C6C1B" w:rsidR="00FA4086" w:rsidRPr="00533364" w:rsidRDefault="00533364" w:rsidP="00FA4086">
            <w:pPr>
              <w:jc w:val="center"/>
              <w:rPr>
                <w:rFonts w:eastAsia="Arial Unicode MS"/>
                <w:b/>
                <w:bCs/>
                <w:sz w:val="22"/>
                <w:szCs w:val="22"/>
              </w:rPr>
            </w:pPr>
            <w:r w:rsidRPr="00533364">
              <w:rPr>
                <w:rFonts w:eastAsia="Arial Unicode MS"/>
                <w:b/>
                <w:bCs/>
                <w:sz w:val="22"/>
                <w:szCs w:val="22"/>
              </w:rPr>
              <w:t>2</w:t>
            </w:r>
          </w:p>
        </w:tc>
        <w:tc>
          <w:tcPr>
            <w:tcW w:w="1696" w:type="dxa"/>
            <w:tcBorders>
              <w:top w:val="single" w:sz="4" w:space="0" w:color="auto"/>
              <w:left w:val="nil"/>
              <w:bottom w:val="nil"/>
              <w:right w:val="nil"/>
            </w:tcBorders>
            <w:vAlign w:val="center"/>
          </w:tcPr>
          <w:p w14:paraId="5AE1305A" w14:textId="21ADC573" w:rsidR="00FA4086" w:rsidRPr="006D56BD" w:rsidRDefault="001C2A2F">
            <w:pPr>
              <w:ind w:right="110"/>
              <w:jc w:val="right"/>
              <w:rPr>
                <w:sz w:val="22"/>
                <w:szCs w:val="22"/>
              </w:rPr>
            </w:pPr>
            <w:r>
              <w:rPr>
                <w:sz w:val="22"/>
                <w:szCs w:val="22"/>
              </w:rPr>
              <w:t>(</w:t>
            </w:r>
            <w:r w:rsidR="001C64DC">
              <w:rPr>
                <w:sz w:val="22"/>
                <w:szCs w:val="22"/>
              </w:rPr>
              <w:t>810,133</w:t>
            </w:r>
            <w:r w:rsidR="00546BDB">
              <w:rPr>
                <w:sz w:val="22"/>
                <w:szCs w:val="22"/>
              </w:rPr>
              <w:t>)</w:t>
            </w:r>
          </w:p>
        </w:tc>
        <w:tc>
          <w:tcPr>
            <w:tcW w:w="1453" w:type="dxa"/>
            <w:tcBorders>
              <w:top w:val="single" w:sz="4" w:space="0" w:color="auto"/>
              <w:left w:val="nil"/>
              <w:bottom w:val="nil"/>
              <w:right w:val="nil"/>
            </w:tcBorders>
            <w:noWrap/>
            <w:tcMar>
              <w:top w:w="15" w:type="dxa"/>
              <w:left w:w="15" w:type="dxa"/>
              <w:bottom w:w="0" w:type="dxa"/>
              <w:right w:w="15" w:type="dxa"/>
            </w:tcMar>
            <w:vAlign w:val="center"/>
          </w:tcPr>
          <w:p w14:paraId="0C08C7BD" w14:textId="6BB39068" w:rsidR="00FA4086" w:rsidRPr="0077396B" w:rsidRDefault="00FA4086" w:rsidP="00754973">
            <w:pPr>
              <w:ind w:right="110"/>
              <w:jc w:val="right"/>
              <w:rPr>
                <w:rFonts w:eastAsia="Arial Unicode MS"/>
                <w:sz w:val="22"/>
                <w:szCs w:val="22"/>
              </w:rPr>
            </w:pPr>
            <w:r w:rsidRPr="0077396B">
              <w:rPr>
                <w:sz w:val="22"/>
                <w:szCs w:val="22"/>
              </w:rPr>
              <w:t>(</w:t>
            </w:r>
            <w:r w:rsidR="005F2F51">
              <w:rPr>
                <w:sz w:val="22"/>
                <w:szCs w:val="22"/>
              </w:rPr>
              <w:t>584,855</w:t>
            </w:r>
            <w:r w:rsidRPr="0077396B">
              <w:rPr>
                <w:sz w:val="22"/>
                <w:szCs w:val="22"/>
              </w:rPr>
              <w:t>)</w:t>
            </w:r>
          </w:p>
        </w:tc>
      </w:tr>
      <w:tr w:rsidR="00744595" w:rsidRPr="0077396B" w14:paraId="7C76BE18"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74E931B0" w14:textId="364113E5" w:rsidR="00744595" w:rsidRPr="0077396B" w:rsidRDefault="00744595" w:rsidP="00FA4086">
            <w:pPr>
              <w:rPr>
                <w:rFonts w:eastAsia="Arial Unicode MS"/>
                <w:sz w:val="22"/>
                <w:szCs w:val="22"/>
              </w:rPr>
            </w:pPr>
            <w:r w:rsidRPr="0077396B">
              <w:rPr>
                <w:sz w:val="22"/>
                <w:szCs w:val="22"/>
              </w:rPr>
              <w:t xml:space="preserve">Finance </w:t>
            </w:r>
            <w:r w:rsidR="00397A87">
              <w:rPr>
                <w:sz w:val="22"/>
                <w:szCs w:val="22"/>
              </w:rPr>
              <w:t>income</w:t>
            </w:r>
          </w:p>
        </w:tc>
        <w:tc>
          <w:tcPr>
            <w:tcW w:w="713" w:type="dxa"/>
            <w:tcBorders>
              <w:top w:val="nil"/>
              <w:left w:val="nil"/>
              <w:bottom w:val="nil"/>
              <w:right w:val="nil"/>
            </w:tcBorders>
            <w:noWrap/>
            <w:tcMar>
              <w:top w:w="15" w:type="dxa"/>
              <w:left w:w="15" w:type="dxa"/>
              <w:bottom w:w="0" w:type="dxa"/>
              <w:right w:w="15" w:type="dxa"/>
            </w:tcMar>
            <w:vAlign w:val="bottom"/>
          </w:tcPr>
          <w:p w14:paraId="31242785" w14:textId="77777777" w:rsidR="00744595" w:rsidRPr="00533364" w:rsidRDefault="00744595" w:rsidP="00FA4086">
            <w:pPr>
              <w:jc w:val="center"/>
              <w:rPr>
                <w:rFonts w:eastAsia="Arial Unicode MS"/>
                <w:b/>
                <w:bCs/>
                <w:sz w:val="22"/>
                <w:szCs w:val="22"/>
              </w:rPr>
            </w:pPr>
          </w:p>
        </w:tc>
        <w:tc>
          <w:tcPr>
            <w:tcW w:w="1696" w:type="dxa"/>
            <w:tcBorders>
              <w:top w:val="nil"/>
              <w:left w:val="nil"/>
              <w:bottom w:val="nil"/>
              <w:right w:val="nil"/>
            </w:tcBorders>
            <w:vAlign w:val="center"/>
          </w:tcPr>
          <w:p w14:paraId="530CF973" w14:textId="7B4D4626" w:rsidR="00744595" w:rsidRPr="006D56BD" w:rsidRDefault="002B61AB" w:rsidP="00D164E1">
            <w:pPr>
              <w:ind w:right="110"/>
              <w:jc w:val="right"/>
              <w:rPr>
                <w:sz w:val="22"/>
                <w:szCs w:val="22"/>
              </w:rPr>
            </w:pPr>
            <w:r>
              <w:rPr>
                <w:sz w:val="22"/>
                <w:szCs w:val="22"/>
              </w:rPr>
              <w:t>-</w:t>
            </w:r>
          </w:p>
        </w:tc>
        <w:tc>
          <w:tcPr>
            <w:tcW w:w="1453" w:type="dxa"/>
            <w:tcBorders>
              <w:top w:val="nil"/>
              <w:left w:val="nil"/>
              <w:bottom w:val="nil"/>
              <w:right w:val="nil"/>
            </w:tcBorders>
            <w:noWrap/>
            <w:tcMar>
              <w:top w:w="15" w:type="dxa"/>
              <w:left w:w="15" w:type="dxa"/>
              <w:bottom w:w="0" w:type="dxa"/>
              <w:right w:w="15" w:type="dxa"/>
            </w:tcMar>
            <w:vAlign w:val="center"/>
          </w:tcPr>
          <w:p w14:paraId="33CA8C57" w14:textId="62B7CF94" w:rsidR="00744595" w:rsidRPr="0077396B" w:rsidRDefault="005F2F51" w:rsidP="00D164E1">
            <w:pPr>
              <w:ind w:right="110"/>
              <w:jc w:val="right"/>
              <w:rPr>
                <w:rFonts w:eastAsia="Arial Unicode MS"/>
                <w:sz w:val="22"/>
                <w:szCs w:val="22"/>
              </w:rPr>
            </w:pPr>
            <w:r>
              <w:rPr>
                <w:rFonts w:eastAsia="Arial Unicode MS"/>
                <w:sz w:val="22"/>
                <w:szCs w:val="22"/>
              </w:rPr>
              <w:t>-</w:t>
            </w:r>
          </w:p>
        </w:tc>
      </w:tr>
      <w:tr w:rsidR="00FA4086" w:rsidRPr="0077396B" w14:paraId="34749F45" w14:textId="77777777" w:rsidTr="00481F93">
        <w:trPr>
          <w:trHeight w:val="313"/>
        </w:trPr>
        <w:tc>
          <w:tcPr>
            <w:tcW w:w="0" w:type="auto"/>
            <w:tcBorders>
              <w:top w:val="nil"/>
              <w:left w:val="nil"/>
              <w:bottom w:val="nil"/>
              <w:right w:val="nil"/>
            </w:tcBorders>
            <w:noWrap/>
            <w:tcMar>
              <w:top w:w="15" w:type="dxa"/>
              <w:left w:w="15" w:type="dxa"/>
              <w:bottom w:w="0" w:type="dxa"/>
              <w:right w:w="15" w:type="dxa"/>
            </w:tcMar>
            <w:vAlign w:val="bottom"/>
          </w:tcPr>
          <w:p w14:paraId="72678C69" w14:textId="739AFBC8" w:rsidR="00FA4086" w:rsidRPr="0077396B" w:rsidRDefault="00FA4086">
            <w:pPr>
              <w:rPr>
                <w:rFonts w:eastAsia="Arial Unicode MS"/>
                <w:b/>
                <w:bCs/>
                <w:sz w:val="22"/>
                <w:szCs w:val="22"/>
              </w:rPr>
            </w:pPr>
            <w:r w:rsidRPr="0077396B">
              <w:rPr>
                <w:b/>
                <w:bCs/>
                <w:sz w:val="22"/>
                <w:szCs w:val="22"/>
              </w:rPr>
              <w:t>Loss before tax</w:t>
            </w:r>
          </w:p>
        </w:tc>
        <w:tc>
          <w:tcPr>
            <w:tcW w:w="713" w:type="dxa"/>
            <w:tcBorders>
              <w:top w:val="nil"/>
              <w:left w:val="nil"/>
              <w:bottom w:val="nil"/>
              <w:right w:val="nil"/>
            </w:tcBorders>
            <w:noWrap/>
            <w:tcMar>
              <w:top w:w="15" w:type="dxa"/>
              <w:left w:w="15" w:type="dxa"/>
              <w:bottom w:w="0" w:type="dxa"/>
              <w:right w:w="15" w:type="dxa"/>
            </w:tcMar>
            <w:vAlign w:val="bottom"/>
          </w:tcPr>
          <w:p w14:paraId="0982955A" w14:textId="77777777" w:rsidR="00FA4086" w:rsidRPr="00533364" w:rsidRDefault="00FA4086" w:rsidP="00FA4086">
            <w:pPr>
              <w:jc w:val="center"/>
              <w:rPr>
                <w:rFonts w:eastAsia="Arial Unicode MS"/>
                <w:b/>
                <w:bCs/>
                <w:sz w:val="22"/>
                <w:szCs w:val="22"/>
              </w:rPr>
            </w:pPr>
          </w:p>
        </w:tc>
        <w:tc>
          <w:tcPr>
            <w:tcW w:w="1696" w:type="dxa"/>
            <w:tcBorders>
              <w:top w:val="single" w:sz="4" w:space="0" w:color="auto"/>
              <w:left w:val="nil"/>
              <w:bottom w:val="nil"/>
              <w:right w:val="nil"/>
            </w:tcBorders>
            <w:vAlign w:val="center"/>
          </w:tcPr>
          <w:p w14:paraId="71A86540" w14:textId="227CA306" w:rsidR="00FA4086" w:rsidRPr="006D56BD" w:rsidRDefault="005B4274">
            <w:pPr>
              <w:ind w:right="110"/>
              <w:jc w:val="right"/>
              <w:rPr>
                <w:sz w:val="22"/>
                <w:szCs w:val="22"/>
              </w:rPr>
            </w:pPr>
            <w:r>
              <w:rPr>
                <w:sz w:val="22"/>
                <w:szCs w:val="22"/>
              </w:rPr>
              <w:t>(</w:t>
            </w:r>
            <w:r w:rsidR="001C64DC">
              <w:rPr>
                <w:sz w:val="22"/>
                <w:szCs w:val="22"/>
              </w:rPr>
              <w:t>810,133</w:t>
            </w:r>
            <w:r w:rsidR="001C2A2F">
              <w:rPr>
                <w:sz w:val="22"/>
                <w:szCs w:val="22"/>
              </w:rPr>
              <w:t>)</w:t>
            </w:r>
          </w:p>
        </w:tc>
        <w:tc>
          <w:tcPr>
            <w:tcW w:w="1453" w:type="dxa"/>
            <w:tcBorders>
              <w:top w:val="single" w:sz="4" w:space="0" w:color="auto"/>
              <w:left w:val="nil"/>
              <w:bottom w:val="nil"/>
              <w:right w:val="nil"/>
            </w:tcBorders>
            <w:noWrap/>
            <w:tcMar>
              <w:top w:w="15" w:type="dxa"/>
              <w:left w:w="15" w:type="dxa"/>
              <w:bottom w:w="0" w:type="dxa"/>
              <w:right w:w="15" w:type="dxa"/>
            </w:tcMar>
            <w:vAlign w:val="center"/>
          </w:tcPr>
          <w:p w14:paraId="644133FF" w14:textId="40A34CE3" w:rsidR="00FA4086" w:rsidRPr="0077396B" w:rsidRDefault="00FA4086" w:rsidP="00754973">
            <w:pPr>
              <w:ind w:right="110"/>
              <w:jc w:val="right"/>
              <w:rPr>
                <w:rFonts w:eastAsia="Arial Unicode MS"/>
                <w:sz w:val="22"/>
                <w:szCs w:val="22"/>
              </w:rPr>
            </w:pPr>
            <w:r w:rsidRPr="0077396B">
              <w:rPr>
                <w:sz w:val="22"/>
                <w:szCs w:val="22"/>
              </w:rPr>
              <w:t>(</w:t>
            </w:r>
            <w:r w:rsidR="005F2F51">
              <w:rPr>
                <w:sz w:val="22"/>
                <w:szCs w:val="22"/>
              </w:rPr>
              <w:t>584,855</w:t>
            </w:r>
            <w:r w:rsidRPr="0077396B">
              <w:rPr>
                <w:sz w:val="22"/>
                <w:szCs w:val="22"/>
              </w:rPr>
              <w:t>)</w:t>
            </w:r>
          </w:p>
        </w:tc>
      </w:tr>
      <w:tr w:rsidR="00744595" w:rsidRPr="0077396B" w14:paraId="5347611C"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790EE78A" w14:textId="77777777" w:rsidR="00744595" w:rsidRPr="0077396B" w:rsidRDefault="00744595" w:rsidP="00FA4086">
            <w:pPr>
              <w:rPr>
                <w:rFonts w:eastAsia="Arial Unicode MS"/>
                <w:sz w:val="22"/>
                <w:szCs w:val="22"/>
              </w:rPr>
            </w:pPr>
            <w:r w:rsidRPr="0077396B">
              <w:rPr>
                <w:sz w:val="22"/>
                <w:szCs w:val="22"/>
              </w:rPr>
              <w:t>Taxation</w:t>
            </w:r>
          </w:p>
        </w:tc>
        <w:tc>
          <w:tcPr>
            <w:tcW w:w="713" w:type="dxa"/>
            <w:tcBorders>
              <w:top w:val="nil"/>
              <w:left w:val="nil"/>
              <w:bottom w:val="nil"/>
              <w:right w:val="nil"/>
            </w:tcBorders>
            <w:noWrap/>
            <w:tcMar>
              <w:top w:w="15" w:type="dxa"/>
              <w:left w:w="15" w:type="dxa"/>
              <w:bottom w:w="0" w:type="dxa"/>
              <w:right w:w="15" w:type="dxa"/>
            </w:tcMar>
            <w:vAlign w:val="bottom"/>
          </w:tcPr>
          <w:p w14:paraId="4BD5924B" w14:textId="439C1775" w:rsidR="00744595" w:rsidRPr="00533364" w:rsidRDefault="00533364" w:rsidP="00FA4086">
            <w:pPr>
              <w:jc w:val="center"/>
              <w:rPr>
                <w:rFonts w:eastAsia="Arial Unicode MS"/>
                <w:b/>
                <w:bCs/>
                <w:sz w:val="22"/>
                <w:szCs w:val="22"/>
              </w:rPr>
            </w:pPr>
            <w:r w:rsidRPr="00533364">
              <w:rPr>
                <w:b/>
                <w:bCs/>
                <w:sz w:val="22"/>
                <w:szCs w:val="22"/>
              </w:rPr>
              <w:t>4</w:t>
            </w:r>
          </w:p>
        </w:tc>
        <w:tc>
          <w:tcPr>
            <w:tcW w:w="1696" w:type="dxa"/>
            <w:tcBorders>
              <w:top w:val="nil"/>
              <w:left w:val="nil"/>
              <w:bottom w:val="nil"/>
              <w:right w:val="nil"/>
            </w:tcBorders>
            <w:vAlign w:val="center"/>
          </w:tcPr>
          <w:p w14:paraId="5B5A1625" w14:textId="1F8C82CF" w:rsidR="00744595" w:rsidRPr="006D56BD" w:rsidRDefault="006406CF" w:rsidP="00D164E1">
            <w:pPr>
              <w:ind w:right="110"/>
              <w:jc w:val="right"/>
              <w:rPr>
                <w:sz w:val="22"/>
                <w:szCs w:val="22"/>
              </w:rPr>
            </w:pPr>
            <w:r>
              <w:rPr>
                <w:sz w:val="22"/>
                <w:szCs w:val="22"/>
              </w:rPr>
              <w:t>-</w:t>
            </w:r>
          </w:p>
        </w:tc>
        <w:tc>
          <w:tcPr>
            <w:tcW w:w="1453" w:type="dxa"/>
            <w:tcBorders>
              <w:top w:val="nil"/>
              <w:left w:val="nil"/>
              <w:bottom w:val="nil"/>
              <w:right w:val="nil"/>
            </w:tcBorders>
            <w:noWrap/>
            <w:tcMar>
              <w:top w:w="15" w:type="dxa"/>
              <w:left w:w="15" w:type="dxa"/>
              <w:bottom w:w="0" w:type="dxa"/>
              <w:right w:w="15" w:type="dxa"/>
            </w:tcMar>
            <w:vAlign w:val="center"/>
          </w:tcPr>
          <w:p w14:paraId="2A106D8C" w14:textId="77777777" w:rsidR="00744595" w:rsidRPr="0077396B" w:rsidRDefault="00744595" w:rsidP="00D164E1">
            <w:pPr>
              <w:ind w:right="110"/>
              <w:jc w:val="right"/>
              <w:rPr>
                <w:rFonts w:eastAsia="Arial Unicode MS"/>
                <w:sz w:val="22"/>
                <w:szCs w:val="22"/>
              </w:rPr>
            </w:pPr>
            <w:r w:rsidRPr="0077396B">
              <w:rPr>
                <w:sz w:val="22"/>
                <w:szCs w:val="22"/>
              </w:rPr>
              <w:t>-</w:t>
            </w:r>
          </w:p>
        </w:tc>
      </w:tr>
      <w:tr w:rsidR="00FA4086" w:rsidRPr="0077396B" w14:paraId="58E35933" w14:textId="77777777" w:rsidTr="00481F93">
        <w:trPr>
          <w:trHeight w:val="328"/>
        </w:trPr>
        <w:tc>
          <w:tcPr>
            <w:tcW w:w="0" w:type="auto"/>
            <w:tcBorders>
              <w:top w:val="nil"/>
              <w:left w:val="nil"/>
              <w:bottom w:val="nil"/>
              <w:right w:val="nil"/>
            </w:tcBorders>
            <w:noWrap/>
            <w:tcMar>
              <w:top w:w="15" w:type="dxa"/>
              <w:left w:w="15" w:type="dxa"/>
              <w:bottom w:w="0" w:type="dxa"/>
              <w:right w:w="15" w:type="dxa"/>
            </w:tcMar>
            <w:vAlign w:val="bottom"/>
          </w:tcPr>
          <w:p w14:paraId="7465536C" w14:textId="66569205" w:rsidR="00FA4086" w:rsidRPr="0077396B" w:rsidRDefault="00FA4086">
            <w:pPr>
              <w:rPr>
                <w:rFonts w:eastAsia="Arial Unicode MS"/>
                <w:b/>
                <w:bCs/>
                <w:sz w:val="22"/>
                <w:szCs w:val="22"/>
              </w:rPr>
            </w:pPr>
            <w:r w:rsidRPr="0077396B">
              <w:rPr>
                <w:b/>
                <w:bCs/>
                <w:sz w:val="22"/>
                <w:szCs w:val="22"/>
              </w:rPr>
              <w:t xml:space="preserve">Loss for the </w:t>
            </w:r>
            <w:r w:rsidR="00E34DF9">
              <w:rPr>
                <w:b/>
                <w:bCs/>
                <w:sz w:val="22"/>
                <w:szCs w:val="22"/>
              </w:rPr>
              <w:t>period/</w:t>
            </w:r>
            <w:r w:rsidRPr="0077396B">
              <w:rPr>
                <w:b/>
                <w:bCs/>
                <w:sz w:val="22"/>
                <w:szCs w:val="22"/>
              </w:rPr>
              <w:t>year</w:t>
            </w:r>
          </w:p>
        </w:tc>
        <w:tc>
          <w:tcPr>
            <w:tcW w:w="713" w:type="dxa"/>
            <w:tcBorders>
              <w:top w:val="nil"/>
              <w:left w:val="nil"/>
              <w:bottom w:val="nil"/>
              <w:right w:val="nil"/>
            </w:tcBorders>
            <w:noWrap/>
            <w:tcMar>
              <w:top w:w="15" w:type="dxa"/>
              <w:left w:w="15" w:type="dxa"/>
              <w:bottom w:w="0" w:type="dxa"/>
              <w:right w:w="15" w:type="dxa"/>
            </w:tcMar>
            <w:vAlign w:val="bottom"/>
          </w:tcPr>
          <w:p w14:paraId="6E3E57C8" w14:textId="77777777" w:rsidR="00FA4086" w:rsidRPr="00533364" w:rsidRDefault="00FA4086" w:rsidP="00FA4086">
            <w:pPr>
              <w:jc w:val="center"/>
              <w:rPr>
                <w:rFonts w:eastAsia="Arial Unicode MS"/>
                <w:b/>
                <w:bCs/>
                <w:sz w:val="22"/>
                <w:szCs w:val="22"/>
              </w:rPr>
            </w:pPr>
            <w:r w:rsidRPr="00533364">
              <w:rPr>
                <w:b/>
                <w:bCs/>
                <w:sz w:val="22"/>
                <w:szCs w:val="22"/>
              </w:rPr>
              <w:t xml:space="preserve"> </w:t>
            </w:r>
          </w:p>
        </w:tc>
        <w:tc>
          <w:tcPr>
            <w:tcW w:w="1696" w:type="dxa"/>
            <w:tcBorders>
              <w:top w:val="single" w:sz="4" w:space="0" w:color="auto"/>
              <w:left w:val="nil"/>
              <w:bottom w:val="double" w:sz="6" w:space="0" w:color="auto"/>
              <w:right w:val="nil"/>
            </w:tcBorders>
            <w:vAlign w:val="center"/>
          </w:tcPr>
          <w:p w14:paraId="68BA961B" w14:textId="2286D348" w:rsidR="00FA4086" w:rsidRPr="006D56BD" w:rsidRDefault="001C2A2F">
            <w:pPr>
              <w:ind w:right="110"/>
              <w:jc w:val="right"/>
              <w:rPr>
                <w:sz w:val="22"/>
                <w:szCs w:val="22"/>
              </w:rPr>
            </w:pPr>
            <w:r>
              <w:rPr>
                <w:sz w:val="22"/>
                <w:szCs w:val="22"/>
              </w:rPr>
              <w:t>(</w:t>
            </w:r>
            <w:r w:rsidR="001C64DC">
              <w:rPr>
                <w:sz w:val="22"/>
                <w:szCs w:val="22"/>
              </w:rPr>
              <w:t>810,133</w:t>
            </w:r>
            <w:r w:rsidR="00DF4601">
              <w:rPr>
                <w:sz w:val="22"/>
                <w:szCs w:val="22"/>
              </w:rPr>
              <w:t>)</w:t>
            </w:r>
          </w:p>
        </w:tc>
        <w:tc>
          <w:tcPr>
            <w:tcW w:w="1453" w:type="dxa"/>
            <w:tcBorders>
              <w:top w:val="single" w:sz="4" w:space="0" w:color="auto"/>
              <w:left w:val="nil"/>
              <w:bottom w:val="double" w:sz="6" w:space="0" w:color="auto"/>
              <w:right w:val="nil"/>
            </w:tcBorders>
            <w:noWrap/>
            <w:tcMar>
              <w:top w:w="15" w:type="dxa"/>
              <w:left w:w="15" w:type="dxa"/>
              <w:bottom w:w="0" w:type="dxa"/>
              <w:right w:w="15" w:type="dxa"/>
            </w:tcMar>
            <w:vAlign w:val="center"/>
          </w:tcPr>
          <w:p w14:paraId="591D6CCA" w14:textId="53C97E6D" w:rsidR="00FA4086" w:rsidRPr="0077396B" w:rsidRDefault="00FA4086" w:rsidP="00754973">
            <w:pPr>
              <w:ind w:right="110"/>
              <w:jc w:val="right"/>
              <w:rPr>
                <w:rFonts w:eastAsia="Arial Unicode MS"/>
                <w:sz w:val="22"/>
                <w:szCs w:val="22"/>
              </w:rPr>
            </w:pPr>
            <w:r w:rsidRPr="0077396B">
              <w:rPr>
                <w:sz w:val="22"/>
                <w:szCs w:val="22"/>
              </w:rPr>
              <w:t>(</w:t>
            </w:r>
            <w:r w:rsidR="005F2F51">
              <w:rPr>
                <w:sz w:val="22"/>
                <w:szCs w:val="22"/>
              </w:rPr>
              <w:t>584,855</w:t>
            </w:r>
            <w:r w:rsidRPr="0077396B">
              <w:rPr>
                <w:sz w:val="22"/>
                <w:szCs w:val="22"/>
              </w:rPr>
              <w:t>)</w:t>
            </w:r>
          </w:p>
        </w:tc>
      </w:tr>
      <w:tr w:rsidR="00744595" w:rsidRPr="0077396B" w14:paraId="75CA364C" w14:textId="77777777" w:rsidTr="00481F93">
        <w:trPr>
          <w:trHeight w:val="328"/>
        </w:trPr>
        <w:tc>
          <w:tcPr>
            <w:tcW w:w="5706" w:type="dxa"/>
            <w:tcBorders>
              <w:top w:val="nil"/>
              <w:left w:val="nil"/>
              <w:bottom w:val="nil"/>
              <w:right w:val="nil"/>
            </w:tcBorders>
            <w:noWrap/>
            <w:tcMar>
              <w:top w:w="15" w:type="dxa"/>
              <w:left w:w="15" w:type="dxa"/>
              <w:bottom w:w="0" w:type="dxa"/>
              <w:right w:w="15" w:type="dxa"/>
            </w:tcMar>
            <w:vAlign w:val="bottom"/>
          </w:tcPr>
          <w:p w14:paraId="24E1CEDF" w14:textId="77777777" w:rsidR="00744595" w:rsidRPr="0077396B" w:rsidRDefault="00744595" w:rsidP="00FA4086">
            <w:pPr>
              <w:rPr>
                <w:rFonts w:eastAsia="Arial Unicode MS"/>
                <w:sz w:val="22"/>
                <w:szCs w:val="22"/>
              </w:rPr>
            </w:pPr>
          </w:p>
        </w:tc>
        <w:tc>
          <w:tcPr>
            <w:tcW w:w="713" w:type="dxa"/>
            <w:tcBorders>
              <w:top w:val="nil"/>
              <w:left w:val="nil"/>
              <w:bottom w:val="nil"/>
              <w:right w:val="nil"/>
            </w:tcBorders>
            <w:noWrap/>
            <w:tcMar>
              <w:top w:w="15" w:type="dxa"/>
              <w:left w:w="15" w:type="dxa"/>
              <w:bottom w:w="0" w:type="dxa"/>
              <w:right w:w="15" w:type="dxa"/>
            </w:tcMar>
            <w:vAlign w:val="bottom"/>
          </w:tcPr>
          <w:p w14:paraId="05CA1695" w14:textId="77777777" w:rsidR="00744595" w:rsidRPr="00533364" w:rsidRDefault="00744595" w:rsidP="00FA4086">
            <w:pPr>
              <w:jc w:val="center"/>
              <w:rPr>
                <w:rFonts w:eastAsia="Arial Unicode MS"/>
                <w:b/>
                <w:bCs/>
                <w:sz w:val="22"/>
                <w:szCs w:val="22"/>
              </w:rPr>
            </w:pPr>
          </w:p>
        </w:tc>
        <w:tc>
          <w:tcPr>
            <w:tcW w:w="1696" w:type="dxa"/>
            <w:tcBorders>
              <w:top w:val="nil"/>
              <w:left w:val="nil"/>
              <w:bottom w:val="nil"/>
              <w:right w:val="nil"/>
            </w:tcBorders>
            <w:vAlign w:val="center"/>
          </w:tcPr>
          <w:p w14:paraId="34D1163D" w14:textId="77777777" w:rsidR="00744595" w:rsidRPr="006D56BD" w:rsidRDefault="00744595" w:rsidP="00D164E1">
            <w:pPr>
              <w:ind w:right="110"/>
              <w:jc w:val="right"/>
              <w:rPr>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544F0045" w14:textId="77777777" w:rsidR="00744595" w:rsidRPr="0077396B" w:rsidRDefault="00744595" w:rsidP="00D164E1">
            <w:pPr>
              <w:ind w:right="110"/>
              <w:jc w:val="right"/>
              <w:rPr>
                <w:rFonts w:eastAsia="Arial Unicode MS"/>
                <w:sz w:val="22"/>
                <w:szCs w:val="22"/>
              </w:rPr>
            </w:pPr>
          </w:p>
        </w:tc>
      </w:tr>
      <w:tr w:rsidR="00744595" w:rsidRPr="0077396B" w14:paraId="6E810D74" w14:textId="77777777" w:rsidTr="00695358">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6991FCA4" w14:textId="77777777" w:rsidR="00744595" w:rsidRPr="0077396B" w:rsidRDefault="00744595" w:rsidP="00FA4086">
            <w:pPr>
              <w:rPr>
                <w:rFonts w:eastAsia="Arial Unicode MS"/>
                <w:sz w:val="22"/>
                <w:szCs w:val="22"/>
              </w:rPr>
            </w:pPr>
            <w:r w:rsidRPr="0077396B">
              <w:rPr>
                <w:b/>
                <w:bCs/>
                <w:sz w:val="22"/>
                <w:szCs w:val="22"/>
              </w:rPr>
              <w:t>Attributable to:</w:t>
            </w:r>
          </w:p>
        </w:tc>
        <w:tc>
          <w:tcPr>
            <w:tcW w:w="713" w:type="dxa"/>
            <w:tcBorders>
              <w:top w:val="nil"/>
              <w:left w:val="nil"/>
              <w:bottom w:val="nil"/>
              <w:right w:val="nil"/>
            </w:tcBorders>
            <w:noWrap/>
            <w:tcMar>
              <w:top w:w="15" w:type="dxa"/>
              <w:left w:w="15" w:type="dxa"/>
              <w:bottom w:w="0" w:type="dxa"/>
              <w:right w:w="15" w:type="dxa"/>
            </w:tcMar>
            <w:vAlign w:val="bottom"/>
          </w:tcPr>
          <w:p w14:paraId="2096034F" w14:textId="77777777" w:rsidR="00744595" w:rsidRPr="00533364" w:rsidRDefault="00744595" w:rsidP="00FA4086">
            <w:pPr>
              <w:jc w:val="center"/>
              <w:rPr>
                <w:rFonts w:eastAsia="Arial Unicode MS"/>
                <w:b/>
                <w:bCs/>
                <w:sz w:val="22"/>
                <w:szCs w:val="22"/>
              </w:rPr>
            </w:pPr>
          </w:p>
        </w:tc>
        <w:tc>
          <w:tcPr>
            <w:tcW w:w="1696" w:type="dxa"/>
            <w:tcBorders>
              <w:top w:val="nil"/>
              <w:left w:val="nil"/>
              <w:right w:val="nil"/>
            </w:tcBorders>
            <w:vAlign w:val="center"/>
          </w:tcPr>
          <w:p w14:paraId="3609BE79" w14:textId="77777777" w:rsidR="00744595" w:rsidRPr="006D56BD" w:rsidRDefault="00744595" w:rsidP="00D164E1">
            <w:pPr>
              <w:ind w:right="110"/>
              <w:jc w:val="right"/>
              <w:rPr>
                <w:sz w:val="22"/>
                <w:szCs w:val="22"/>
              </w:rPr>
            </w:pPr>
          </w:p>
        </w:tc>
        <w:tc>
          <w:tcPr>
            <w:tcW w:w="1453" w:type="dxa"/>
            <w:tcBorders>
              <w:top w:val="nil"/>
              <w:left w:val="nil"/>
              <w:right w:val="nil"/>
            </w:tcBorders>
            <w:noWrap/>
            <w:tcMar>
              <w:top w:w="15" w:type="dxa"/>
              <w:left w:w="15" w:type="dxa"/>
              <w:bottom w:w="0" w:type="dxa"/>
              <w:right w:w="15" w:type="dxa"/>
            </w:tcMar>
            <w:vAlign w:val="center"/>
          </w:tcPr>
          <w:p w14:paraId="2EDCFA74" w14:textId="77777777" w:rsidR="00744595" w:rsidRPr="0077396B" w:rsidRDefault="00744595" w:rsidP="00D164E1">
            <w:pPr>
              <w:ind w:right="110"/>
              <w:jc w:val="right"/>
              <w:rPr>
                <w:rFonts w:eastAsia="Arial Unicode MS"/>
                <w:sz w:val="22"/>
                <w:szCs w:val="22"/>
              </w:rPr>
            </w:pPr>
          </w:p>
        </w:tc>
      </w:tr>
      <w:tr w:rsidR="00FA4086" w:rsidRPr="0077396B" w14:paraId="3534B63C" w14:textId="77777777" w:rsidTr="00695358">
        <w:trPr>
          <w:trHeight w:val="313"/>
        </w:trPr>
        <w:tc>
          <w:tcPr>
            <w:tcW w:w="0" w:type="auto"/>
            <w:tcBorders>
              <w:top w:val="nil"/>
              <w:left w:val="nil"/>
              <w:bottom w:val="nil"/>
              <w:right w:val="nil"/>
            </w:tcBorders>
            <w:noWrap/>
            <w:tcMar>
              <w:top w:w="15" w:type="dxa"/>
              <w:left w:w="15" w:type="dxa"/>
              <w:bottom w:w="0" w:type="dxa"/>
              <w:right w:w="15" w:type="dxa"/>
            </w:tcMar>
            <w:vAlign w:val="bottom"/>
          </w:tcPr>
          <w:p w14:paraId="67EE08C2" w14:textId="747A0828" w:rsidR="00FA4086" w:rsidRPr="0077396B" w:rsidRDefault="00FA4086" w:rsidP="00FA4086">
            <w:pPr>
              <w:rPr>
                <w:rFonts w:eastAsia="Arial Unicode MS"/>
                <w:sz w:val="22"/>
                <w:szCs w:val="22"/>
              </w:rPr>
            </w:pPr>
            <w:r w:rsidRPr="0077396B">
              <w:rPr>
                <w:sz w:val="22"/>
                <w:szCs w:val="22"/>
              </w:rPr>
              <w:t>Equity holders of the parent</w:t>
            </w:r>
            <w:r w:rsidR="00B15D76">
              <w:rPr>
                <w:sz w:val="22"/>
                <w:szCs w:val="22"/>
              </w:rPr>
              <w:t xml:space="preserve"> company</w:t>
            </w:r>
          </w:p>
        </w:tc>
        <w:tc>
          <w:tcPr>
            <w:tcW w:w="713" w:type="dxa"/>
            <w:tcBorders>
              <w:top w:val="nil"/>
              <w:left w:val="nil"/>
              <w:bottom w:val="nil"/>
              <w:right w:val="nil"/>
            </w:tcBorders>
            <w:noWrap/>
            <w:tcMar>
              <w:top w:w="15" w:type="dxa"/>
              <w:left w:w="15" w:type="dxa"/>
              <w:bottom w:w="0" w:type="dxa"/>
              <w:right w:w="15" w:type="dxa"/>
            </w:tcMar>
            <w:vAlign w:val="bottom"/>
          </w:tcPr>
          <w:p w14:paraId="31D2F0CA" w14:textId="77777777" w:rsidR="00FA4086" w:rsidRPr="00533364" w:rsidRDefault="00FA4086" w:rsidP="00FA4086">
            <w:pPr>
              <w:jc w:val="center"/>
              <w:rPr>
                <w:rFonts w:eastAsia="Arial Unicode MS"/>
                <w:b/>
                <w:bCs/>
                <w:sz w:val="22"/>
                <w:szCs w:val="22"/>
              </w:rPr>
            </w:pPr>
          </w:p>
        </w:tc>
        <w:tc>
          <w:tcPr>
            <w:tcW w:w="1696" w:type="dxa"/>
            <w:tcBorders>
              <w:top w:val="nil"/>
              <w:left w:val="nil"/>
              <w:bottom w:val="double" w:sz="4" w:space="0" w:color="auto"/>
              <w:right w:val="nil"/>
            </w:tcBorders>
            <w:vAlign w:val="center"/>
          </w:tcPr>
          <w:p w14:paraId="046C47F5" w14:textId="29642A2E" w:rsidR="00FA4086" w:rsidRPr="006D56BD" w:rsidRDefault="00204FDA">
            <w:pPr>
              <w:ind w:right="110"/>
              <w:jc w:val="right"/>
              <w:rPr>
                <w:sz w:val="22"/>
                <w:szCs w:val="22"/>
              </w:rPr>
            </w:pPr>
            <w:r>
              <w:rPr>
                <w:sz w:val="22"/>
                <w:szCs w:val="22"/>
              </w:rPr>
              <w:t>(</w:t>
            </w:r>
            <w:r w:rsidR="001C64DC">
              <w:rPr>
                <w:sz w:val="22"/>
                <w:szCs w:val="22"/>
              </w:rPr>
              <w:t>810,133</w:t>
            </w:r>
            <w:r>
              <w:rPr>
                <w:sz w:val="22"/>
                <w:szCs w:val="22"/>
              </w:rPr>
              <w:t>)</w:t>
            </w:r>
          </w:p>
        </w:tc>
        <w:tc>
          <w:tcPr>
            <w:tcW w:w="1453" w:type="dxa"/>
            <w:tcBorders>
              <w:top w:val="nil"/>
              <w:left w:val="nil"/>
              <w:bottom w:val="double" w:sz="4" w:space="0" w:color="auto"/>
              <w:right w:val="nil"/>
            </w:tcBorders>
            <w:noWrap/>
            <w:tcMar>
              <w:top w:w="15" w:type="dxa"/>
              <w:left w:w="15" w:type="dxa"/>
              <w:bottom w:w="0" w:type="dxa"/>
              <w:right w:w="15" w:type="dxa"/>
            </w:tcMar>
            <w:vAlign w:val="center"/>
          </w:tcPr>
          <w:p w14:paraId="49113BEC" w14:textId="7403ECE4" w:rsidR="00FA4086" w:rsidRPr="00695358" w:rsidRDefault="00FA4086" w:rsidP="00754973">
            <w:pPr>
              <w:ind w:right="110"/>
              <w:jc w:val="right"/>
              <w:rPr>
                <w:sz w:val="22"/>
                <w:szCs w:val="22"/>
              </w:rPr>
            </w:pPr>
            <w:r w:rsidRPr="0077396B">
              <w:rPr>
                <w:sz w:val="22"/>
                <w:szCs w:val="22"/>
              </w:rPr>
              <w:t>(</w:t>
            </w:r>
            <w:r w:rsidR="005F2F51">
              <w:rPr>
                <w:sz w:val="22"/>
                <w:szCs w:val="22"/>
              </w:rPr>
              <w:t>584,855</w:t>
            </w:r>
            <w:r w:rsidRPr="0077396B">
              <w:rPr>
                <w:sz w:val="22"/>
                <w:szCs w:val="22"/>
              </w:rPr>
              <w:t>)</w:t>
            </w:r>
          </w:p>
        </w:tc>
      </w:tr>
      <w:tr w:rsidR="00FA4086" w:rsidRPr="0077396B" w14:paraId="79783E32" w14:textId="77777777" w:rsidTr="00695358">
        <w:trPr>
          <w:trHeight w:val="328"/>
        </w:trPr>
        <w:tc>
          <w:tcPr>
            <w:tcW w:w="0" w:type="auto"/>
            <w:tcBorders>
              <w:top w:val="nil"/>
              <w:left w:val="nil"/>
              <w:bottom w:val="nil"/>
              <w:right w:val="nil"/>
            </w:tcBorders>
            <w:noWrap/>
            <w:tcMar>
              <w:top w:w="15" w:type="dxa"/>
              <w:left w:w="15" w:type="dxa"/>
              <w:bottom w:w="0" w:type="dxa"/>
              <w:right w:w="15" w:type="dxa"/>
            </w:tcMar>
            <w:vAlign w:val="bottom"/>
          </w:tcPr>
          <w:p w14:paraId="6EFD0561" w14:textId="77777777" w:rsidR="00AE6F2C" w:rsidRDefault="00AE6F2C">
            <w:pPr>
              <w:rPr>
                <w:b/>
                <w:bCs/>
                <w:sz w:val="22"/>
                <w:szCs w:val="22"/>
              </w:rPr>
            </w:pPr>
          </w:p>
          <w:p w14:paraId="10E8AA24" w14:textId="4861E78E" w:rsidR="00FA4086" w:rsidRPr="0077396B" w:rsidRDefault="00FA4086">
            <w:pPr>
              <w:rPr>
                <w:rFonts w:eastAsia="Arial Unicode MS"/>
                <w:b/>
                <w:bCs/>
                <w:sz w:val="22"/>
                <w:szCs w:val="22"/>
              </w:rPr>
            </w:pPr>
            <w:r w:rsidRPr="0077396B">
              <w:rPr>
                <w:b/>
                <w:bCs/>
                <w:sz w:val="22"/>
                <w:szCs w:val="22"/>
              </w:rPr>
              <w:t xml:space="preserve">Loss per ordinary share </w:t>
            </w:r>
          </w:p>
        </w:tc>
        <w:tc>
          <w:tcPr>
            <w:tcW w:w="713" w:type="dxa"/>
            <w:tcBorders>
              <w:top w:val="nil"/>
              <w:left w:val="nil"/>
              <w:bottom w:val="nil"/>
              <w:right w:val="nil"/>
            </w:tcBorders>
            <w:noWrap/>
            <w:tcMar>
              <w:top w:w="15" w:type="dxa"/>
              <w:left w:w="15" w:type="dxa"/>
              <w:bottom w:w="0" w:type="dxa"/>
              <w:right w:w="15" w:type="dxa"/>
            </w:tcMar>
            <w:vAlign w:val="bottom"/>
          </w:tcPr>
          <w:p w14:paraId="48D3EB7D" w14:textId="77777777" w:rsidR="00FA4086" w:rsidRPr="00533364" w:rsidRDefault="00FA4086" w:rsidP="00FA4086">
            <w:pPr>
              <w:jc w:val="center"/>
              <w:rPr>
                <w:rFonts w:eastAsia="Arial Unicode MS"/>
                <w:b/>
                <w:bCs/>
                <w:sz w:val="22"/>
                <w:szCs w:val="22"/>
              </w:rPr>
            </w:pPr>
          </w:p>
        </w:tc>
        <w:tc>
          <w:tcPr>
            <w:tcW w:w="1696" w:type="dxa"/>
            <w:tcBorders>
              <w:top w:val="double" w:sz="4" w:space="0" w:color="auto"/>
              <w:left w:val="nil"/>
              <w:right w:val="nil"/>
            </w:tcBorders>
            <w:vAlign w:val="center"/>
          </w:tcPr>
          <w:p w14:paraId="04FDEE09" w14:textId="77777777" w:rsidR="00FA4086" w:rsidRPr="006D56BD" w:rsidRDefault="00FA4086" w:rsidP="00D164E1">
            <w:pPr>
              <w:ind w:right="110"/>
              <w:jc w:val="right"/>
              <w:rPr>
                <w:sz w:val="22"/>
                <w:szCs w:val="22"/>
              </w:rPr>
            </w:pPr>
          </w:p>
        </w:tc>
        <w:tc>
          <w:tcPr>
            <w:tcW w:w="1453" w:type="dxa"/>
            <w:tcBorders>
              <w:top w:val="double" w:sz="4" w:space="0" w:color="auto"/>
              <w:left w:val="nil"/>
              <w:right w:val="nil"/>
            </w:tcBorders>
            <w:noWrap/>
            <w:tcMar>
              <w:top w:w="15" w:type="dxa"/>
              <w:left w:w="15" w:type="dxa"/>
              <w:bottom w:w="0" w:type="dxa"/>
              <w:right w:w="15" w:type="dxa"/>
            </w:tcMar>
            <w:vAlign w:val="center"/>
          </w:tcPr>
          <w:p w14:paraId="1CA177A9" w14:textId="77777777" w:rsidR="00FA4086" w:rsidRPr="0077396B" w:rsidRDefault="00FA4086" w:rsidP="00D164E1">
            <w:pPr>
              <w:ind w:right="110"/>
              <w:jc w:val="right"/>
              <w:rPr>
                <w:rFonts w:eastAsia="Arial Unicode MS"/>
                <w:sz w:val="22"/>
                <w:szCs w:val="22"/>
              </w:rPr>
            </w:pPr>
          </w:p>
        </w:tc>
      </w:tr>
      <w:tr w:rsidR="00695358" w:rsidRPr="0077396B" w14:paraId="6AB5C192" w14:textId="77777777" w:rsidTr="00695358">
        <w:trPr>
          <w:trHeight w:val="328"/>
        </w:trPr>
        <w:tc>
          <w:tcPr>
            <w:tcW w:w="0" w:type="auto"/>
            <w:tcBorders>
              <w:top w:val="nil"/>
              <w:left w:val="nil"/>
              <w:bottom w:val="nil"/>
              <w:right w:val="nil"/>
            </w:tcBorders>
            <w:noWrap/>
            <w:tcMar>
              <w:top w:w="15" w:type="dxa"/>
              <w:left w:w="15" w:type="dxa"/>
              <w:bottom w:w="0" w:type="dxa"/>
              <w:right w:w="15" w:type="dxa"/>
            </w:tcMar>
            <w:vAlign w:val="bottom"/>
          </w:tcPr>
          <w:p w14:paraId="6BDB37A7" w14:textId="3C9A6FDA" w:rsidR="00695358" w:rsidRDefault="00695358">
            <w:pPr>
              <w:rPr>
                <w:b/>
                <w:bCs/>
                <w:sz w:val="22"/>
                <w:szCs w:val="22"/>
              </w:rPr>
            </w:pPr>
            <w:r>
              <w:rPr>
                <w:b/>
                <w:bCs/>
                <w:sz w:val="22"/>
                <w:szCs w:val="22"/>
              </w:rPr>
              <w:t>Basic</w:t>
            </w:r>
          </w:p>
        </w:tc>
        <w:tc>
          <w:tcPr>
            <w:tcW w:w="713" w:type="dxa"/>
            <w:tcBorders>
              <w:top w:val="nil"/>
              <w:left w:val="nil"/>
              <w:bottom w:val="nil"/>
              <w:right w:val="nil"/>
            </w:tcBorders>
            <w:noWrap/>
            <w:tcMar>
              <w:top w:w="15" w:type="dxa"/>
              <w:left w:w="15" w:type="dxa"/>
              <w:bottom w:w="0" w:type="dxa"/>
              <w:right w:w="15" w:type="dxa"/>
            </w:tcMar>
            <w:vAlign w:val="bottom"/>
          </w:tcPr>
          <w:p w14:paraId="53F2FFEC" w14:textId="563CC090" w:rsidR="00695358" w:rsidRPr="00533364" w:rsidRDefault="00533364" w:rsidP="00FA4086">
            <w:pPr>
              <w:jc w:val="center"/>
              <w:rPr>
                <w:rFonts w:eastAsia="Arial Unicode MS"/>
                <w:b/>
                <w:bCs/>
                <w:sz w:val="22"/>
                <w:szCs w:val="22"/>
              </w:rPr>
            </w:pPr>
            <w:r w:rsidRPr="00533364">
              <w:rPr>
                <w:rFonts w:eastAsia="Arial Unicode MS"/>
                <w:b/>
                <w:bCs/>
                <w:sz w:val="22"/>
                <w:szCs w:val="22"/>
              </w:rPr>
              <w:t>6</w:t>
            </w:r>
          </w:p>
        </w:tc>
        <w:tc>
          <w:tcPr>
            <w:tcW w:w="1696" w:type="dxa"/>
            <w:tcBorders>
              <w:left w:val="nil"/>
              <w:right w:val="nil"/>
            </w:tcBorders>
            <w:vAlign w:val="center"/>
          </w:tcPr>
          <w:p w14:paraId="2C50DD1F" w14:textId="02B2E2F5" w:rsidR="00695358" w:rsidRPr="006529AB" w:rsidRDefault="00485C40" w:rsidP="00D164E1">
            <w:pPr>
              <w:ind w:right="110"/>
              <w:jc w:val="right"/>
              <w:rPr>
                <w:sz w:val="22"/>
                <w:szCs w:val="22"/>
              </w:rPr>
            </w:pPr>
            <w:r w:rsidRPr="006529AB">
              <w:rPr>
                <w:sz w:val="22"/>
                <w:szCs w:val="22"/>
              </w:rPr>
              <w:t>(0.</w:t>
            </w:r>
            <w:r w:rsidR="006529AB" w:rsidRPr="006529AB">
              <w:rPr>
                <w:sz w:val="22"/>
                <w:szCs w:val="22"/>
              </w:rPr>
              <w:t>2</w:t>
            </w:r>
            <w:r w:rsidR="001C64DC">
              <w:rPr>
                <w:sz w:val="22"/>
                <w:szCs w:val="22"/>
              </w:rPr>
              <w:t>2</w:t>
            </w:r>
            <w:r w:rsidRPr="006529AB">
              <w:rPr>
                <w:sz w:val="22"/>
                <w:szCs w:val="22"/>
              </w:rPr>
              <w:t>)</w:t>
            </w:r>
            <w:r w:rsidR="00D26300" w:rsidRPr="006529AB">
              <w:rPr>
                <w:sz w:val="22"/>
                <w:szCs w:val="22"/>
              </w:rPr>
              <w:t xml:space="preserve"> pence</w:t>
            </w:r>
          </w:p>
        </w:tc>
        <w:tc>
          <w:tcPr>
            <w:tcW w:w="1453" w:type="dxa"/>
            <w:tcBorders>
              <w:left w:val="nil"/>
              <w:right w:val="nil"/>
            </w:tcBorders>
            <w:noWrap/>
            <w:tcMar>
              <w:top w:w="15" w:type="dxa"/>
              <w:left w:w="15" w:type="dxa"/>
              <w:bottom w:w="0" w:type="dxa"/>
              <w:right w:w="15" w:type="dxa"/>
            </w:tcMar>
            <w:vAlign w:val="center"/>
          </w:tcPr>
          <w:p w14:paraId="353FC6AE" w14:textId="0C58CA47" w:rsidR="00695358" w:rsidRPr="00485C40" w:rsidRDefault="00C63F6C" w:rsidP="00D164E1">
            <w:pPr>
              <w:ind w:right="110"/>
              <w:jc w:val="right"/>
              <w:rPr>
                <w:rFonts w:eastAsia="Arial Unicode MS"/>
                <w:sz w:val="22"/>
                <w:szCs w:val="22"/>
              </w:rPr>
            </w:pPr>
            <w:r w:rsidRPr="00485C40">
              <w:rPr>
                <w:rFonts w:eastAsia="Arial Unicode MS"/>
                <w:sz w:val="22"/>
                <w:szCs w:val="22"/>
              </w:rPr>
              <w:t>(0.</w:t>
            </w:r>
            <w:r w:rsidR="005F2F51">
              <w:rPr>
                <w:rFonts w:eastAsia="Arial Unicode MS"/>
                <w:sz w:val="22"/>
                <w:szCs w:val="22"/>
              </w:rPr>
              <w:t>22</w:t>
            </w:r>
            <w:r w:rsidRPr="00485C40">
              <w:rPr>
                <w:rFonts w:eastAsia="Arial Unicode MS"/>
                <w:sz w:val="22"/>
                <w:szCs w:val="22"/>
              </w:rPr>
              <w:t>) pence</w:t>
            </w:r>
          </w:p>
        </w:tc>
      </w:tr>
      <w:tr w:rsidR="00744595" w:rsidRPr="0077396B" w14:paraId="2E5C363E" w14:textId="77777777" w:rsidTr="00481F93">
        <w:trPr>
          <w:trHeight w:val="313"/>
        </w:trPr>
        <w:tc>
          <w:tcPr>
            <w:tcW w:w="5706" w:type="dxa"/>
            <w:tcBorders>
              <w:top w:val="nil"/>
              <w:left w:val="nil"/>
              <w:bottom w:val="nil"/>
              <w:right w:val="nil"/>
            </w:tcBorders>
            <w:noWrap/>
            <w:tcMar>
              <w:top w:w="15" w:type="dxa"/>
              <w:left w:w="15" w:type="dxa"/>
              <w:bottom w:w="0" w:type="dxa"/>
              <w:right w:w="15" w:type="dxa"/>
            </w:tcMar>
            <w:vAlign w:val="bottom"/>
          </w:tcPr>
          <w:p w14:paraId="14F70006" w14:textId="2311ADC2" w:rsidR="00744595" w:rsidRPr="0077396B" w:rsidRDefault="00695358" w:rsidP="00FA4086">
            <w:pPr>
              <w:rPr>
                <w:rFonts w:eastAsia="Arial Unicode MS"/>
                <w:sz w:val="22"/>
                <w:szCs w:val="22"/>
              </w:rPr>
            </w:pPr>
            <w:r>
              <w:rPr>
                <w:b/>
                <w:bCs/>
                <w:sz w:val="22"/>
                <w:szCs w:val="22"/>
              </w:rPr>
              <w:t>D</w:t>
            </w:r>
            <w:r w:rsidR="00744595" w:rsidRPr="0077396B">
              <w:rPr>
                <w:b/>
                <w:bCs/>
                <w:sz w:val="22"/>
                <w:szCs w:val="22"/>
              </w:rPr>
              <w:t>iluted</w:t>
            </w:r>
          </w:p>
        </w:tc>
        <w:tc>
          <w:tcPr>
            <w:tcW w:w="713" w:type="dxa"/>
            <w:tcBorders>
              <w:top w:val="nil"/>
              <w:left w:val="nil"/>
              <w:bottom w:val="nil"/>
              <w:right w:val="nil"/>
            </w:tcBorders>
            <w:noWrap/>
            <w:tcMar>
              <w:top w:w="15" w:type="dxa"/>
              <w:left w:w="15" w:type="dxa"/>
              <w:bottom w:w="0" w:type="dxa"/>
              <w:right w:w="15" w:type="dxa"/>
            </w:tcMar>
            <w:vAlign w:val="bottom"/>
          </w:tcPr>
          <w:p w14:paraId="62C8A365" w14:textId="73B44514" w:rsidR="00744595" w:rsidRPr="00533364" w:rsidRDefault="00533364" w:rsidP="00FA4086">
            <w:pPr>
              <w:jc w:val="center"/>
              <w:rPr>
                <w:rFonts w:eastAsia="Arial Unicode MS"/>
                <w:sz w:val="22"/>
                <w:szCs w:val="22"/>
              </w:rPr>
            </w:pPr>
            <w:r w:rsidRPr="00533364">
              <w:rPr>
                <w:b/>
                <w:bCs/>
                <w:sz w:val="22"/>
                <w:szCs w:val="22"/>
              </w:rPr>
              <w:t>6</w:t>
            </w:r>
          </w:p>
        </w:tc>
        <w:tc>
          <w:tcPr>
            <w:tcW w:w="1696" w:type="dxa"/>
            <w:tcBorders>
              <w:top w:val="nil"/>
              <w:left w:val="nil"/>
              <w:bottom w:val="double" w:sz="4" w:space="0" w:color="auto"/>
              <w:right w:val="nil"/>
            </w:tcBorders>
            <w:vAlign w:val="center"/>
          </w:tcPr>
          <w:p w14:paraId="463142E4" w14:textId="23B985FB" w:rsidR="00744595" w:rsidRPr="006529AB" w:rsidRDefault="00485C40">
            <w:pPr>
              <w:ind w:right="110"/>
              <w:jc w:val="right"/>
              <w:rPr>
                <w:sz w:val="22"/>
                <w:szCs w:val="22"/>
              </w:rPr>
            </w:pPr>
            <w:r w:rsidRPr="006529AB">
              <w:rPr>
                <w:sz w:val="22"/>
                <w:szCs w:val="22"/>
              </w:rPr>
              <w:t>(0.1</w:t>
            </w:r>
            <w:r w:rsidR="001C64DC">
              <w:rPr>
                <w:sz w:val="22"/>
                <w:szCs w:val="22"/>
              </w:rPr>
              <w:t>8</w:t>
            </w:r>
            <w:r w:rsidRPr="006529AB">
              <w:rPr>
                <w:sz w:val="22"/>
                <w:szCs w:val="22"/>
              </w:rPr>
              <w:t>)</w:t>
            </w:r>
            <w:r w:rsidR="00204FDA" w:rsidRPr="006529AB">
              <w:rPr>
                <w:sz w:val="22"/>
                <w:szCs w:val="22"/>
              </w:rPr>
              <w:t xml:space="preserve"> pence</w:t>
            </w:r>
          </w:p>
        </w:tc>
        <w:tc>
          <w:tcPr>
            <w:tcW w:w="1453" w:type="dxa"/>
            <w:tcBorders>
              <w:top w:val="nil"/>
              <w:left w:val="nil"/>
              <w:bottom w:val="double" w:sz="4" w:space="0" w:color="auto"/>
              <w:right w:val="nil"/>
            </w:tcBorders>
            <w:noWrap/>
            <w:tcMar>
              <w:top w:w="15" w:type="dxa"/>
              <w:left w:w="15" w:type="dxa"/>
              <w:bottom w:w="0" w:type="dxa"/>
              <w:right w:w="15" w:type="dxa"/>
            </w:tcMar>
            <w:vAlign w:val="center"/>
          </w:tcPr>
          <w:p w14:paraId="6ADFFF90" w14:textId="4554CFAC" w:rsidR="00744595" w:rsidRPr="00485C40" w:rsidRDefault="00744595" w:rsidP="00D164E1">
            <w:pPr>
              <w:ind w:right="110"/>
              <w:jc w:val="right"/>
              <w:rPr>
                <w:rFonts w:eastAsia="Arial Unicode MS"/>
                <w:sz w:val="22"/>
                <w:szCs w:val="22"/>
              </w:rPr>
            </w:pPr>
            <w:r w:rsidRPr="00485C40">
              <w:rPr>
                <w:sz w:val="22"/>
                <w:szCs w:val="22"/>
              </w:rPr>
              <w:t>(0.</w:t>
            </w:r>
            <w:r w:rsidR="002B61AB">
              <w:rPr>
                <w:sz w:val="22"/>
                <w:szCs w:val="22"/>
              </w:rPr>
              <w:t>1</w:t>
            </w:r>
            <w:r w:rsidR="005F2F51">
              <w:rPr>
                <w:sz w:val="22"/>
                <w:szCs w:val="22"/>
              </w:rPr>
              <w:t>5</w:t>
            </w:r>
            <w:r w:rsidRPr="00485C40">
              <w:rPr>
                <w:sz w:val="22"/>
                <w:szCs w:val="22"/>
              </w:rPr>
              <w:t>) pence</w:t>
            </w:r>
          </w:p>
        </w:tc>
      </w:tr>
    </w:tbl>
    <w:p w14:paraId="2299B6FA" w14:textId="77777777" w:rsidR="007623F0" w:rsidRPr="0077396B" w:rsidRDefault="007623F0">
      <w:pPr>
        <w:pStyle w:val="xl25"/>
        <w:overflowPunct w:val="0"/>
        <w:autoSpaceDE w:val="0"/>
        <w:autoSpaceDN w:val="0"/>
        <w:adjustRightInd w:val="0"/>
        <w:spacing w:before="0" w:after="0"/>
        <w:textAlignment w:val="baseline"/>
        <w:rPr>
          <w:rFonts w:eastAsia="Times New Roman"/>
          <w:sz w:val="22"/>
          <w:szCs w:val="22"/>
          <w:lang w:val="en-GB"/>
        </w:rPr>
      </w:pPr>
    </w:p>
    <w:p w14:paraId="7E0D4F1C" w14:textId="77777777" w:rsidR="007623F0" w:rsidRPr="0077396B" w:rsidRDefault="007623F0">
      <w:pPr>
        <w:jc w:val="both"/>
        <w:rPr>
          <w:sz w:val="22"/>
          <w:szCs w:val="22"/>
        </w:rPr>
      </w:pPr>
    </w:p>
    <w:p w14:paraId="5FA0F183" w14:textId="77777777" w:rsidR="007623F0" w:rsidRPr="0077396B" w:rsidRDefault="007623F0">
      <w:pPr>
        <w:jc w:val="both"/>
        <w:rPr>
          <w:sz w:val="22"/>
          <w:szCs w:val="22"/>
        </w:rPr>
      </w:pPr>
    </w:p>
    <w:p w14:paraId="3C5E10AC" w14:textId="77777777" w:rsidR="007623F0" w:rsidRPr="0077396B" w:rsidRDefault="007623F0">
      <w:pPr>
        <w:jc w:val="both"/>
        <w:rPr>
          <w:sz w:val="22"/>
          <w:szCs w:val="22"/>
        </w:rPr>
      </w:pPr>
    </w:p>
    <w:p w14:paraId="7FB26767" w14:textId="77777777" w:rsidR="007623F0" w:rsidRPr="0077396B" w:rsidRDefault="007623F0">
      <w:pPr>
        <w:jc w:val="center"/>
        <w:rPr>
          <w:sz w:val="22"/>
          <w:szCs w:val="22"/>
        </w:rPr>
      </w:pPr>
    </w:p>
    <w:p w14:paraId="58172155" w14:textId="77777777" w:rsidR="001E3BD1" w:rsidRDefault="007623F0">
      <w:pPr>
        <w:jc w:val="center"/>
        <w:rPr>
          <w:sz w:val="22"/>
          <w:szCs w:val="22"/>
        </w:rPr>
        <w:sectPr w:rsidR="001E3BD1" w:rsidSect="002E4AA5">
          <w:headerReference w:type="first" r:id="rId24"/>
          <w:pgSz w:w="11909" w:h="16834" w:code="9"/>
          <w:pgMar w:top="567" w:right="936" w:bottom="720" w:left="936" w:header="706" w:footer="706" w:gutter="0"/>
          <w:cols w:space="720"/>
          <w:titlePg/>
        </w:sectPr>
      </w:pPr>
      <w:r w:rsidRPr="0077396B">
        <w:rPr>
          <w:sz w:val="22"/>
          <w:szCs w:val="22"/>
        </w:rPr>
        <w:br w:type="page"/>
      </w:r>
    </w:p>
    <w:tbl>
      <w:tblPr>
        <w:tblW w:w="9716" w:type="dxa"/>
        <w:tblLayout w:type="fixed"/>
        <w:tblCellMar>
          <w:left w:w="0" w:type="dxa"/>
          <w:right w:w="0" w:type="dxa"/>
        </w:tblCellMar>
        <w:tblLook w:val="0000" w:firstRow="0" w:lastRow="0" w:firstColumn="0" w:lastColumn="0" w:noHBand="0" w:noVBand="0"/>
      </w:tblPr>
      <w:tblGrid>
        <w:gridCol w:w="5263"/>
        <w:gridCol w:w="1258"/>
        <w:gridCol w:w="142"/>
        <w:gridCol w:w="1417"/>
        <w:gridCol w:w="226"/>
        <w:gridCol w:w="1192"/>
        <w:gridCol w:w="218"/>
      </w:tblGrid>
      <w:tr w:rsidR="00F36E96" w:rsidRPr="0077396B" w14:paraId="460021D7"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298A0D35" w14:textId="77777777" w:rsidR="00F36E96" w:rsidRPr="0077396B" w:rsidRDefault="00F36E96" w:rsidP="00F36E96">
            <w:pPr>
              <w:rPr>
                <w:rFonts w:eastAsia="Arial Unicode MS"/>
                <w:sz w:val="22"/>
                <w:szCs w:val="22"/>
              </w:rPr>
            </w:pPr>
          </w:p>
        </w:tc>
        <w:tc>
          <w:tcPr>
            <w:tcW w:w="1258" w:type="dxa"/>
            <w:tcBorders>
              <w:top w:val="nil"/>
              <w:left w:val="nil"/>
              <w:bottom w:val="nil"/>
              <w:right w:val="nil"/>
            </w:tcBorders>
            <w:noWrap/>
            <w:tcMar>
              <w:top w:w="15" w:type="dxa"/>
              <w:left w:w="15" w:type="dxa"/>
              <w:bottom w:w="0" w:type="dxa"/>
              <w:right w:w="15" w:type="dxa"/>
            </w:tcMar>
            <w:vAlign w:val="bottom"/>
          </w:tcPr>
          <w:p w14:paraId="30297303" w14:textId="77777777" w:rsidR="00F36E96" w:rsidRPr="0077396B" w:rsidRDefault="00F36E96" w:rsidP="00F36E9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bottom"/>
          </w:tcPr>
          <w:p w14:paraId="412DFBE1" w14:textId="63EE258D" w:rsidR="00F36E96" w:rsidRPr="0077396B" w:rsidRDefault="0080146C" w:rsidP="00F36E96">
            <w:pPr>
              <w:ind w:left="393" w:right="90" w:hanging="393"/>
              <w:jc w:val="right"/>
              <w:rPr>
                <w:rFonts w:eastAsia="Arial Unicode MS"/>
                <w:b/>
                <w:bCs/>
                <w:sz w:val="22"/>
                <w:szCs w:val="22"/>
              </w:rPr>
            </w:pPr>
            <w:r>
              <w:rPr>
                <w:rFonts w:eastAsia="Arial Unicode MS"/>
                <w:b/>
                <w:bCs/>
                <w:sz w:val="22"/>
                <w:szCs w:val="22"/>
              </w:rPr>
              <w:t>Year</w:t>
            </w:r>
            <w:r w:rsidR="00F36E96" w:rsidRPr="00F36E96">
              <w:rPr>
                <w:rFonts w:eastAsia="Arial Unicode MS"/>
                <w:b/>
                <w:bCs/>
                <w:sz w:val="22"/>
                <w:szCs w:val="22"/>
              </w:rPr>
              <w:t xml:space="preserve"> to</w:t>
            </w:r>
          </w:p>
        </w:tc>
        <w:tc>
          <w:tcPr>
            <w:tcW w:w="1418" w:type="dxa"/>
            <w:gridSpan w:val="2"/>
            <w:tcBorders>
              <w:top w:val="nil"/>
              <w:left w:val="nil"/>
              <w:bottom w:val="nil"/>
              <w:right w:val="nil"/>
            </w:tcBorders>
            <w:vAlign w:val="bottom"/>
          </w:tcPr>
          <w:p w14:paraId="1C24ACA6" w14:textId="7B554C2D" w:rsidR="00F36E96" w:rsidRPr="0077396B" w:rsidRDefault="0080146C" w:rsidP="00F36E96">
            <w:pPr>
              <w:ind w:right="90"/>
              <w:jc w:val="right"/>
              <w:rPr>
                <w:rFonts w:eastAsia="Arial Unicode MS"/>
                <w:b/>
                <w:bCs/>
                <w:sz w:val="22"/>
                <w:szCs w:val="22"/>
              </w:rPr>
            </w:pPr>
            <w:r>
              <w:rPr>
                <w:rFonts w:eastAsia="Arial Unicode MS"/>
                <w:b/>
                <w:bCs/>
                <w:sz w:val="22"/>
                <w:szCs w:val="22"/>
              </w:rPr>
              <w:t xml:space="preserve">10-Month Period </w:t>
            </w:r>
            <w:r w:rsidR="00F36E96">
              <w:rPr>
                <w:rFonts w:eastAsia="Arial Unicode MS"/>
                <w:b/>
                <w:bCs/>
                <w:sz w:val="22"/>
                <w:szCs w:val="22"/>
              </w:rPr>
              <w:t>to</w:t>
            </w:r>
          </w:p>
        </w:tc>
      </w:tr>
      <w:tr w:rsidR="00F36E96" w:rsidRPr="0077396B" w14:paraId="731FFFC8"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720B177F" w14:textId="77777777" w:rsidR="00F36E96" w:rsidRPr="0077396B" w:rsidRDefault="00F36E96" w:rsidP="00F36E96">
            <w:pPr>
              <w:rPr>
                <w:rFonts w:eastAsia="Arial Unicode MS"/>
                <w:sz w:val="22"/>
                <w:szCs w:val="22"/>
              </w:rPr>
            </w:pPr>
          </w:p>
        </w:tc>
        <w:tc>
          <w:tcPr>
            <w:tcW w:w="1258" w:type="dxa"/>
            <w:tcBorders>
              <w:top w:val="nil"/>
              <w:left w:val="nil"/>
              <w:bottom w:val="nil"/>
              <w:right w:val="nil"/>
            </w:tcBorders>
            <w:noWrap/>
            <w:tcMar>
              <w:top w:w="15" w:type="dxa"/>
              <w:left w:w="15" w:type="dxa"/>
              <w:bottom w:w="0" w:type="dxa"/>
              <w:right w:w="15" w:type="dxa"/>
            </w:tcMar>
            <w:vAlign w:val="bottom"/>
          </w:tcPr>
          <w:p w14:paraId="2E914FEF" w14:textId="77777777" w:rsidR="00F36E96" w:rsidRPr="0077396B" w:rsidRDefault="00F36E96" w:rsidP="00F36E9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bottom"/>
          </w:tcPr>
          <w:p w14:paraId="17B453C7" w14:textId="42237C52" w:rsidR="00F36E96" w:rsidRPr="00F36E96" w:rsidRDefault="00F36E96" w:rsidP="00F36E96">
            <w:pPr>
              <w:ind w:left="393" w:right="90" w:hanging="393"/>
              <w:jc w:val="right"/>
              <w:rPr>
                <w:rFonts w:eastAsia="Arial Unicode MS"/>
                <w:b/>
                <w:bCs/>
                <w:sz w:val="22"/>
                <w:szCs w:val="22"/>
              </w:rPr>
            </w:pPr>
            <w:r w:rsidRPr="00F36E96">
              <w:rPr>
                <w:rFonts w:eastAsia="Arial Unicode MS"/>
                <w:b/>
                <w:bCs/>
                <w:sz w:val="22"/>
                <w:szCs w:val="22"/>
              </w:rPr>
              <w:t xml:space="preserve">31 December </w:t>
            </w:r>
            <w:r w:rsidR="0080146C" w:rsidRPr="00F36E96">
              <w:rPr>
                <w:rFonts w:eastAsia="Arial Unicode MS"/>
                <w:b/>
                <w:bCs/>
                <w:sz w:val="22"/>
                <w:szCs w:val="22"/>
              </w:rPr>
              <w:t>20</w:t>
            </w:r>
            <w:r w:rsidR="0080146C">
              <w:rPr>
                <w:rFonts w:eastAsia="Arial Unicode MS"/>
                <w:b/>
                <w:bCs/>
                <w:sz w:val="22"/>
                <w:szCs w:val="22"/>
              </w:rPr>
              <w:t>20</w:t>
            </w:r>
          </w:p>
        </w:tc>
        <w:tc>
          <w:tcPr>
            <w:tcW w:w="1418" w:type="dxa"/>
            <w:gridSpan w:val="2"/>
            <w:tcBorders>
              <w:top w:val="nil"/>
              <w:left w:val="nil"/>
              <w:bottom w:val="nil"/>
              <w:right w:val="nil"/>
            </w:tcBorders>
            <w:vAlign w:val="bottom"/>
          </w:tcPr>
          <w:p w14:paraId="7BFEA57F" w14:textId="12586382" w:rsidR="00F36E96" w:rsidRDefault="0080146C" w:rsidP="00F36E96">
            <w:pPr>
              <w:ind w:right="90"/>
              <w:jc w:val="right"/>
              <w:rPr>
                <w:b/>
                <w:bCs/>
                <w:sz w:val="22"/>
                <w:szCs w:val="22"/>
              </w:rPr>
            </w:pPr>
            <w:r>
              <w:rPr>
                <w:b/>
                <w:bCs/>
                <w:sz w:val="22"/>
                <w:szCs w:val="22"/>
              </w:rPr>
              <w:t>31 December</w:t>
            </w:r>
            <w:r w:rsidR="00F36E96">
              <w:rPr>
                <w:b/>
                <w:bCs/>
                <w:sz w:val="22"/>
                <w:szCs w:val="22"/>
              </w:rPr>
              <w:t xml:space="preserve"> 2019</w:t>
            </w:r>
          </w:p>
        </w:tc>
      </w:tr>
      <w:tr w:rsidR="00744595" w:rsidRPr="0077396B" w14:paraId="61366D9D"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0E1EFE2A" w14:textId="77777777" w:rsidR="00744595" w:rsidRPr="0077396B" w:rsidRDefault="00744595" w:rsidP="00FA4086">
            <w:pPr>
              <w:rPr>
                <w:rFonts w:eastAsia="Arial Unicode MS"/>
                <w:sz w:val="22"/>
                <w:szCs w:val="22"/>
              </w:rPr>
            </w:pPr>
          </w:p>
        </w:tc>
        <w:tc>
          <w:tcPr>
            <w:tcW w:w="1258" w:type="dxa"/>
            <w:tcBorders>
              <w:top w:val="nil"/>
              <w:left w:val="nil"/>
              <w:bottom w:val="nil"/>
              <w:right w:val="nil"/>
            </w:tcBorders>
            <w:noWrap/>
            <w:tcMar>
              <w:top w:w="15" w:type="dxa"/>
              <w:left w:w="15" w:type="dxa"/>
              <w:bottom w:w="0" w:type="dxa"/>
              <w:right w:w="15" w:type="dxa"/>
            </w:tcMar>
            <w:vAlign w:val="bottom"/>
          </w:tcPr>
          <w:p w14:paraId="5609488E" w14:textId="77777777" w:rsidR="00744595" w:rsidRPr="0077396B" w:rsidRDefault="00744595" w:rsidP="00FA408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bottom"/>
          </w:tcPr>
          <w:p w14:paraId="3D314B60" w14:textId="77777777" w:rsidR="00744595" w:rsidRPr="0077396B" w:rsidRDefault="00744595" w:rsidP="00FA4086">
            <w:pPr>
              <w:ind w:right="90"/>
              <w:jc w:val="right"/>
              <w:rPr>
                <w:rFonts w:eastAsia="Arial Unicode MS"/>
                <w:b/>
                <w:bCs/>
                <w:sz w:val="22"/>
                <w:szCs w:val="22"/>
              </w:rPr>
            </w:pPr>
            <w:r w:rsidRPr="0077396B">
              <w:rPr>
                <w:b/>
                <w:bCs/>
                <w:sz w:val="22"/>
                <w:szCs w:val="22"/>
              </w:rPr>
              <w:t>£</w:t>
            </w:r>
          </w:p>
        </w:tc>
        <w:tc>
          <w:tcPr>
            <w:tcW w:w="1418" w:type="dxa"/>
            <w:gridSpan w:val="2"/>
            <w:tcBorders>
              <w:top w:val="nil"/>
              <w:left w:val="nil"/>
              <w:bottom w:val="nil"/>
              <w:right w:val="nil"/>
            </w:tcBorders>
            <w:vAlign w:val="bottom"/>
          </w:tcPr>
          <w:p w14:paraId="272568E9" w14:textId="77777777" w:rsidR="00744595" w:rsidRPr="0077396B" w:rsidRDefault="00744595" w:rsidP="00FA4086">
            <w:pPr>
              <w:ind w:right="90"/>
              <w:jc w:val="right"/>
              <w:rPr>
                <w:rFonts w:eastAsia="Arial Unicode MS"/>
                <w:b/>
                <w:bCs/>
                <w:sz w:val="22"/>
                <w:szCs w:val="22"/>
              </w:rPr>
            </w:pPr>
            <w:r w:rsidRPr="0077396B">
              <w:rPr>
                <w:b/>
                <w:bCs/>
                <w:sz w:val="22"/>
                <w:szCs w:val="22"/>
              </w:rPr>
              <w:t>£</w:t>
            </w:r>
          </w:p>
        </w:tc>
      </w:tr>
      <w:tr w:rsidR="00FA4086" w:rsidRPr="0077396B" w14:paraId="61C68ECF"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0017F801" w14:textId="0DED2880" w:rsidR="00FA4086" w:rsidRPr="0077396B" w:rsidRDefault="00FA4086">
            <w:pPr>
              <w:rPr>
                <w:rFonts w:eastAsia="Arial Unicode MS"/>
                <w:sz w:val="22"/>
                <w:szCs w:val="22"/>
              </w:rPr>
            </w:pPr>
            <w:r w:rsidRPr="0077396B">
              <w:rPr>
                <w:sz w:val="22"/>
                <w:szCs w:val="22"/>
              </w:rPr>
              <w:t>Loss after tax</w:t>
            </w:r>
          </w:p>
        </w:tc>
        <w:tc>
          <w:tcPr>
            <w:tcW w:w="1258" w:type="dxa"/>
            <w:tcBorders>
              <w:top w:val="nil"/>
              <w:left w:val="nil"/>
              <w:bottom w:val="nil"/>
              <w:right w:val="nil"/>
            </w:tcBorders>
            <w:noWrap/>
            <w:tcMar>
              <w:top w:w="15" w:type="dxa"/>
              <w:left w:w="15" w:type="dxa"/>
              <w:bottom w:w="0" w:type="dxa"/>
              <w:right w:w="15" w:type="dxa"/>
            </w:tcMar>
            <w:vAlign w:val="bottom"/>
          </w:tcPr>
          <w:p w14:paraId="3291FB48" w14:textId="77777777" w:rsidR="00FA4086" w:rsidRPr="0077396B" w:rsidRDefault="00FA4086" w:rsidP="00FA408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center"/>
          </w:tcPr>
          <w:p w14:paraId="2561C67C" w14:textId="3E956345" w:rsidR="00FA4086" w:rsidRPr="006D56BD" w:rsidRDefault="00204FDA">
            <w:pPr>
              <w:ind w:right="90"/>
              <w:jc w:val="right"/>
              <w:rPr>
                <w:rFonts w:eastAsia="Arial Unicode MS"/>
                <w:sz w:val="22"/>
                <w:szCs w:val="22"/>
              </w:rPr>
            </w:pPr>
            <w:r>
              <w:rPr>
                <w:rFonts w:eastAsia="Arial Unicode MS"/>
                <w:sz w:val="22"/>
                <w:szCs w:val="22"/>
              </w:rPr>
              <w:t>(</w:t>
            </w:r>
            <w:r w:rsidR="001606F8">
              <w:rPr>
                <w:rFonts w:eastAsia="Arial Unicode MS"/>
                <w:sz w:val="22"/>
                <w:szCs w:val="22"/>
              </w:rPr>
              <w:t>810,133</w:t>
            </w:r>
            <w:r>
              <w:rPr>
                <w:rFonts w:eastAsia="Arial Unicode MS"/>
                <w:sz w:val="22"/>
                <w:szCs w:val="22"/>
              </w:rPr>
              <w:t>)</w:t>
            </w:r>
          </w:p>
        </w:tc>
        <w:tc>
          <w:tcPr>
            <w:tcW w:w="1418" w:type="dxa"/>
            <w:gridSpan w:val="2"/>
            <w:tcBorders>
              <w:top w:val="nil"/>
              <w:left w:val="nil"/>
              <w:bottom w:val="nil"/>
              <w:right w:val="nil"/>
            </w:tcBorders>
            <w:noWrap/>
            <w:tcMar>
              <w:top w:w="15" w:type="dxa"/>
              <w:left w:w="15" w:type="dxa"/>
              <w:bottom w:w="0" w:type="dxa"/>
              <w:right w:w="15" w:type="dxa"/>
            </w:tcMar>
            <w:vAlign w:val="center"/>
          </w:tcPr>
          <w:p w14:paraId="3308558B" w14:textId="58182C9E" w:rsidR="00FA4086" w:rsidRPr="0077396B" w:rsidRDefault="00DB4422" w:rsidP="00754973">
            <w:pPr>
              <w:ind w:right="90"/>
              <w:jc w:val="right"/>
              <w:rPr>
                <w:rFonts w:eastAsia="Arial Unicode MS"/>
                <w:sz w:val="22"/>
                <w:szCs w:val="22"/>
              </w:rPr>
            </w:pPr>
            <w:r>
              <w:rPr>
                <w:sz w:val="22"/>
                <w:szCs w:val="22"/>
              </w:rPr>
              <w:t>(</w:t>
            </w:r>
            <w:r w:rsidR="0080146C">
              <w:rPr>
                <w:sz w:val="22"/>
                <w:szCs w:val="22"/>
              </w:rPr>
              <w:t>584,855</w:t>
            </w:r>
            <w:r>
              <w:rPr>
                <w:sz w:val="22"/>
                <w:szCs w:val="22"/>
              </w:rPr>
              <w:t>)</w:t>
            </w:r>
          </w:p>
        </w:tc>
      </w:tr>
      <w:tr w:rsidR="00BB2D6D" w:rsidRPr="0077396B" w14:paraId="2B7E7ED0"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2E2EE514" w14:textId="2EDCF7BB" w:rsidR="00BB2D6D" w:rsidRPr="0077396B" w:rsidRDefault="00BB2D6D" w:rsidP="00BB2D6D">
            <w:pPr>
              <w:rPr>
                <w:sz w:val="22"/>
                <w:szCs w:val="22"/>
              </w:rPr>
            </w:pPr>
            <w:r>
              <w:rPr>
                <w:sz w:val="22"/>
                <w:szCs w:val="22"/>
              </w:rPr>
              <w:t xml:space="preserve">Items that may subsequently be reclassified to profit </w:t>
            </w:r>
            <w:r w:rsidR="004029CF">
              <w:rPr>
                <w:sz w:val="22"/>
                <w:szCs w:val="22"/>
              </w:rPr>
              <w:t>or</w:t>
            </w:r>
            <w:r>
              <w:rPr>
                <w:sz w:val="22"/>
                <w:szCs w:val="22"/>
              </w:rPr>
              <w:t xml:space="preserve"> loss: </w:t>
            </w:r>
          </w:p>
        </w:tc>
        <w:tc>
          <w:tcPr>
            <w:tcW w:w="1258" w:type="dxa"/>
            <w:tcBorders>
              <w:top w:val="nil"/>
              <w:left w:val="nil"/>
              <w:bottom w:val="nil"/>
              <w:right w:val="nil"/>
            </w:tcBorders>
            <w:noWrap/>
            <w:tcMar>
              <w:top w:w="15" w:type="dxa"/>
              <w:left w:w="15" w:type="dxa"/>
              <w:bottom w:w="0" w:type="dxa"/>
              <w:right w:w="15" w:type="dxa"/>
            </w:tcMar>
            <w:vAlign w:val="bottom"/>
          </w:tcPr>
          <w:p w14:paraId="5817017D" w14:textId="77777777" w:rsidR="00BB2D6D" w:rsidRPr="0077396B" w:rsidRDefault="00BB2D6D" w:rsidP="00FA408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center"/>
          </w:tcPr>
          <w:p w14:paraId="05A0EE5B" w14:textId="77777777" w:rsidR="00BB2D6D" w:rsidRPr="006D56BD" w:rsidRDefault="00BB2D6D" w:rsidP="00D164E1">
            <w:pPr>
              <w:ind w:right="90"/>
              <w:jc w:val="right"/>
              <w:rPr>
                <w:rFonts w:eastAsia="Arial Unicode MS"/>
                <w:sz w:val="22"/>
                <w:szCs w:val="22"/>
              </w:rPr>
            </w:pPr>
          </w:p>
        </w:tc>
        <w:tc>
          <w:tcPr>
            <w:tcW w:w="1418" w:type="dxa"/>
            <w:gridSpan w:val="2"/>
            <w:tcBorders>
              <w:top w:val="nil"/>
              <w:left w:val="nil"/>
              <w:bottom w:val="nil"/>
              <w:right w:val="nil"/>
            </w:tcBorders>
            <w:noWrap/>
            <w:tcMar>
              <w:top w:w="15" w:type="dxa"/>
              <w:left w:w="15" w:type="dxa"/>
              <w:bottom w:w="0" w:type="dxa"/>
              <w:right w:w="15" w:type="dxa"/>
            </w:tcMar>
            <w:vAlign w:val="center"/>
          </w:tcPr>
          <w:p w14:paraId="09E4D9A7" w14:textId="77777777" w:rsidR="00BB2D6D" w:rsidRDefault="00BB2D6D" w:rsidP="00D164E1">
            <w:pPr>
              <w:ind w:right="90"/>
              <w:jc w:val="right"/>
              <w:rPr>
                <w:sz w:val="22"/>
                <w:szCs w:val="22"/>
              </w:rPr>
            </w:pPr>
          </w:p>
        </w:tc>
      </w:tr>
      <w:tr w:rsidR="00FA4086" w:rsidRPr="0077396B" w14:paraId="7B19FB46" w14:textId="77777777" w:rsidTr="0080146C">
        <w:trPr>
          <w:gridAfter w:val="1"/>
          <w:wAfter w:w="218" w:type="dxa"/>
          <w:trHeight w:val="287"/>
        </w:trPr>
        <w:tc>
          <w:tcPr>
            <w:tcW w:w="5263" w:type="dxa"/>
            <w:tcBorders>
              <w:top w:val="nil"/>
              <w:left w:val="nil"/>
              <w:bottom w:val="nil"/>
              <w:right w:val="nil"/>
            </w:tcBorders>
            <w:noWrap/>
            <w:tcMar>
              <w:top w:w="15" w:type="dxa"/>
              <w:left w:w="15" w:type="dxa"/>
              <w:bottom w:w="0" w:type="dxa"/>
              <w:right w:w="15" w:type="dxa"/>
            </w:tcMar>
            <w:vAlign w:val="bottom"/>
          </w:tcPr>
          <w:p w14:paraId="196188D2" w14:textId="55725A65" w:rsidR="00FA4086" w:rsidRPr="00AA57E3" w:rsidRDefault="00FA4086" w:rsidP="00562262">
            <w:pPr>
              <w:pStyle w:val="ListParagraph"/>
              <w:numPr>
                <w:ilvl w:val="0"/>
                <w:numId w:val="4"/>
              </w:numPr>
              <w:spacing w:after="0"/>
              <w:rPr>
                <w:rFonts w:ascii="Times New Roman" w:eastAsia="Arial Unicode MS" w:hAnsi="Times New Roman"/>
              </w:rPr>
            </w:pPr>
            <w:r w:rsidRPr="00AA57E3">
              <w:rPr>
                <w:rFonts w:ascii="Times New Roman" w:hAnsi="Times New Roman"/>
              </w:rPr>
              <w:t xml:space="preserve">Foreign exchange movements </w:t>
            </w:r>
          </w:p>
        </w:tc>
        <w:tc>
          <w:tcPr>
            <w:tcW w:w="1258" w:type="dxa"/>
            <w:tcBorders>
              <w:top w:val="nil"/>
              <w:left w:val="nil"/>
              <w:bottom w:val="nil"/>
              <w:right w:val="nil"/>
            </w:tcBorders>
            <w:noWrap/>
            <w:tcMar>
              <w:top w:w="15" w:type="dxa"/>
              <w:left w:w="15" w:type="dxa"/>
              <w:bottom w:w="0" w:type="dxa"/>
              <w:right w:w="15" w:type="dxa"/>
            </w:tcMar>
            <w:vAlign w:val="bottom"/>
          </w:tcPr>
          <w:p w14:paraId="4DCAB029" w14:textId="77777777" w:rsidR="00FA4086" w:rsidRPr="0077396B" w:rsidRDefault="00FA4086" w:rsidP="00FA4086">
            <w:pPr>
              <w:rPr>
                <w:rFonts w:eastAsia="Arial Unicode MS"/>
                <w:sz w:val="22"/>
                <w:szCs w:val="22"/>
              </w:rPr>
            </w:pPr>
          </w:p>
        </w:tc>
        <w:tc>
          <w:tcPr>
            <w:tcW w:w="1559" w:type="dxa"/>
            <w:gridSpan w:val="2"/>
            <w:tcBorders>
              <w:top w:val="nil"/>
              <w:left w:val="nil"/>
              <w:bottom w:val="nil"/>
              <w:right w:val="nil"/>
            </w:tcBorders>
            <w:noWrap/>
            <w:tcMar>
              <w:top w:w="15" w:type="dxa"/>
              <w:left w:w="15" w:type="dxa"/>
              <w:bottom w:w="0" w:type="dxa"/>
              <w:right w:w="15" w:type="dxa"/>
            </w:tcMar>
            <w:vAlign w:val="center"/>
          </w:tcPr>
          <w:p w14:paraId="73D506DC" w14:textId="23F483D2" w:rsidR="00FA4086" w:rsidRPr="006D56BD" w:rsidRDefault="005B4274" w:rsidP="00235E00">
            <w:pPr>
              <w:ind w:right="90"/>
              <w:jc w:val="right"/>
              <w:rPr>
                <w:rFonts w:eastAsia="Arial Unicode MS"/>
                <w:sz w:val="22"/>
                <w:szCs w:val="22"/>
              </w:rPr>
            </w:pPr>
            <w:r>
              <w:rPr>
                <w:rFonts w:eastAsia="Arial Unicode MS"/>
                <w:sz w:val="22"/>
                <w:szCs w:val="22"/>
              </w:rPr>
              <w:t>(</w:t>
            </w:r>
            <w:r w:rsidR="0080146C">
              <w:rPr>
                <w:rFonts w:eastAsia="Arial Unicode MS"/>
                <w:sz w:val="22"/>
                <w:szCs w:val="22"/>
              </w:rPr>
              <w:t>418</w:t>
            </w:r>
            <w:r>
              <w:rPr>
                <w:rFonts w:eastAsia="Arial Unicode MS"/>
                <w:sz w:val="22"/>
                <w:szCs w:val="22"/>
              </w:rPr>
              <w:t>)</w:t>
            </w:r>
          </w:p>
        </w:tc>
        <w:tc>
          <w:tcPr>
            <w:tcW w:w="1418" w:type="dxa"/>
            <w:gridSpan w:val="2"/>
            <w:tcBorders>
              <w:top w:val="nil"/>
              <w:left w:val="nil"/>
              <w:bottom w:val="nil"/>
              <w:right w:val="nil"/>
            </w:tcBorders>
            <w:noWrap/>
            <w:tcMar>
              <w:top w:w="15" w:type="dxa"/>
              <w:left w:w="15" w:type="dxa"/>
              <w:bottom w:w="0" w:type="dxa"/>
              <w:right w:w="15" w:type="dxa"/>
            </w:tcMar>
            <w:vAlign w:val="center"/>
          </w:tcPr>
          <w:p w14:paraId="4E750A53" w14:textId="32747B39" w:rsidR="00FA4086" w:rsidRPr="0077396B" w:rsidRDefault="0080146C" w:rsidP="00754973">
            <w:pPr>
              <w:ind w:right="90"/>
              <w:jc w:val="right"/>
              <w:rPr>
                <w:rFonts w:eastAsia="Arial Unicode MS"/>
                <w:sz w:val="22"/>
                <w:szCs w:val="22"/>
              </w:rPr>
            </w:pPr>
            <w:r>
              <w:rPr>
                <w:sz w:val="22"/>
                <w:szCs w:val="22"/>
              </w:rPr>
              <w:t>(2067)</w:t>
            </w:r>
          </w:p>
        </w:tc>
      </w:tr>
      <w:tr w:rsidR="00FA4086" w:rsidRPr="0077396B" w14:paraId="7A63E878" w14:textId="77777777" w:rsidTr="0080146C">
        <w:trPr>
          <w:gridAfter w:val="1"/>
          <w:wAfter w:w="218" w:type="dxa"/>
          <w:trHeight w:val="301"/>
        </w:trPr>
        <w:tc>
          <w:tcPr>
            <w:tcW w:w="5263" w:type="dxa"/>
            <w:tcBorders>
              <w:top w:val="nil"/>
              <w:left w:val="nil"/>
              <w:bottom w:val="nil"/>
              <w:right w:val="nil"/>
            </w:tcBorders>
            <w:noWrap/>
            <w:tcMar>
              <w:top w:w="15" w:type="dxa"/>
              <w:left w:w="15" w:type="dxa"/>
              <w:bottom w:w="0" w:type="dxa"/>
              <w:right w:w="15" w:type="dxa"/>
            </w:tcMar>
            <w:vAlign w:val="bottom"/>
          </w:tcPr>
          <w:p w14:paraId="2EC9A690" w14:textId="036F93E7" w:rsidR="00FA4086" w:rsidRPr="0077396B" w:rsidRDefault="00FA4086">
            <w:pPr>
              <w:rPr>
                <w:rFonts w:eastAsia="Arial Unicode MS"/>
                <w:b/>
                <w:bCs/>
                <w:sz w:val="22"/>
                <w:szCs w:val="22"/>
              </w:rPr>
            </w:pPr>
            <w:r w:rsidRPr="0077396B">
              <w:rPr>
                <w:b/>
                <w:bCs/>
                <w:sz w:val="22"/>
                <w:szCs w:val="22"/>
              </w:rPr>
              <w:t>Total comprehensive loss</w:t>
            </w:r>
            <w:r w:rsidR="00D26300">
              <w:rPr>
                <w:b/>
                <w:bCs/>
                <w:sz w:val="22"/>
                <w:szCs w:val="22"/>
              </w:rPr>
              <w:t xml:space="preserve"> attributable to equity holders of the parent</w:t>
            </w:r>
            <w:r w:rsidR="00B15D76">
              <w:rPr>
                <w:b/>
                <w:bCs/>
                <w:sz w:val="22"/>
                <w:szCs w:val="22"/>
              </w:rPr>
              <w:t xml:space="preserve"> company</w:t>
            </w:r>
          </w:p>
        </w:tc>
        <w:tc>
          <w:tcPr>
            <w:tcW w:w="1258" w:type="dxa"/>
            <w:tcBorders>
              <w:top w:val="nil"/>
              <w:left w:val="nil"/>
              <w:bottom w:val="nil"/>
              <w:right w:val="nil"/>
            </w:tcBorders>
            <w:noWrap/>
            <w:tcMar>
              <w:top w:w="15" w:type="dxa"/>
              <w:left w:w="15" w:type="dxa"/>
              <w:bottom w:w="0" w:type="dxa"/>
              <w:right w:w="15" w:type="dxa"/>
            </w:tcMar>
            <w:vAlign w:val="bottom"/>
          </w:tcPr>
          <w:p w14:paraId="0907BF27" w14:textId="77777777" w:rsidR="00FA4086" w:rsidRPr="0077396B" w:rsidRDefault="00FA4086" w:rsidP="00FA4086">
            <w:pPr>
              <w:rPr>
                <w:rFonts w:eastAsia="Arial Unicode MS"/>
                <w:sz w:val="22"/>
                <w:szCs w:val="22"/>
              </w:rPr>
            </w:pPr>
          </w:p>
        </w:tc>
        <w:tc>
          <w:tcPr>
            <w:tcW w:w="1559" w:type="dxa"/>
            <w:gridSpan w:val="2"/>
            <w:tcBorders>
              <w:top w:val="single" w:sz="4" w:space="0" w:color="auto"/>
              <w:left w:val="nil"/>
              <w:bottom w:val="double" w:sz="6" w:space="0" w:color="auto"/>
              <w:right w:val="nil"/>
            </w:tcBorders>
            <w:noWrap/>
            <w:tcMar>
              <w:top w:w="15" w:type="dxa"/>
              <w:left w:w="15" w:type="dxa"/>
              <w:bottom w:w="0" w:type="dxa"/>
              <w:right w:w="15" w:type="dxa"/>
            </w:tcMar>
            <w:vAlign w:val="center"/>
          </w:tcPr>
          <w:p w14:paraId="093CF0AC" w14:textId="040E2B5B" w:rsidR="00FA4086" w:rsidRPr="006D56BD" w:rsidRDefault="0080146C">
            <w:pPr>
              <w:ind w:right="90"/>
              <w:jc w:val="right"/>
              <w:rPr>
                <w:rFonts w:eastAsia="Arial Unicode MS"/>
                <w:sz w:val="22"/>
                <w:szCs w:val="22"/>
              </w:rPr>
            </w:pPr>
            <w:r>
              <w:rPr>
                <w:rFonts w:eastAsia="Arial Unicode MS"/>
                <w:sz w:val="22"/>
                <w:szCs w:val="22"/>
              </w:rPr>
              <w:t>(</w:t>
            </w:r>
            <w:r w:rsidR="001606F8">
              <w:rPr>
                <w:rFonts w:eastAsia="Arial Unicode MS"/>
                <w:sz w:val="22"/>
                <w:szCs w:val="22"/>
              </w:rPr>
              <w:t>810,551</w:t>
            </w:r>
            <w:r w:rsidR="00204FDA">
              <w:rPr>
                <w:rFonts w:eastAsia="Arial Unicode MS"/>
                <w:sz w:val="22"/>
                <w:szCs w:val="22"/>
              </w:rPr>
              <w:t>)</w:t>
            </w:r>
          </w:p>
        </w:tc>
        <w:tc>
          <w:tcPr>
            <w:tcW w:w="1418" w:type="dxa"/>
            <w:gridSpan w:val="2"/>
            <w:tcBorders>
              <w:top w:val="single" w:sz="4" w:space="0" w:color="auto"/>
              <w:left w:val="nil"/>
              <w:bottom w:val="double" w:sz="6" w:space="0" w:color="auto"/>
              <w:right w:val="nil"/>
            </w:tcBorders>
            <w:noWrap/>
            <w:tcMar>
              <w:top w:w="15" w:type="dxa"/>
              <w:left w:w="15" w:type="dxa"/>
              <w:bottom w:w="0" w:type="dxa"/>
              <w:right w:w="15" w:type="dxa"/>
            </w:tcMar>
            <w:vAlign w:val="center"/>
          </w:tcPr>
          <w:p w14:paraId="01E99E20" w14:textId="39A7FAAC" w:rsidR="00FA4086" w:rsidRPr="0077396B" w:rsidRDefault="00DB4422" w:rsidP="00D164E1">
            <w:pPr>
              <w:ind w:right="90"/>
              <w:jc w:val="right"/>
              <w:rPr>
                <w:rFonts w:eastAsia="Arial Unicode MS"/>
                <w:sz w:val="22"/>
                <w:szCs w:val="22"/>
              </w:rPr>
            </w:pPr>
            <w:r>
              <w:rPr>
                <w:sz w:val="22"/>
                <w:szCs w:val="22"/>
              </w:rPr>
              <w:t>(</w:t>
            </w:r>
            <w:r w:rsidR="0080146C">
              <w:rPr>
                <w:sz w:val="22"/>
                <w:szCs w:val="22"/>
              </w:rPr>
              <w:t>586,922</w:t>
            </w:r>
            <w:r>
              <w:rPr>
                <w:sz w:val="22"/>
                <w:szCs w:val="22"/>
              </w:rPr>
              <w:t>)</w:t>
            </w:r>
          </w:p>
        </w:tc>
      </w:tr>
      <w:tr w:rsidR="00744595" w:rsidRPr="0077396B" w14:paraId="08402295" w14:textId="77777777" w:rsidTr="0080146C">
        <w:trPr>
          <w:trHeight w:val="301"/>
        </w:trPr>
        <w:tc>
          <w:tcPr>
            <w:tcW w:w="5263" w:type="dxa"/>
            <w:tcBorders>
              <w:top w:val="nil"/>
              <w:left w:val="nil"/>
              <w:bottom w:val="nil"/>
              <w:right w:val="nil"/>
            </w:tcBorders>
            <w:noWrap/>
            <w:tcMar>
              <w:top w:w="15" w:type="dxa"/>
              <w:left w:w="15" w:type="dxa"/>
              <w:bottom w:w="0" w:type="dxa"/>
              <w:right w:w="15" w:type="dxa"/>
            </w:tcMar>
            <w:vAlign w:val="bottom"/>
          </w:tcPr>
          <w:p w14:paraId="65DA424C" w14:textId="77777777" w:rsidR="00744595" w:rsidRPr="0077396B" w:rsidRDefault="00744595" w:rsidP="00FA4086">
            <w:pPr>
              <w:rPr>
                <w:rFonts w:eastAsia="Arial Unicode MS"/>
                <w:sz w:val="22"/>
                <w:szCs w:val="22"/>
              </w:rPr>
            </w:pPr>
          </w:p>
        </w:tc>
        <w:tc>
          <w:tcPr>
            <w:tcW w:w="1400" w:type="dxa"/>
            <w:gridSpan w:val="2"/>
            <w:tcBorders>
              <w:top w:val="nil"/>
              <w:left w:val="nil"/>
              <w:bottom w:val="nil"/>
              <w:right w:val="nil"/>
            </w:tcBorders>
            <w:noWrap/>
            <w:tcMar>
              <w:top w:w="15" w:type="dxa"/>
              <w:left w:w="15" w:type="dxa"/>
              <w:bottom w:w="0" w:type="dxa"/>
              <w:right w:w="15" w:type="dxa"/>
            </w:tcMar>
            <w:vAlign w:val="bottom"/>
          </w:tcPr>
          <w:p w14:paraId="012E5460" w14:textId="77777777" w:rsidR="00744595" w:rsidRPr="0077396B" w:rsidRDefault="00744595" w:rsidP="00FA4086">
            <w:pPr>
              <w:rPr>
                <w:rFonts w:eastAsia="Arial Unicode MS"/>
                <w:sz w:val="22"/>
                <w:szCs w:val="22"/>
              </w:rPr>
            </w:pPr>
          </w:p>
        </w:tc>
        <w:tc>
          <w:tcPr>
            <w:tcW w:w="1643" w:type="dxa"/>
            <w:gridSpan w:val="2"/>
            <w:tcBorders>
              <w:top w:val="nil"/>
              <w:left w:val="nil"/>
              <w:bottom w:val="nil"/>
              <w:right w:val="nil"/>
            </w:tcBorders>
            <w:noWrap/>
            <w:tcMar>
              <w:top w:w="15" w:type="dxa"/>
              <w:left w:w="15" w:type="dxa"/>
              <w:bottom w:w="0" w:type="dxa"/>
              <w:right w:w="15" w:type="dxa"/>
            </w:tcMar>
            <w:vAlign w:val="center"/>
          </w:tcPr>
          <w:p w14:paraId="69679687" w14:textId="77777777" w:rsidR="00744595" w:rsidRPr="006D56BD" w:rsidRDefault="00744595" w:rsidP="00D164E1">
            <w:pPr>
              <w:ind w:right="90"/>
              <w:jc w:val="right"/>
              <w:rPr>
                <w:rFonts w:eastAsia="Arial Unicode MS"/>
                <w:sz w:val="22"/>
                <w:szCs w:val="22"/>
              </w:rPr>
            </w:pPr>
          </w:p>
        </w:tc>
        <w:tc>
          <w:tcPr>
            <w:tcW w:w="1410" w:type="dxa"/>
            <w:gridSpan w:val="2"/>
            <w:tcBorders>
              <w:top w:val="nil"/>
              <w:left w:val="nil"/>
              <w:bottom w:val="nil"/>
              <w:right w:val="nil"/>
            </w:tcBorders>
            <w:vAlign w:val="center"/>
          </w:tcPr>
          <w:p w14:paraId="4606A6F7" w14:textId="77777777" w:rsidR="00744595" w:rsidRPr="0077396B" w:rsidRDefault="00744595" w:rsidP="00D164E1">
            <w:pPr>
              <w:ind w:right="90"/>
              <w:jc w:val="right"/>
              <w:rPr>
                <w:rFonts w:eastAsia="Arial Unicode MS"/>
                <w:sz w:val="22"/>
                <w:szCs w:val="22"/>
              </w:rPr>
            </w:pPr>
          </w:p>
        </w:tc>
      </w:tr>
    </w:tbl>
    <w:p w14:paraId="1D4BFF5D" w14:textId="77777777" w:rsidR="001E3BD1" w:rsidRDefault="007623F0">
      <w:pPr>
        <w:jc w:val="center"/>
        <w:rPr>
          <w:sz w:val="22"/>
          <w:szCs w:val="22"/>
        </w:rPr>
        <w:sectPr w:rsidR="001E3BD1" w:rsidSect="002E4AA5">
          <w:headerReference w:type="first" r:id="rId25"/>
          <w:pgSz w:w="11909" w:h="16834" w:code="9"/>
          <w:pgMar w:top="567" w:right="936" w:bottom="720" w:left="936" w:header="706" w:footer="706" w:gutter="0"/>
          <w:cols w:space="720"/>
          <w:titlePg/>
        </w:sectPr>
      </w:pPr>
      <w:r w:rsidRPr="0077396B">
        <w:rPr>
          <w:sz w:val="22"/>
          <w:szCs w:val="22"/>
        </w:rPr>
        <w:br w:type="page"/>
      </w:r>
    </w:p>
    <w:tbl>
      <w:tblPr>
        <w:tblW w:w="9945" w:type="dxa"/>
        <w:tblLayout w:type="fixed"/>
        <w:tblCellMar>
          <w:left w:w="0" w:type="dxa"/>
          <w:right w:w="0" w:type="dxa"/>
        </w:tblCellMar>
        <w:tblLook w:val="0000" w:firstRow="0" w:lastRow="0" w:firstColumn="0" w:lastColumn="0" w:noHBand="0" w:noVBand="0"/>
      </w:tblPr>
      <w:tblGrid>
        <w:gridCol w:w="5750"/>
        <w:gridCol w:w="1201"/>
        <w:gridCol w:w="1548"/>
        <w:gridCol w:w="1446"/>
      </w:tblGrid>
      <w:tr w:rsidR="00B548F4" w:rsidRPr="00C40661" w14:paraId="0102028D" w14:textId="77777777" w:rsidTr="003355AE">
        <w:trPr>
          <w:trHeight w:val="314"/>
        </w:trPr>
        <w:tc>
          <w:tcPr>
            <w:tcW w:w="5750" w:type="dxa"/>
            <w:tcBorders>
              <w:top w:val="nil"/>
              <w:left w:val="nil"/>
              <w:bottom w:val="nil"/>
              <w:right w:val="nil"/>
            </w:tcBorders>
            <w:noWrap/>
            <w:tcMar>
              <w:top w:w="15" w:type="dxa"/>
              <w:left w:w="15" w:type="dxa"/>
              <w:bottom w:w="0" w:type="dxa"/>
              <w:right w:w="15" w:type="dxa"/>
            </w:tcMar>
            <w:vAlign w:val="bottom"/>
          </w:tcPr>
          <w:p w14:paraId="7963886B" w14:textId="77777777" w:rsidR="00B548F4" w:rsidRPr="00C40661" w:rsidRDefault="00B548F4" w:rsidP="00B548F4">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7A7576EA" w14:textId="0E417FBA" w:rsidR="00B548F4" w:rsidRPr="00C40661" w:rsidRDefault="00B548F4" w:rsidP="00B548F4">
            <w:pPr>
              <w:jc w:val="center"/>
              <w:rPr>
                <w:rFonts w:eastAsia="Arial Unicode MS"/>
                <w:b/>
                <w:bCs/>
                <w:sz w:val="22"/>
                <w:szCs w:val="22"/>
              </w:rPr>
            </w:pPr>
            <w:r w:rsidRPr="00C40661">
              <w:rPr>
                <w:b/>
                <w:bCs/>
                <w:sz w:val="22"/>
                <w:szCs w:val="22"/>
              </w:rPr>
              <w:t>Note</w:t>
            </w:r>
            <w:r w:rsidR="00B15D76">
              <w:rPr>
                <w:b/>
                <w:bCs/>
                <w:sz w:val="22"/>
                <w:szCs w:val="22"/>
              </w:rPr>
              <w:t>s</w:t>
            </w:r>
          </w:p>
        </w:tc>
        <w:tc>
          <w:tcPr>
            <w:tcW w:w="1548" w:type="dxa"/>
            <w:tcBorders>
              <w:top w:val="nil"/>
              <w:left w:val="nil"/>
              <w:bottom w:val="nil"/>
              <w:right w:val="nil"/>
            </w:tcBorders>
            <w:vAlign w:val="bottom"/>
          </w:tcPr>
          <w:p w14:paraId="075FED91" w14:textId="74C611D7" w:rsidR="00B548F4" w:rsidRPr="00C40661" w:rsidRDefault="00A806B9" w:rsidP="00754973">
            <w:pPr>
              <w:ind w:right="130"/>
              <w:jc w:val="right"/>
              <w:rPr>
                <w:b/>
                <w:bCs/>
                <w:sz w:val="22"/>
                <w:szCs w:val="22"/>
              </w:rPr>
            </w:pPr>
            <w:r>
              <w:rPr>
                <w:b/>
                <w:bCs/>
                <w:sz w:val="22"/>
                <w:szCs w:val="22"/>
              </w:rPr>
              <w:t>Year</w:t>
            </w:r>
            <w:r w:rsidR="002D1228">
              <w:rPr>
                <w:b/>
                <w:bCs/>
                <w:sz w:val="22"/>
                <w:szCs w:val="22"/>
              </w:rPr>
              <w:t xml:space="preserve"> to</w:t>
            </w:r>
          </w:p>
        </w:tc>
        <w:tc>
          <w:tcPr>
            <w:tcW w:w="1446" w:type="dxa"/>
            <w:tcBorders>
              <w:top w:val="nil"/>
              <w:left w:val="nil"/>
              <w:bottom w:val="nil"/>
              <w:right w:val="nil"/>
            </w:tcBorders>
            <w:noWrap/>
            <w:tcMar>
              <w:top w:w="15" w:type="dxa"/>
              <w:left w:w="15" w:type="dxa"/>
              <w:bottom w:w="0" w:type="dxa"/>
              <w:right w:w="15" w:type="dxa"/>
            </w:tcMar>
            <w:vAlign w:val="bottom"/>
          </w:tcPr>
          <w:p w14:paraId="06297F37" w14:textId="76D11F6E" w:rsidR="00B548F4" w:rsidRPr="00C40661" w:rsidRDefault="00496481" w:rsidP="00754973">
            <w:pPr>
              <w:ind w:right="130"/>
              <w:jc w:val="right"/>
              <w:rPr>
                <w:rFonts w:eastAsia="Arial Unicode MS"/>
                <w:b/>
                <w:bCs/>
                <w:sz w:val="22"/>
                <w:szCs w:val="22"/>
              </w:rPr>
            </w:pPr>
            <w:r>
              <w:rPr>
                <w:b/>
                <w:bCs/>
                <w:sz w:val="22"/>
                <w:szCs w:val="22"/>
              </w:rPr>
              <w:t xml:space="preserve">10-Month Period </w:t>
            </w:r>
            <w:r w:rsidR="002D1228">
              <w:rPr>
                <w:b/>
                <w:bCs/>
                <w:sz w:val="22"/>
                <w:szCs w:val="22"/>
              </w:rPr>
              <w:t>to</w:t>
            </w:r>
          </w:p>
        </w:tc>
      </w:tr>
      <w:tr w:rsidR="002D1228" w:rsidRPr="00C40661" w14:paraId="051FB314" w14:textId="77777777" w:rsidTr="003355AE">
        <w:trPr>
          <w:trHeight w:val="314"/>
        </w:trPr>
        <w:tc>
          <w:tcPr>
            <w:tcW w:w="5750" w:type="dxa"/>
            <w:tcBorders>
              <w:top w:val="nil"/>
              <w:left w:val="nil"/>
              <w:bottom w:val="nil"/>
              <w:right w:val="nil"/>
            </w:tcBorders>
            <w:noWrap/>
            <w:tcMar>
              <w:top w:w="15" w:type="dxa"/>
              <w:left w:w="15" w:type="dxa"/>
              <w:bottom w:w="0" w:type="dxa"/>
              <w:right w:w="15" w:type="dxa"/>
            </w:tcMar>
            <w:vAlign w:val="bottom"/>
          </w:tcPr>
          <w:p w14:paraId="4F4E31B3" w14:textId="77777777" w:rsidR="002D1228" w:rsidRPr="00C40661" w:rsidRDefault="002D1228" w:rsidP="00B548F4">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05D58DE0" w14:textId="77777777" w:rsidR="002D1228" w:rsidRPr="00C40661" w:rsidRDefault="002D1228" w:rsidP="00B548F4">
            <w:pPr>
              <w:jc w:val="center"/>
              <w:rPr>
                <w:b/>
                <w:bCs/>
                <w:sz w:val="22"/>
                <w:szCs w:val="22"/>
              </w:rPr>
            </w:pPr>
          </w:p>
        </w:tc>
        <w:tc>
          <w:tcPr>
            <w:tcW w:w="1548" w:type="dxa"/>
            <w:tcBorders>
              <w:top w:val="nil"/>
              <w:left w:val="nil"/>
              <w:bottom w:val="nil"/>
              <w:right w:val="nil"/>
            </w:tcBorders>
            <w:vAlign w:val="bottom"/>
          </w:tcPr>
          <w:p w14:paraId="6CB088CA" w14:textId="06D8E4AB" w:rsidR="002D1228" w:rsidRPr="00C40661" w:rsidRDefault="002D1228" w:rsidP="00754973">
            <w:pPr>
              <w:ind w:right="130"/>
              <w:jc w:val="right"/>
              <w:rPr>
                <w:b/>
                <w:bCs/>
                <w:sz w:val="22"/>
                <w:szCs w:val="22"/>
              </w:rPr>
            </w:pPr>
            <w:r>
              <w:rPr>
                <w:b/>
                <w:bCs/>
                <w:sz w:val="22"/>
                <w:szCs w:val="22"/>
              </w:rPr>
              <w:t>31 December 20</w:t>
            </w:r>
            <w:r w:rsidR="00A806B9">
              <w:rPr>
                <w:b/>
                <w:bCs/>
                <w:sz w:val="22"/>
                <w:szCs w:val="22"/>
              </w:rPr>
              <w:t>20</w:t>
            </w:r>
          </w:p>
        </w:tc>
        <w:tc>
          <w:tcPr>
            <w:tcW w:w="1446" w:type="dxa"/>
            <w:tcBorders>
              <w:top w:val="nil"/>
              <w:left w:val="nil"/>
              <w:bottom w:val="nil"/>
              <w:right w:val="nil"/>
            </w:tcBorders>
            <w:noWrap/>
            <w:tcMar>
              <w:top w:w="15" w:type="dxa"/>
              <w:left w:w="15" w:type="dxa"/>
              <w:bottom w:w="0" w:type="dxa"/>
              <w:right w:w="15" w:type="dxa"/>
            </w:tcMar>
            <w:vAlign w:val="bottom"/>
          </w:tcPr>
          <w:p w14:paraId="4B7C92FC" w14:textId="00A92BAF" w:rsidR="002D1228" w:rsidRPr="00C40661" w:rsidRDefault="00496481" w:rsidP="00754973">
            <w:pPr>
              <w:ind w:right="130"/>
              <w:jc w:val="right"/>
              <w:rPr>
                <w:b/>
                <w:bCs/>
                <w:sz w:val="22"/>
                <w:szCs w:val="22"/>
              </w:rPr>
            </w:pPr>
            <w:r>
              <w:rPr>
                <w:b/>
                <w:bCs/>
                <w:sz w:val="22"/>
                <w:szCs w:val="22"/>
              </w:rPr>
              <w:t>31 December</w:t>
            </w:r>
            <w:r w:rsidR="002D1228">
              <w:rPr>
                <w:b/>
                <w:bCs/>
                <w:sz w:val="22"/>
                <w:szCs w:val="22"/>
              </w:rPr>
              <w:t xml:space="preserve"> 2019</w:t>
            </w:r>
          </w:p>
        </w:tc>
      </w:tr>
      <w:tr w:rsidR="00B548F4" w:rsidRPr="00C40661" w14:paraId="4071A3F4" w14:textId="77777777" w:rsidTr="003355AE">
        <w:trPr>
          <w:trHeight w:val="314"/>
        </w:trPr>
        <w:tc>
          <w:tcPr>
            <w:tcW w:w="5750" w:type="dxa"/>
            <w:tcBorders>
              <w:top w:val="nil"/>
              <w:left w:val="nil"/>
              <w:bottom w:val="nil"/>
              <w:right w:val="nil"/>
            </w:tcBorders>
            <w:noWrap/>
            <w:tcMar>
              <w:top w:w="15" w:type="dxa"/>
              <w:left w:w="15" w:type="dxa"/>
              <w:bottom w:w="0" w:type="dxa"/>
              <w:right w:w="15" w:type="dxa"/>
            </w:tcMar>
            <w:vAlign w:val="bottom"/>
          </w:tcPr>
          <w:p w14:paraId="45289D16" w14:textId="77777777" w:rsidR="00B548F4" w:rsidRPr="00C40661" w:rsidRDefault="00B548F4" w:rsidP="00B548F4">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421F21DF" w14:textId="77777777" w:rsidR="00B548F4" w:rsidRPr="00C40661" w:rsidRDefault="00B548F4" w:rsidP="00B548F4">
            <w:pPr>
              <w:rPr>
                <w:rFonts w:eastAsia="Arial Unicode MS"/>
                <w:sz w:val="22"/>
                <w:szCs w:val="22"/>
              </w:rPr>
            </w:pPr>
          </w:p>
        </w:tc>
        <w:tc>
          <w:tcPr>
            <w:tcW w:w="1548" w:type="dxa"/>
            <w:tcBorders>
              <w:top w:val="nil"/>
              <w:left w:val="nil"/>
              <w:bottom w:val="nil"/>
              <w:right w:val="nil"/>
            </w:tcBorders>
            <w:vAlign w:val="bottom"/>
          </w:tcPr>
          <w:p w14:paraId="3F6334E3" w14:textId="2C816E18" w:rsidR="00B548F4" w:rsidRPr="00C40661" w:rsidRDefault="00B548F4" w:rsidP="00B548F4">
            <w:pPr>
              <w:ind w:right="130"/>
              <w:jc w:val="right"/>
              <w:rPr>
                <w:b/>
                <w:bCs/>
                <w:sz w:val="22"/>
                <w:szCs w:val="22"/>
              </w:rPr>
            </w:pPr>
            <w:r w:rsidRPr="00C40661">
              <w:rPr>
                <w:b/>
                <w:bCs/>
                <w:sz w:val="22"/>
                <w:szCs w:val="22"/>
              </w:rPr>
              <w:t>£</w:t>
            </w:r>
          </w:p>
        </w:tc>
        <w:tc>
          <w:tcPr>
            <w:tcW w:w="1446" w:type="dxa"/>
            <w:tcBorders>
              <w:top w:val="nil"/>
              <w:left w:val="nil"/>
              <w:bottom w:val="nil"/>
              <w:right w:val="nil"/>
            </w:tcBorders>
            <w:noWrap/>
            <w:tcMar>
              <w:top w:w="15" w:type="dxa"/>
              <w:left w:w="15" w:type="dxa"/>
              <w:bottom w:w="0" w:type="dxa"/>
              <w:right w:w="15" w:type="dxa"/>
            </w:tcMar>
            <w:vAlign w:val="bottom"/>
          </w:tcPr>
          <w:p w14:paraId="5BF0D03D" w14:textId="77777777" w:rsidR="00B548F4" w:rsidRPr="00C40661" w:rsidRDefault="00B548F4" w:rsidP="00B548F4">
            <w:pPr>
              <w:ind w:right="130"/>
              <w:jc w:val="right"/>
              <w:rPr>
                <w:rFonts w:eastAsia="Arial Unicode MS"/>
                <w:b/>
                <w:bCs/>
                <w:sz w:val="22"/>
                <w:szCs w:val="22"/>
              </w:rPr>
            </w:pPr>
            <w:r w:rsidRPr="00C40661">
              <w:rPr>
                <w:b/>
                <w:bCs/>
                <w:sz w:val="22"/>
                <w:szCs w:val="22"/>
              </w:rPr>
              <w:t>£</w:t>
            </w:r>
          </w:p>
        </w:tc>
      </w:tr>
      <w:tr w:rsidR="00744595" w:rsidRPr="00C40661" w14:paraId="4BD1DE76" w14:textId="77777777" w:rsidTr="00652CBB">
        <w:trPr>
          <w:trHeight w:val="314"/>
        </w:trPr>
        <w:tc>
          <w:tcPr>
            <w:tcW w:w="5750" w:type="dxa"/>
            <w:tcBorders>
              <w:top w:val="nil"/>
              <w:left w:val="nil"/>
              <w:bottom w:val="nil"/>
              <w:right w:val="nil"/>
            </w:tcBorders>
            <w:noWrap/>
            <w:tcMar>
              <w:top w:w="15" w:type="dxa"/>
              <w:left w:w="15" w:type="dxa"/>
              <w:bottom w:w="0" w:type="dxa"/>
              <w:right w:w="15" w:type="dxa"/>
            </w:tcMar>
            <w:vAlign w:val="bottom"/>
          </w:tcPr>
          <w:p w14:paraId="62ABA1C7" w14:textId="77777777" w:rsidR="00744595" w:rsidRPr="00C40661" w:rsidRDefault="00744595">
            <w:pPr>
              <w:rPr>
                <w:rFonts w:eastAsia="Arial Unicode MS"/>
                <w:sz w:val="22"/>
                <w:szCs w:val="22"/>
              </w:rPr>
            </w:pPr>
            <w:r w:rsidRPr="00C40661">
              <w:rPr>
                <w:b/>
                <w:bCs/>
                <w:sz w:val="22"/>
                <w:szCs w:val="22"/>
              </w:rPr>
              <w:t>Non-current assets</w:t>
            </w:r>
          </w:p>
        </w:tc>
        <w:tc>
          <w:tcPr>
            <w:tcW w:w="1201" w:type="dxa"/>
            <w:tcBorders>
              <w:top w:val="nil"/>
              <w:left w:val="nil"/>
              <w:bottom w:val="nil"/>
              <w:right w:val="nil"/>
            </w:tcBorders>
            <w:noWrap/>
            <w:tcMar>
              <w:top w:w="15" w:type="dxa"/>
              <w:left w:w="15" w:type="dxa"/>
              <w:bottom w:w="0" w:type="dxa"/>
              <w:right w:w="15" w:type="dxa"/>
            </w:tcMar>
            <w:vAlign w:val="bottom"/>
          </w:tcPr>
          <w:p w14:paraId="6D6A3CD6" w14:textId="77777777" w:rsidR="00744595" w:rsidRPr="00C40661" w:rsidRDefault="00744595">
            <w:pPr>
              <w:rPr>
                <w:rFonts w:eastAsia="Arial Unicode MS"/>
                <w:sz w:val="22"/>
                <w:szCs w:val="22"/>
              </w:rPr>
            </w:pPr>
          </w:p>
        </w:tc>
        <w:tc>
          <w:tcPr>
            <w:tcW w:w="1548" w:type="dxa"/>
            <w:tcBorders>
              <w:top w:val="nil"/>
              <w:left w:val="nil"/>
              <w:bottom w:val="nil"/>
              <w:right w:val="nil"/>
            </w:tcBorders>
          </w:tcPr>
          <w:p w14:paraId="1FACCD03" w14:textId="77777777" w:rsidR="00744595" w:rsidRPr="00C40661" w:rsidRDefault="00744595" w:rsidP="00FA4086">
            <w:pPr>
              <w:ind w:right="130"/>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bottom"/>
          </w:tcPr>
          <w:p w14:paraId="4341BBE3" w14:textId="77777777" w:rsidR="00744595" w:rsidRPr="00C40661" w:rsidRDefault="00744595" w:rsidP="00FA4086">
            <w:pPr>
              <w:ind w:right="130"/>
              <w:rPr>
                <w:rFonts w:eastAsia="Arial Unicode MS"/>
                <w:sz w:val="22"/>
                <w:szCs w:val="22"/>
              </w:rPr>
            </w:pPr>
          </w:p>
        </w:tc>
      </w:tr>
      <w:tr w:rsidR="00447507" w:rsidRPr="00C40661" w14:paraId="5C38FF67"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3B17AD34" w14:textId="6249B490" w:rsidR="00447507" w:rsidRPr="00C40661" w:rsidRDefault="00447507" w:rsidP="00754973">
            <w:pPr>
              <w:rPr>
                <w:sz w:val="22"/>
                <w:szCs w:val="22"/>
              </w:rPr>
            </w:pPr>
            <w:r>
              <w:rPr>
                <w:sz w:val="22"/>
                <w:szCs w:val="22"/>
              </w:rPr>
              <w:t>Intangible fixed assets</w:t>
            </w:r>
          </w:p>
        </w:tc>
        <w:tc>
          <w:tcPr>
            <w:tcW w:w="1201" w:type="dxa"/>
            <w:tcBorders>
              <w:top w:val="nil"/>
              <w:left w:val="nil"/>
              <w:bottom w:val="nil"/>
              <w:right w:val="nil"/>
            </w:tcBorders>
            <w:noWrap/>
            <w:tcMar>
              <w:top w:w="15" w:type="dxa"/>
              <w:left w:w="15" w:type="dxa"/>
              <w:bottom w:w="0" w:type="dxa"/>
              <w:right w:w="15" w:type="dxa"/>
            </w:tcMar>
            <w:vAlign w:val="bottom"/>
          </w:tcPr>
          <w:p w14:paraId="165C7A70" w14:textId="66D24085" w:rsidR="00447507" w:rsidRPr="00613836" w:rsidRDefault="00613836" w:rsidP="00754973">
            <w:pPr>
              <w:jc w:val="center"/>
              <w:rPr>
                <w:rFonts w:eastAsia="Arial Unicode MS"/>
                <w:b/>
                <w:bCs/>
                <w:sz w:val="22"/>
                <w:szCs w:val="22"/>
              </w:rPr>
            </w:pPr>
            <w:r w:rsidRPr="00613836">
              <w:rPr>
                <w:rFonts w:eastAsia="Arial Unicode MS"/>
                <w:b/>
                <w:bCs/>
                <w:sz w:val="22"/>
                <w:szCs w:val="22"/>
              </w:rPr>
              <w:t>8</w:t>
            </w:r>
          </w:p>
        </w:tc>
        <w:tc>
          <w:tcPr>
            <w:tcW w:w="1548" w:type="dxa"/>
            <w:tcBorders>
              <w:top w:val="nil"/>
              <w:left w:val="nil"/>
              <w:bottom w:val="nil"/>
              <w:right w:val="nil"/>
            </w:tcBorders>
            <w:vAlign w:val="center"/>
          </w:tcPr>
          <w:p w14:paraId="74D1C64B" w14:textId="3CAE63D1" w:rsidR="00447507" w:rsidRDefault="00396E55" w:rsidP="00754973">
            <w:pPr>
              <w:ind w:right="130"/>
              <w:jc w:val="right"/>
              <w:rPr>
                <w:sz w:val="22"/>
                <w:szCs w:val="22"/>
              </w:rPr>
            </w:pPr>
            <w:r>
              <w:rPr>
                <w:sz w:val="22"/>
                <w:szCs w:val="22"/>
              </w:rPr>
              <w:t>668,93</w:t>
            </w:r>
            <w:r w:rsidR="00580D88">
              <w:rPr>
                <w:sz w:val="22"/>
                <w:szCs w:val="22"/>
              </w:rPr>
              <w:t>7</w:t>
            </w:r>
          </w:p>
        </w:tc>
        <w:tc>
          <w:tcPr>
            <w:tcW w:w="1446" w:type="dxa"/>
            <w:tcBorders>
              <w:top w:val="nil"/>
              <w:left w:val="nil"/>
              <w:bottom w:val="nil"/>
              <w:right w:val="nil"/>
            </w:tcBorders>
            <w:noWrap/>
            <w:tcMar>
              <w:top w:w="15" w:type="dxa"/>
              <w:left w:w="15" w:type="dxa"/>
              <w:bottom w:w="0" w:type="dxa"/>
              <w:right w:w="15" w:type="dxa"/>
            </w:tcMar>
            <w:vAlign w:val="center"/>
          </w:tcPr>
          <w:p w14:paraId="2EB12083" w14:textId="63A8B60C" w:rsidR="00447507" w:rsidRDefault="00496481" w:rsidP="00754973">
            <w:pPr>
              <w:ind w:right="130"/>
              <w:jc w:val="right"/>
              <w:rPr>
                <w:sz w:val="22"/>
                <w:szCs w:val="22"/>
              </w:rPr>
            </w:pPr>
            <w:r>
              <w:rPr>
                <w:sz w:val="22"/>
                <w:szCs w:val="22"/>
              </w:rPr>
              <w:t>666,29</w:t>
            </w:r>
            <w:r w:rsidR="00F54810">
              <w:rPr>
                <w:sz w:val="22"/>
                <w:szCs w:val="22"/>
              </w:rPr>
              <w:t>0</w:t>
            </w:r>
          </w:p>
        </w:tc>
      </w:tr>
      <w:tr w:rsidR="00754973" w:rsidRPr="00C40661" w14:paraId="37FDD363"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7535584E" w14:textId="77777777" w:rsidR="00754973" w:rsidRPr="00C40661" w:rsidRDefault="00754973" w:rsidP="00754973">
            <w:pPr>
              <w:rPr>
                <w:rFonts w:eastAsia="Arial Unicode MS"/>
                <w:sz w:val="22"/>
                <w:szCs w:val="22"/>
              </w:rPr>
            </w:pPr>
            <w:r w:rsidRPr="00C40661">
              <w:rPr>
                <w:sz w:val="22"/>
                <w:szCs w:val="22"/>
              </w:rPr>
              <w:t>Investments</w:t>
            </w:r>
          </w:p>
        </w:tc>
        <w:tc>
          <w:tcPr>
            <w:tcW w:w="1201" w:type="dxa"/>
            <w:tcBorders>
              <w:top w:val="nil"/>
              <w:left w:val="nil"/>
              <w:bottom w:val="nil"/>
              <w:right w:val="nil"/>
            </w:tcBorders>
            <w:noWrap/>
            <w:tcMar>
              <w:top w:w="15" w:type="dxa"/>
              <w:left w:w="15" w:type="dxa"/>
              <w:bottom w:w="0" w:type="dxa"/>
              <w:right w:w="15" w:type="dxa"/>
            </w:tcMar>
            <w:vAlign w:val="bottom"/>
          </w:tcPr>
          <w:p w14:paraId="1A89A611" w14:textId="3AA06A25" w:rsidR="00754973" w:rsidRPr="00613836" w:rsidRDefault="00613836" w:rsidP="00754973">
            <w:pPr>
              <w:jc w:val="center"/>
              <w:rPr>
                <w:rFonts w:eastAsia="Arial Unicode MS"/>
                <w:b/>
                <w:bCs/>
                <w:sz w:val="22"/>
                <w:szCs w:val="22"/>
              </w:rPr>
            </w:pPr>
            <w:r w:rsidRPr="00613836">
              <w:rPr>
                <w:rFonts w:eastAsia="Arial Unicode MS"/>
                <w:b/>
                <w:bCs/>
                <w:sz w:val="22"/>
                <w:szCs w:val="22"/>
              </w:rPr>
              <w:t>8</w:t>
            </w:r>
          </w:p>
        </w:tc>
        <w:tc>
          <w:tcPr>
            <w:tcW w:w="1548" w:type="dxa"/>
            <w:tcBorders>
              <w:top w:val="nil"/>
              <w:left w:val="nil"/>
              <w:bottom w:val="nil"/>
              <w:right w:val="nil"/>
            </w:tcBorders>
            <w:vAlign w:val="center"/>
          </w:tcPr>
          <w:p w14:paraId="2DB4AC39" w14:textId="49B72E0C" w:rsidR="00754973" w:rsidRPr="006D56BD" w:rsidRDefault="00396E55" w:rsidP="00754973">
            <w:pPr>
              <w:ind w:right="130"/>
              <w:jc w:val="right"/>
              <w:rPr>
                <w:sz w:val="22"/>
                <w:szCs w:val="22"/>
              </w:rPr>
            </w:pPr>
            <w:r>
              <w:rPr>
                <w:sz w:val="22"/>
                <w:szCs w:val="22"/>
              </w:rPr>
              <w:t>466,652</w:t>
            </w:r>
          </w:p>
        </w:tc>
        <w:tc>
          <w:tcPr>
            <w:tcW w:w="1446" w:type="dxa"/>
            <w:tcBorders>
              <w:top w:val="nil"/>
              <w:left w:val="nil"/>
              <w:bottom w:val="nil"/>
              <w:right w:val="nil"/>
            </w:tcBorders>
            <w:noWrap/>
            <w:tcMar>
              <w:top w:w="15" w:type="dxa"/>
              <w:left w:w="15" w:type="dxa"/>
              <w:bottom w:w="0" w:type="dxa"/>
              <w:right w:w="15" w:type="dxa"/>
            </w:tcMar>
            <w:vAlign w:val="center"/>
          </w:tcPr>
          <w:p w14:paraId="073FDC94" w14:textId="51548208" w:rsidR="00754973" w:rsidRPr="00C40661" w:rsidRDefault="00496481" w:rsidP="00754973">
            <w:pPr>
              <w:ind w:right="130"/>
              <w:jc w:val="right"/>
              <w:rPr>
                <w:rFonts w:eastAsia="Arial Unicode MS"/>
                <w:sz w:val="22"/>
                <w:szCs w:val="22"/>
              </w:rPr>
            </w:pPr>
            <w:r>
              <w:rPr>
                <w:sz w:val="22"/>
                <w:szCs w:val="22"/>
              </w:rPr>
              <w:t>131,667</w:t>
            </w:r>
          </w:p>
        </w:tc>
      </w:tr>
      <w:tr w:rsidR="00754973" w:rsidRPr="00C40661" w14:paraId="23F73D78"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12A0D099" w14:textId="45CBBB46" w:rsidR="00754973" w:rsidRPr="00B07C37" w:rsidRDefault="00754973" w:rsidP="00754973">
            <w:pPr>
              <w:rPr>
                <w:sz w:val="22"/>
                <w:szCs w:val="22"/>
              </w:rPr>
            </w:pPr>
            <w:r w:rsidRPr="00B07C37">
              <w:rPr>
                <w:sz w:val="22"/>
                <w:szCs w:val="22"/>
              </w:rPr>
              <w:t>Available for sale assets</w:t>
            </w:r>
          </w:p>
        </w:tc>
        <w:tc>
          <w:tcPr>
            <w:tcW w:w="1201" w:type="dxa"/>
            <w:tcBorders>
              <w:top w:val="nil"/>
              <w:left w:val="nil"/>
              <w:bottom w:val="nil"/>
              <w:right w:val="nil"/>
            </w:tcBorders>
            <w:noWrap/>
            <w:tcMar>
              <w:top w:w="15" w:type="dxa"/>
              <w:left w:w="15" w:type="dxa"/>
              <w:bottom w:w="0" w:type="dxa"/>
              <w:right w:w="15" w:type="dxa"/>
            </w:tcMar>
            <w:vAlign w:val="bottom"/>
          </w:tcPr>
          <w:p w14:paraId="3E6F4181" w14:textId="3714D706" w:rsidR="00754973" w:rsidRPr="00613836" w:rsidRDefault="00613836" w:rsidP="00754973">
            <w:pPr>
              <w:jc w:val="center"/>
              <w:rPr>
                <w:rFonts w:eastAsia="Arial Unicode MS"/>
                <w:b/>
                <w:bCs/>
                <w:sz w:val="22"/>
                <w:szCs w:val="22"/>
              </w:rPr>
            </w:pPr>
            <w:r w:rsidRPr="00613836">
              <w:rPr>
                <w:rFonts w:eastAsia="Arial Unicode MS"/>
                <w:b/>
                <w:bCs/>
                <w:sz w:val="22"/>
                <w:szCs w:val="22"/>
              </w:rPr>
              <w:t>8</w:t>
            </w:r>
          </w:p>
        </w:tc>
        <w:tc>
          <w:tcPr>
            <w:tcW w:w="1548" w:type="dxa"/>
            <w:tcBorders>
              <w:top w:val="nil"/>
              <w:left w:val="nil"/>
              <w:bottom w:val="nil"/>
              <w:right w:val="nil"/>
            </w:tcBorders>
            <w:vAlign w:val="center"/>
          </w:tcPr>
          <w:p w14:paraId="4D30D1BC" w14:textId="15835ED7" w:rsidR="00754973" w:rsidRPr="00B07C37" w:rsidRDefault="00496481" w:rsidP="00754973">
            <w:pPr>
              <w:ind w:right="130"/>
              <w:jc w:val="right"/>
              <w:rPr>
                <w:sz w:val="22"/>
                <w:szCs w:val="22"/>
              </w:rPr>
            </w:pPr>
            <w:r>
              <w:rPr>
                <w:sz w:val="22"/>
                <w:szCs w:val="22"/>
              </w:rPr>
              <w:t>-</w:t>
            </w:r>
          </w:p>
        </w:tc>
        <w:tc>
          <w:tcPr>
            <w:tcW w:w="1446" w:type="dxa"/>
            <w:tcBorders>
              <w:top w:val="nil"/>
              <w:left w:val="nil"/>
              <w:bottom w:val="nil"/>
              <w:right w:val="nil"/>
            </w:tcBorders>
            <w:noWrap/>
            <w:tcMar>
              <w:top w:w="15" w:type="dxa"/>
              <w:left w:w="15" w:type="dxa"/>
              <w:bottom w:w="0" w:type="dxa"/>
              <w:right w:w="15" w:type="dxa"/>
            </w:tcMar>
            <w:vAlign w:val="center"/>
          </w:tcPr>
          <w:p w14:paraId="64EAEF9D" w14:textId="320D4240" w:rsidR="00754973" w:rsidRPr="00B07C37" w:rsidRDefault="00496481" w:rsidP="00754973">
            <w:pPr>
              <w:ind w:right="130"/>
              <w:jc w:val="right"/>
              <w:rPr>
                <w:sz w:val="22"/>
                <w:szCs w:val="22"/>
              </w:rPr>
            </w:pPr>
            <w:r>
              <w:rPr>
                <w:sz w:val="22"/>
                <w:szCs w:val="22"/>
              </w:rPr>
              <w:t>83,333</w:t>
            </w:r>
          </w:p>
        </w:tc>
      </w:tr>
      <w:tr w:rsidR="00754973" w:rsidRPr="00C40661" w14:paraId="04F1EDBC"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1FA34A98" w14:textId="77777777" w:rsidR="00754973" w:rsidRPr="00C40661" w:rsidRDefault="00754973" w:rsidP="00754973">
            <w:pPr>
              <w:rPr>
                <w:rFonts w:eastAsia="Arial Unicode MS"/>
                <w:b/>
                <w:bCs/>
                <w:sz w:val="22"/>
                <w:szCs w:val="22"/>
              </w:rPr>
            </w:pPr>
            <w:r w:rsidRPr="00C40661">
              <w:rPr>
                <w:b/>
                <w:bCs/>
                <w:sz w:val="22"/>
                <w:szCs w:val="22"/>
              </w:rPr>
              <w:t>Total non-current assets</w:t>
            </w:r>
          </w:p>
        </w:tc>
        <w:tc>
          <w:tcPr>
            <w:tcW w:w="1201" w:type="dxa"/>
            <w:tcBorders>
              <w:top w:val="nil"/>
              <w:left w:val="nil"/>
              <w:bottom w:val="nil"/>
              <w:right w:val="nil"/>
            </w:tcBorders>
            <w:noWrap/>
            <w:tcMar>
              <w:top w:w="15" w:type="dxa"/>
              <w:left w:w="15" w:type="dxa"/>
              <w:bottom w:w="0" w:type="dxa"/>
              <w:right w:w="15" w:type="dxa"/>
            </w:tcMar>
            <w:vAlign w:val="bottom"/>
          </w:tcPr>
          <w:p w14:paraId="56716396" w14:textId="77777777" w:rsidR="00754973" w:rsidRPr="00613836" w:rsidRDefault="00754973" w:rsidP="00754973">
            <w:pPr>
              <w:rPr>
                <w:rFonts w:eastAsia="Arial Unicode MS"/>
                <w:sz w:val="22"/>
                <w:szCs w:val="22"/>
              </w:rPr>
            </w:pPr>
          </w:p>
        </w:tc>
        <w:tc>
          <w:tcPr>
            <w:tcW w:w="1548" w:type="dxa"/>
            <w:tcBorders>
              <w:top w:val="single" w:sz="4" w:space="0" w:color="auto"/>
              <w:left w:val="nil"/>
              <w:bottom w:val="single" w:sz="4" w:space="0" w:color="auto"/>
              <w:right w:val="nil"/>
            </w:tcBorders>
            <w:vAlign w:val="center"/>
          </w:tcPr>
          <w:p w14:paraId="57065E70" w14:textId="09381668" w:rsidR="00754973" w:rsidRPr="006D56BD" w:rsidRDefault="00396E55" w:rsidP="005A5093">
            <w:pPr>
              <w:ind w:right="130"/>
              <w:jc w:val="right"/>
              <w:rPr>
                <w:sz w:val="22"/>
                <w:szCs w:val="22"/>
              </w:rPr>
            </w:pPr>
            <w:r>
              <w:rPr>
                <w:sz w:val="22"/>
                <w:szCs w:val="22"/>
              </w:rPr>
              <w:t>1,135,</w:t>
            </w:r>
            <w:r w:rsidR="00580D88">
              <w:rPr>
                <w:sz w:val="22"/>
                <w:szCs w:val="22"/>
              </w:rPr>
              <w:t>589</w:t>
            </w:r>
          </w:p>
        </w:tc>
        <w:tc>
          <w:tcPr>
            <w:tcW w:w="1446"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2A61CC93" w14:textId="5A5CD249" w:rsidR="00754973" w:rsidRPr="00C40661" w:rsidRDefault="00496481" w:rsidP="00754973">
            <w:pPr>
              <w:ind w:right="130"/>
              <w:jc w:val="right"/>
              <w:rPr>
                <w:rFonts w:eastAsia="Arial Unicode MS"/>
                <w:sz w:val="22"/>
                <w:szCs w:val="22"/>
              </w:rPr>
            </w:pPr>
            <w:r>
              <w:rPr>
                <w:sz w:val="22"/>
                <w:szCs w:val="22"/>
              </w:rPr>
              <w:t>881,29</w:t>
            </w:r>
            <w:r w:rsidR="00F54810">
              <w:rPr>
                <w:sz w:val="22"/>
                <w:szCs w:val="22"/>
              </w:rPr>
              <w:t>0</w:t>
            </w:r>
          </w:p>
        </w:tc>
      </w:tr>
      <w:tr w:rsidR="00744595" w:rsidRPr="00C40661" w14:paraId="7AD0D5C4"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5039FFF7" w14:textId="77777777" w:rsidR="00744595" w:rsidRPr="00C40661" w:rsidRDefault="00744595">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5C1D892F" w14:textId="77777777" w:rsidR="00744595" w:rsidRPr="00613836" w:rsidRDefault="00744595">
            <w:pPr>
              <w:rPr>
                <w:rFonts w:eastAsia="Arial Unicode MS"/>
                <w:sz w:val="22"/>
                <w:szCs w:val="22"/>
              </w:rPr>
            </w:pPr>
          </w:p>
        </w:tc>
        <w:tc>
          <w:tcPr>
            <w:tcW w:w="1548" w:type="dxa"/>
            <w:tcBorders>
              <w:top w:val="nil"/>
              <w:left w:val="nil"/>
              <w:bottom w:val="nil"/>
              <w:right w:val="nil"/>
            </w:tcBorders>
            <w:vAlign w:val="center"/>
          </w:tcPr>
          <w:p w14:paraId="7424C3D6" w14:textId="77777777" w:rsidR="00744595" w:rsidRPr="006D56BD" w:rsidRDefault="00744595" w:rsidP="00D164E1">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4179DAEF" w14:textId="77777777" w:rsidR="00744595" w:rsidRPr="00C40661" w:rsidRDefault="00744595" w:rsidP="00D164E1">
            <w:pPr>
              <w:ind w:right="130"/>
              <w:jc w:val="right"/>
              <w:rPr>
                <w:rFonts w:eastAsia="Arial Unicode MS"/>
                <w:sz w:val="22"/>
                <w:szCs w:val="22"/>
              </w:rPr>
            </w:pPr>
          </w:p>
        </w:tc>
      </w:tr>
      <w:tr w:rsidR="00744595" w:rsidRPr="00C40661" w14:paraId="1A29AB67"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38A5C354" w14:textId="77777777" w:rsidR="00744595" w:rsidRPr="00C40661" w:rsidRDefault="00744595">
            <w:pPr>
              <w:rPr>
                <w:rFonts w:eastAsia="Arial Unicode MS"/>
                <w:sz w:val="22"/>
                <w:szCs w:val="22"/>
              </w:rPr>
            </w:pPr>
            <w:r w:rsidRPr="00C40661">
              <w:rPr>
                <w:b/>
                <w:bCs/>
                <w:sz w:val="22"/>
                <w:szCs w:val="22"/>
              </w:rPr>
              <w:t>Current assets</w:t>
            </w:r>
          </w:p>
        </w:tc>
        <w:tc>
          <w:tcPr>
            <w:tcW w:w="1201" w:type="dxa"/>
            <w:tcBorders>
              <w:top w:val="nil"/>
              <w:left w:val="nil"/>
              <w:bottom w:val="nil"/>
              <w:right w:val="nil"/>
            </w:tcBorders>
            <w:noWrap/>
            <w:tcMar>
              <w:top w:w="15" w:type="dxa"/>
              <w:left w:w="15" w:type="dxa"/>
              <w:bottom w:w="0" w:type="dxa"/>
              <w:right w:w="15" w:type="dxa"/>
            </w:tcMar>
            <w:vAlign w:val="bottom"/>
          </w:tcPr>
          <w:p w14:paraId="4A43428F" w14:textId="77777777" w:rsidR="00744595" w:rsidRPr="00613836" w:rsidRDefault="00744595">
            <w:pPr>
              <w:rPr>
                <w:rFonts w:eastAsia="Arial Unicode MS"/>
                <w:sz w:val="22"/>
                <w:szCs w:val="22"/>
              </w:rPr>
            </w:pPr>
          </w:p>
        </w:tc>
        <w:tc>
          <w:tcPr>
            <w:tcW w:w="1548" w:type="dxa"/>
            <w:tcBorders>
              <w:top w:val="nil"/>
              <w:left w:val="nil"/>
              <w:bottom w:val="nil"/>
              <w:right w:val="nil"/>
            </w:tcBorders>
            <w:vAlign w:val="center"/>
          </w:tcPr>
          <w:p w14:paraId="115D4803" w14:textId="77777777" w:rsidR="00744595" w:rsidRPr="006D56BD" w:rsidRDefault="00744595" w:rsidP="00D164E1">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42A04952" w14:textId="77777777" w:rsidR="00744595" w:rsidRPr="00C40661" w:rsidRDefault="00744595" w:rsidP="00D164E1">
            <w:pPr>
              <w:ind w:right="130"/>
              <w:jc w:val="right"/>
              <w:rPr>
                <w:rFonts w:eastAsia="Arial Unicode MS"/>
                <w:sz w:val="22"/>
                <w:szCs w:val="22"/>
              </w:rPr>
            </w:pPr>
          </w:p>
        </w:tc>
      </w:tr>
      <w:tr w:rsidR="00754973" w:rsidRPr="00C40661" w14:paraId="22F8F999" w14:textId="77777777" w:rsidTr="00652CBB">
        <w:trPr>
          <w:trHeight w:val="315"/>
        </w:trPr>
        <w:tc>
          <w:tcPr>
            <w:tcW w:w="5750" w:type="dxa"/>
            <w:tcBorders>
              <w:top w:val="nil"/>
              <w:left w:val="nil"/>
              <w:bottom w:val="nil"/>
              <w:right w:val="nil"/>
            </w:tcBorders>
            <w:noWrap/>
            <w:tcMar>
              <w:top w:w="15" w:type="dxa"/>
              <w:left w:w="15" w:type="dxa"/>
              <w:bottom w:w="0" w:type="dxa"/>
              <w:right w:w="15" w:type="dxa"/>
            </w:tcMar>
            <w:vAlign w:val="bottom"/>
          </w:tcPr>
          <w:p w14:paraId="4BA15560" w14:textId="77777777" w:rsidR="00754973" w:rsidRPr="00C40661" w:rsidRDefault="00754973" w:rsidP="00754973">
            <w:pPr>
              <w:rPr>
                <w:rFonts w:eastAsia="Arial Unicode MS"/>
                <w:sz w:val="22"/>
                <w:szCs w:val="22"/>
              </w:rPr>
            </w:pPr>
            <w:r w:rsidRPr="00C40661">
              <w:rPr>
                <w:sz w:val="22"/>
                <w:szCs w:val="22"/>
              </w:rPr>
              <w:t>Trade and other receivables</w:t>
            </w:r>
          </w:p>
        </w:tc>
        <w:tc>
          <w:tcPr>
            <w:tcW w:w="1201" w:type="dxa"/>
            <w:tcBorders>
              <w:top w:val="nil"/>
              <w:left w:val="nil"/>
              <w:bottom w:val="nil"/>
              <w:right w:val="nil"/>
            </w:tcBorders>
            <w:noWrap/>
            <w:tcMar>
              <w:top w:w="15" w:type="dxa"/>
              <w:left w:w="15" w:type="dxa"/>
              <w:bottom w:w="0" w:type="dxa"/>
              <w:right w:w="15" w:type="dxa"/>
            </w:tcMar>
            <w:vAlign w:val="bottom"/>
          </w:tcPr>
          <w:p w14:paraId="07551E3E" w14:textId="3589C2E5" w:rsidR="00754973" w:rsidRPr="00613836" w:rsidRDefault="00613836" w:rsidP="00754973">
            <w:pPr>
              <w:jc w:val="center"/>
              <w:rPr>
                <w:rFonts w:eastAsia="Arial Unicode MS"/>
                <w:b/>
                <w:bCs/>
                <w:sz w:val="22"/>
                <w:szCs w:val="22"/>
              </w:rPr>
            </w:pPr>
            <w:r w:rsidRPr="00613836">
              <w:rPr>
                <w:b/>
                <w:bCs/>
                <w:sz w:val="22"/>
                <w:szCs w:val="22"/>
              </w:rPr>
              <w:t>10</w:t>
            </w:r>
          </w:p>
        </w:tc>
        <w:tc>
          <w:tcPr>
            <w:tcW w:w="1548" w:type="dxa"/>
            <w:tcBorders>
              <w:top w:val="nil"/>
              <w:left w:val="nil"/>
              <w:bottom w:val="nil"/>
              <w:right w:val="nil"/>
            </w:tcBorders>
            <w:vAlign w:val="center"/>
          </w:tcPr>
          <w:p w14:paraId="6775E63F" w14:textId="5C250C1B" w:rsidR="00754973" w:rsidRPr="006D56BD" w:rsidRDefault="00396E55" w:rsidP="00754973">
            <w:pPr>
              <w:ind w:right="130"/>
              <w:jc w:val="right"/>
              <w:rPr>
                <w:sz w:val="22"/>
                <w:szCs w:val="22"/>
              </w:rPr>
            </w:pPr>
            <w:r>
              <w:rPr>
                <w:sz w:val="22"/>
                <w:szCs w:val="22"/>
              </w:rPr>
              <w:t>29,736</w:t>
            </w:r>
          </w:p>
        </w:tc>
        <w:tc>
          <w:tcPr>
            <w:tcW w:w="1446" w:type="dxa"/>
            <w:tcBorders>
              <w:top w:val="nil"/>
              <w:left w:val="nil"/>
              <w:bottom w:val="nil"/>
              <w:right w:val="nil"/>
            </w:tcBorders>
            <w:noWrap/>
            <w:tcMar>
              <w:top w:w="15" w:type="dxa"/>
              <w:left w:w="15" w:type="dxa"/>
              <w:bottom w:w="0" w:type="dxa"/>
              <w:right w:w="15" w:type="dxa"/>
            </w:tcMar>
            <w:vAlign w:val="center"/>
          </w:tcPr>
          <w:p w14:paraId="310EE1CB" w14:textId="1A7C4A67" w:rsidR="00754973" w:rsidRPr="00C40661" w:rsidRDefault="00496481" w:rsidP="00754973">
            <w:pPr>
              <w:ind w:right="130"/>
              <w:jc w:val="right"/>
              <w:rPr>
                <w:rFonts w:eastAsia="Arial Unicode MS"/>
                <w:sz w:val="22"/>
                <w:szCs w:val="22"/>
              </w:rPr>
            </w:pPr>
            <w:r>
              <w:rPr>
                <w:sz w:val="22"/>
                <w:szCs w:val="22"/>
              </w:rPr>
              <w:t>85,290</w:t>
            </w:r>
          </w:p>
        </w:tc>
      </w:tr>
      <w:tr w:rsidR="00754973" w:rsidRPr="00C40661" w14:paraId="03CE251A"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448C15AF" w14:textId="77777777" w:rsidR="00754973" w:rsidRPr="00C40661" w:rsidRDefault="00754973" w:rsidP="00754973">
            <w:pPr>
              <w:rPr>
                <w:rFonts w:eastAsia="Arial Unicode MS"/>
                <w:sz w:val="22"/>
                <w:szCs w:val="22"/>
              </w:rPr>
            </w:pPr>
            <w:r w:rsidRPr="00C40661">
              <w:rPr>
                <w:sz w:val="22"/>
                <w:szCs w:val="22"/>
              </w:rPr>
              <w:t>Cash and cash equivalents</w:t>
            </w:r>
          </w:p>
        </w:tc>
        <w:tc>
          <w:tcPr>
            <w:tcW w:w="1201" w:type="dxa"/>
            <w:tcBorders>
              <w:top w:val="nil"/>
              <w:left w:val="nil"/>
              <w:bottom w:val="nil"/>
              <w:right w:val="nil"/>
            </w:tcBorders>
            <w:noWrap/>
            <w:tcMar>
              <w:top w:w="15" w:type="dxa"/>
              <w:left w:w="15" w:type="dxa"/>
              <w:bottom w:w="0" w:type="dxa"/>
              <w:right w:w="15" w:type="dxa"/>
            </w:tcMar>
            <w:vAlign w:val="bottom"/>
          </w:tcPr>
          <w:p w14:paraId="4D28AFC4" w14:textId="01068A23" w:rsidR="00754973" w:rsidRPr="00613836" w:rsidRDefault="00613836" w:rsidP="00754973">
            <w:pPr>
              <w:jc w:val="center"/>
              <w:rPr>
                <w:rFonts w:eastAsia="Arial Unicode MS"/>
                <w:b/>
                <w:bCs/>
                <w:sz w:val="22"/>
                <w:szCs w:val="22"/>
              </w:rPr>
            </w:pPr>
            <w:r w:rsidRPr="00613836">
              <w:rPr>
                <w:b/>
                <w:bCs/>
                <w:sz w:val="22"/>
                <w:szCs w:val="22"/>
              </w:rPr>
              <w:t>11</w:t>
            </w:r>
          </w:p>
        </w:tc>
        <w:tc>
          <w:tcPr>
            <w:tcW w:w="1548" w:type="dxa"/>
            <w:tcBorders>
              <w:top w:val="nil"/>
              <w:left w:val="nil"/>
              <w:bottom w:val="single" w:sz="4" w:space="0" w:color="auto"/>
              <w:right w:val="nil"/>
            </w:tcBorders>
            <w:vAlign w:val="center"/>
          </w:tcPr>
          <w:p w14:paraId="2CEBE033" w14:textId="18EE221B" w:rsidR="00754973" w:rsidRPr="006D56BD" w:rsidRDefault="00FD3732" w:rsidP="00754973">
            <w:pPr>
              <w:ind w:right="130"/>
              <w:jc w:val="right"/>
              <w:rPr>
                <w:sz w:val="22"/>
                <w:szCs w:val="22"/>
              </w:rPr>
            </w:pPr>
            <w:r>
              <w:rPr>
                <w:sz w:val="22"/>
                <w:szCs w:val="22"/>
              </w:rPr>
              <w:t>63,61</w:t>
            </w:r>
            <w:r w:rsidR="002F6E92">
              <w:rPr>
                <w:sz w:val="22"/>
                <w:szCs w:val="22"/>
              </w:rPr>
              <w:t>1</w:t>
            </w:r>
          </w:p>
        </w:tc>
        <w:tc>
          <w:tcPr>
            <w:tcW w:w="1446" w:type="dxa"/>
            <w:tcBorders>
              <w:top w:val="nil"/>
              <w:left w:val="nil"/>
              <w:bottom w:val="single" w:sz="4" w:space="0" w:color="auto"/>
              <w:right w:val="nil"/>
            </w:tcBorders>
            <w:noWrap/>
            <w:tcMar>
              <w:top w:w="15" w:type="dxa"/>
              <w:left w:w="15" w:type="dxa"/>
              <w:bottom w:w="0" w:type="dxa"/>
              <w:right w:w="15" w:type="dxa"/>
            </w:tcMar>
            <w:vAlign w:val="center"/>
          </w:tcPr>
          <w:p w14:paraId="7004D0E0" w14:textId="2D3F092B" w:rsidR="00754973" w:rsidRPr="00C40661" w:rsidRDefault="00496481" w:rsidP="00754973">
            <w:pPr>
              <w:ind w:right="130"/>
              <w:jc w:val="right"/>
              <w:rPr>
                <w:rFonts w:eastAsia="Arial Unicode MS"/>
                <w:sz w:val="22"/>
                <w:szCs w:val="22"/>
              </w:rPr>
            </w:pPr>
            <w:r>
              <w:rPr>
                <w:sz w:val="22"/>
                <w:szCs w:val="22"/>
              </w:rPr>
              <w:t>139,039</w:t>
            </w:r>
          </w:p>
        </w:tc>
      </w:tr>
      <w:tr w:rsidR="00754973" w:rsidRPr="00C40661" w14:paraId="0279B25D"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16721683" w14:textId="77777777" w:rsidR="00754973" w:rsidRPr="00C40661" w:rsidRDefault="00754973" w:rsidP="00754973">
            <w:pPr>
              <w:rPr>
                <w:rFonts w:eastAsia="Arial Unicode MS"/>
                <w:b/>
                <w:bCs/>
                <w:sz w:val="22"/>
                <w:szCs w:val="22"/>
              </w:rPr>
            </w:pPr>
            <w:r w:rsidRPr="00C40661">
              <w:rPr>
                <w:b/>
                <w:bCs/>
                <w:sz w:val="22"/>
                <w:szCs w:val="22"/>
              </w:rPr>
              <w:t>Total current assets</w:t>
            </w:r>
          </w:p>
        </w:tc>
        <w:tc>
          <w:tcPr>
            <w:tcW w:w="1201" w:type="dxa"/>
            <w:tcBorders>
              <w:top w:val="nil"/>
              <w:left w:val="nil"/>
              <w:bottom w:val="nil"/>
              <w:right w:val="nil"/>
            </w:tcBorders>
            <w:noWrap/>
            <w:tcMar>
              <w:top w:w="15" w:type="dxa"/>
              <w:left w:w="15" w:type="dxa"/>
              <w:bottom w:w="0" w:type="dxa"/>
              <w:right w:w="15" w:type="dxa"/>
            </w:tcMar>
            <w:vAlign w:val="bottom"/>
          </w:tcPr>
          <w:p w14:paraId="31D65EAE" w14:textId="77777777" w:rsidR="00754973" w:rsidRPr="00613836" w:rsidRDefault="00754973" w:rsidP="00754973">
            <w:pPr>
              <w:rPr>
                <w:rFonts w:eastAsia="Arial Unicode MS"/>
                <w:sz w:val="22"/>
                <w:szCs w:val="22"/>
              </w:rPr>
            </w:pPr>
          </w:p>
        </w:tc>
        <w:tc>
          <w:tcPr>
            <w:tcW w:w="1548" w:type="dxa"/>
            <w:tcBorders>
              <w:top w:val="nil"/>
              <w:left w:val="nil"/>
              <w:bottom w:val="single" w:sz="4" w:space="0" w:color="auto"/>
              <w:right w:val="nil"/>
            </w:tcBorders>
            <w:vAlign w:val="center"/>
          </w:tcPr>
          <w:p w14:paraId="07FB10CE" w14:textId="029F1BFC" w:rsidR="00754973" w:rsidRPr="006D56BD" w:rsidRDefault="00396E55" w:rsidP="00754973">
            <w:pPr>
              <w:ind w:right="130"/>
              <w:jc w:val="right"/>
              <w:rPr>
                <w:sz w:val="22"/>
                <w:szCs w:val="22"/>
              </w:rPr>
            </w:pPr>
            <w:r>
              <w:rPr>
                <w:sz w:val="22"/>
                <w:szCs w:val="22"/>
              </w:rPr>
              <w:t>93,34</w:t>
            </w:r>
            <w:r w:rsidR="002F6E92">
              <w:rPr>
                <w:sz w:val="22"/>
                <w:szCs w:val="22"/>
              </w:rPr>
              <w:t>7</w:t>
            </w:r>
          </w:p>
        </w:tc>
        <w:tc>
          <w:tcPr>
            <w:tcW w:w="1446" w:type="dxa"/>
            <w:tcBorders>
              <w:top w:val="nil"/>
              <w:left w:val="nil"/>
              <w:bottom w:val="single" w:sz="4" w:space="0" w:color="auto"/>
              <w:right w:val="nil"/>
            </w:tcBorders>
            <w:noWrap/>
            <w:tcMar>
              <w:top w:w="15" w:type="dxa"/>
              <w:left w:w="15" w:type="dxa"/>
              <w:bottom w:w="0" w:type="dxa"/>
              <w:right w:w="15" w:type="dxa"/>
            </w:tcMar>
            <w:vAlign w:val="center"/>
          </w:tcPr>
          <w:p w14:paraId="45C06F46" w14:textId="664F6F7D" w:rsidR="00754973" w:rsidRPr="00C40661" w:rsidRDefault="00496481" w:rsidP="00754973">
            <w:pPr>
              <w:ind w:right="130"/>
              <w:jc w:val="right"/>
              <w:rPr>
                <w:rFonts w:eastAsia="Arial Unicode MS"/>
                <w:sz w:val="22"/>
                <w:szCs w:val="22"/>
              </w:rPr>
            </w:pPr>
            <w:r>
              <w:rPr>
                <w:sz w:val="22"/>
                <w:szCs w:val="22"/>
              </w:rPr>
              <w:t>224,329</w:t>
            </w:r>
          </w:p>
        </w:tc>
      </w:tr>
      <w:tr w:rsidR="00754973" w:rsidRPr="00C40661" w14:paraId="0A849038"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11BC5CC6" w14:textId="77777777" w:rsidR="00754973" w:rsidRPr="00C40661" w:rsidRDefault="00754973" w:rsidP="00754973">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023FDA3F" w14:textId="77777777" w:rsidR="00754973" w:rsidRPr="00613836" w:rsidRDefault="00754973" w:rsidP="00754973">
            <w:pPr>
              <w:rPr>
                <w:rFonts w:eastAsia="Arial Unicode MS"/>
                <w:sz w:val="22"/>
                <w:szCs w:val="22"/>
              </w:rPr>
            </w:pPr>
          </w:p>
        </w:tc>
        <w:tc>
          <w:tcPr>
            <w:tcW w:w="1548" w:type="dxa"/>
            <w:tcBorders>
              <w:top w:val="nil"/>
              <w:left w:val="nil"/>
              <w:bottom w:val="nil"/>
              <w:right w:val="nil"/>
            </w:tcBorders>
            <w:vAlign w:val="center"/>
          </w:tcPr>
          <w:p w14:paraId="66A463D9" w14:textId="77777777" w:rsidR="00754973" w:rsidRPr="006D56BD" w:rsidRDefault="00754973"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4B97682E" w14:textId="77777777" w:rsidR="00754973" w:rsidRPr="00C40661" w:rsidRDefault="00754973" w:rsidP="00754973">
            <w:pPr>
              <w:ind w:right="130"/>
              <w:jc w:val="right"/>
              <w:rPr>
                <w:rFonts w:eastAsia="Arial Unicode MS"/>
                <w:sz w:val="22"/>
                <w:szCs w:val="22"/>
              </w:rPr>
            </w:pPr>
          </w:p>
        </w:tc>
      </w:tr>
      <w:tr w:rsidR="00754973" w:rsidRPr="00C40661" w14:paraId="2939C879"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1A9D7037" w14:textId="77777777" w:rsidR="00754973" w:rsidRPr="00C40661" w:rsidRDefault="00754973" w:rsidP="00754973">
            <w:pPr>
              <w:rPr>
                <w:rFonts w:eastAsia="Arial Unicode MS"/>
                <w:sz w:val="22"/>
                <w:szCs w:val="22"/>
              </w:rPr>
            </w:pPr>
            <w:r w:rsidRPr="00C40661">
              <w:rPr>
                <w:b/>
                <w:bCs/>
                <w:sz w:val="22"/>
                <w:szCs w:val="22"/>
              </w:rPr>
              <w:t>Current liabilities</w:t>
            </w:r>
          </w:p>
        </w:tc>
        <w:tc>
          <w:tcPr>
            <w:tcW w:w="1201" w:type="dxa"/>
            <w:tcBorders>
              <w:top w:val="nil"/>
              <w:left w:val="nil"/>
              <w:bottom w:val="nil"/>
              <w:right w:val="nil"/>
            </w:tcBorders>
            <w:noWrap/>
            <w:tcMar>
              <w:top w:w="15" w:type="dxa"/>
              <w:left w:w="15" w:type="dxa"/>
              <w:bottom w:w="0" w:type="dxa"/>
              <w:right w:w="15" w:type="dxa"/>
            </w:tcMar>
            <w:vAlign w:val="bottom"/>
          </w:tcPr>
          <w:p w14:paraId="24E6A67A" w14:textId="77777777" w:rsidR="00754973" w:rsidRPr="00613836" w:rsidRDefault="00754973" w:rsidP="00754973">
            <w:pPr>
              <w:rPr>
                <w:rFonts w:eastAsia="Arial Unicode MS"/>
                <w:sz w:val="22"/>
                <w:szCs w:val="22"/>
              </w:rPr>
            </w:pPr>
          </w:p>
        </w:tc>
        <w:tc>
          <w:tcPr>
            <w:tcW w:w="1548" w:type="dxa"/>
            <w:tcBorders>
              <w:top w:val="nil"/>
              <w:left w:val="nil"/>
              <w:bottom w:val="nil"/>
              <w:right w:val="nil"/>
            </w:tcBorders>
            <w:vAlign w:val="center"/>
          </w:tcPr>
          <w:p w14:paraId="3F8D6E83" w14:textId="77777777" w:rsidR="00754973" w:rsidRPr="006D56BD" w:rsidRDefault="00754973"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2FD5696A" w14:textId="77777777" w:rsidR="00754973" w:rsidRPr="00C40661" w:rsidRDefault="00754973" w:rsidP="00754973">
            <w:pPr>
              <w:ind w:right="130"/>
              <w:jc w:val="right"/>
              <w:rPr>
                <w:rFonts w:eastAsia="Arial Unicode MS"/>
                <w:sz w:val="22"/>
                <w:szCs w:val="22"/>
              </w:rPr>
            </w:pPr>
          </w:p>
        </w:tc>
      </w:tr>
      <w:tr w:rsidR="00754973" w:rsidRPr="00C40661" w14:paraId="684E2B89" w14:textId="77777777" w:rsidTr="00652CBB">
        <w:trPr>
          <w:trHeight w:val="315"/>
        </w:trPr>
        <w:tc>
          <w:tcPr>
            <w:tcW w:w="5750" w:type="dxa"/>
            <w:tcBorders>
              <w:top w:val="nil"/>
              <w:left w:val="nil"/>
              <w:bottom w:val="nil"/>
              <w:right w:val="nil"/>
            </w:tcBorders>
            <w:noWrap/>
            <w:tcMar>
              <w:top w:w="15" w:type="dxa"/>
              <w:left w:w="15" w:type="dxa"/>
              <w:bottom w:w="0" w:type="dxa"/>
              <w:right w:w="15" w:type="dxa"/>
            </w:tcMar>
            <w:vAlign w:val="bottom"/>
          </w:tcPr>
          <w:p w14:paraId="28CC8FF1" w14:textId="77777777" w:rsidR="00754973" w:rsidRPr="00C40661" w:rsidRDefault="00754973" w:rsidP="00754973">
            <w:pPr>
              <w:rPr>
                <w:rFonts w:eastAsia="Arial Unicode MS"/>
                <w:sz w:val="22"/>
                <w:szCs w:val="22"/>
              </w:rPr>
            </w:pPr>
            <w:r w:rsidRPr="00C40661">
              <w:rPr>
                <w:sz w:val="22"/>
                <w:szCs w:val="22"/>
              </w:rPr>
              <w:t>Trade and other payables</w:t>
            </w:r>
          </w:p>
        </w:tc>
        <w:tc>
          <w:tcPr>
            <w:tcW w:w="1201" w:type="dxa"/>
            <w:tcBorders>
              <w:top w:val="nil"/>
              <w:left w:val="nil"/>
              <w:bottom w:val="nil"/>
              <w:right w:val="nil"/>
            </w:tcBorders>
            <w:noWrap/>
            <w:tcMar>
              <w:top w:w="15" w:type="dxa"/>
              <w:left w:w="15" w:type="dxa"/>
              <w:bottom w:w="0" w:type="dxa"/>
              <w:right w:w="15" w:type="dxa"/>
            </w:tcMar>
            <w:vAlign w:val="bottom"/>
          </w:tcPr>
          <w:p w14:paraId="4ABADD0D" w14:textId="72EE0401" w:rsidR="00754973" w:rsidRPr="00613836" w:rsidRDefault="00613836" w:rsidP="00754973">
            <w:pPr>
              <w:jc w:val="center"/>
              <w:rPr>
                <w:rFonts w:eastAsia="Arial Unicode MS"/>
                <w:b/>
                <w:bCs/>
                <w:sz w:val="22"/>
                <w:szCs w:val="22"/>
              </w:rPr>
            </w:pPr>
            <w:r w:rsidRPr="00613836">
              <w:rPr>
                <w:b/>
                <w:bCs/>
                <w:sz w:val="22"/>
                <w:szCs w:val="22"/>
              </w:rPr>
              <w:t>12</w:t>
            </w:r>
          </w:p>
        </w:tc>
        <w:tc>
          <w:tcPr>
            <w:tcW w:w="1548" w:type="dxa"/>
            <w:tcBorders>
              <w:top w:val="nil"/>
              <w:left w:val="nil"/>
              <w:bottom w:val="nil"/>
              <w:right w:val="nil"/>
            </w:tcBorders>
            <w:vAlign w:val="center"/>
          </w:tcPr>
          <w:p w14:paraId="7DBF2704" w14:textId="25811B93" w:rsidR="00754973" w:rsidRPr="006D56BD" w:rsidRDefault="00174682" w:rsidP="00F37531">
            <w:pPr>
              <w:ind w:right="130"/>
              <w:jc w:val="right"/>
              <w:rPr>
                <w:sz w:val="22"/>
                <w:szCs w:val="22"/>
              </w:rPr>
            </w:pPr>
            <w:r>
              <w:rPr>
                <w:sz w:val="22"/>
                <w:szCs w:val="22"/>
              </w:rPr>
              <w:t>(</w:t>
            </w:r>
            <w:r w:rsidR="00396E55">
              <w:rPr>
                <w:sz w:val="22"/>
                <w:szCs w:val="22"/>
              </w:rPr>
              <w:t>1,049,772</w:t>
            </w:r>
            <w:r>
              <w:rPr>
                <w:sz w:val="22"/>
                <w:szCs w:val="22"/>
              </w:rPr>
              <w:t>)</w:t>
            </w:r>
          </w:p>
        </w:tc>
        <w:tc>
          <w:tcPr>
            <w:tcW w:w="1446" w:type="dxa"/>
            <w:tcBorders>
              <w:top w:val="nil"/>
              <w:left w:val="nil"/>
              <w:bottom w:val="nil"/>
              <w:right w:val="nil"/>
            </w:tcBorders>
            <w:noWrap/>
            <w:tcMar>
              <w:top w:w="15" w:type="dxa"/>
              <w:left w:w="15" w:type="dxa"/>
              <w:bottom w:w="0" w:type="dxa"/>
              <w:right w:w="15" w:type="dxa"/>
            </w:tcMar>
            <w:vAlign w:val="center"/>
          </w:tcPr>
          <w:p w14:paraId="2948C8DA" w14:textId="1A27CB71" w:rsidR="00754973" w:rsidRPr="00C40661" w:rsidRDefault="00174682" w:rsidP="00754973">
            <w:pPr>
              <w:ind w:right="130"/>
              <w:jc w:val="right"/>
              <w:rPr>
                <w:rFonts w:eastAsia="Arial Unicode MS"/>
                <w:sz w:val="22"/>
                <w:szCs w:val="22"/>
              </w:rPr>
            </w:pPr>
            <w:r>
              <w:rPr>
                <w:sz w:val="22"/>
                <w:szCs w:val="22"/>
              </w:rPr>
              <w:t>(</w:t>
            </w:r>
            <w:r w:rsidR="00496481">
              <w:rPr>
                <w:sz w:val="22"/>
                <w:szCs w:val="22"/>
              </w:rPr>
              <w:t>214,879</w:t>
            </w:r>
            <w:r>
              <w:rPr>
                <w:sz w:val="22"/>
                <w:szCs w:val="22"/>
              </w:rPr>
              <w:t>)</w:t>
            </w:r>
          </w:p>
        </w:tc>
      </w:tr>
      <w:tr w:rsidR="00754973" w:rsidRPr="00C40661" w14:paraId="75C85A67"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541ABB09" w14:textId="77777777" w:rsidR="00754973" w:rsidRPr="00C40661" w:rsidRDefault="00754973" w:rsidP="00754973">
            <w:pPr>
              <w:rPr>
                <w:rFonts w:eastAsia="Arial Unicode MS"/>
                <w:b/>
                <w:bCs/>
                <w:sz w:val="22"/>
                <w:szCs w:val="22"/>
              </w:rPr>
            </w:pPr>
            <w:r w:rsidRPr="00C40661">
              <w:rPr>
                <w:b/>
                <w:bCs/>
                <w:sz w:val="22"/>
                <w:szCs w:val="22"/>
              </w:rPr>
              <w:t>Total current liabilities</w:t>
            </w:r>
          </w:p>
        </w:tc>
        <w:tc>
          <w:tcPr>
            <w:tcW w:w="1201" w:type="dxa"/>
            <w:tcBorders>
              <w:top w:val="nil"/>
              <w:left w:val="nil"/>
              <w:bottom w:val="nil"/>
              <w:right w:val="nil"/>
            </w:tcBorders>
            <w:noWrap/>
            <w:tcMar>
              <w:top w:w="15" w:type="dxa"/>
              <w:left w:w="15" w:type="dxa"/>
              <w:bottom w:w="0" w:type="dxa"/>
              <w:right w:w="15" w:type="dxa"/>
            </w:tcMar>
            <w:vAlign w:val="bottom"/>
          </w:tcPr>
          <w:p w14:paraId="208623AF" w14:textId="77777777" w:rsidR="00754973" w:rsidRPr="00613836" w:rsidRDefault="00754973" w:rsidP="00754973">
            <w:pPr>
              <w:rPr>
                <w:rFonts w:eastAsia="Arial Unicode MS"/>
                <w:sz w:val="22"/>
                <w:szCs w:val="22"/>
              </w:rPr>
            </w:pPr>
          </w:p>
        </w:tc>
        <w:tc>
          <w:tcPr>
            <w:tcW w:w="1548" w:type="dxa"/>
            <w:tcBorders>
              <w:top w:val="single" w:sz="4" w:space="0" w:color="auto"/>
              <w:left w:val="nil"/>
              <w:bottom w:val="single" w:sz="4" w:space="0" w:color="auto"/>
              <w:right w:val="nil"/>
            </w:tcBorders>
            <w:vAlign w:val="center"/>
          </w:tcPr>
          <w:p w14:paraId="5513BB20" w14:textId="650B8CCC" w:rsidR="00754973" w:rsidRPr="006D56BD" w:rsidRDefault="00174682" w:rsidP="00F37531">
            <w:pPr>
              <w:ind w:right="130"/>
              <w:jc w:val="right"/>
              <w:rPr>
                <w:sz w:val="22"/>
                <w:szCs w:val="22"/>
              </w:rPr>
            </w:pPr>
            <w:r>
              <w:rPr>
                <w:sz w:val="22"/>
                <w:szCs w:val="22"/>
              </w:rPr>
              <w:t>(</w:t>
            </w:r>
            <w:r w:rsidR="00396E55">
              <w:rPr>
                <w:sz w:val="22"/>
                <w:szCs w:val="22"/>
              </w:rPr>
              <w:t>1,049,772</w:t>
            </w:r>
            <w:r>
              <w:rPr>
                <w:sz w:val="22"/>
                <w:szCs w:val="22"/>
              </w:rPr>
              <w:t>)</w:t>
            </w:r>
          </w:p>
        </w:tc>
        <w:tc>
          <w:tcPr>
            <w:tcW w:w="1446"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70FEB08F" w14:textId="03B45D56" w:rsidR="00754973" w:rsidRPr="00C40661" w:rsidRDefault="00174682" w:rsidP="00754973">
            <w:pPr>
              <w:ind w:right="130"/>
              <w:jc w:val="right"/>
              <w:rPr>
                <w:rFonts w:eastAsia="Arial Unicode MS"/>
                <w:sz w:val="22"/>
                <w:szCs w:val="22"/>
              </w:rPr>
            </w:pPr>
            <w:r>
              <w:rPr>
                <w:sz w:val="22"/>
                <w:szCs w:val="22"/>
              </w:rPr>
              <w:t>(</w:t>
            </w:r>
            <w:r w:rsidR="00496481">
              <w:rPr>
                <w:sz w:val="22"/>
                <w:szCs w:val="22"/>
              </w:rPr>
              <w:t>214,879</w:t>
            </w:r>
            <w:r>
              <w:rPr>
                <w:sz w:val="22"/>
                <w:szCs w:val="22"/>
              </w:rPr>
              <w:t>)</w:t>
            </w:r>
          </w:p>
        </w:tc>
      </w:tr>
      <w:tr w:rsidR="00754973" w:rsidRPr="00C40661" w14:paraId="5875D95C"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22411662" w14:textId="77777777" w:rsidR="00754973" w:rsidRPr="00C40661" w:rsidRDefault="00754973" w:rsidP="00754973">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360475E9" w14:textId="77777777" w:rsidR="00754973" w:rsidRPr="00613836" w:rsidRDefault="00754973" w:rsidP="00754973">
            <w:pPr>
              <w:rPr>
                <w:rFonts w:eastAsia="Arial Unicode MS"/>
                <w:sz w:val="22"/>
                <w:szCs w:val="22"/>
              </w:rPr>
            </w:pPr>
          </w:p>
        </w:tc>
        <w:tc>
          <w:tcPr>
            <w:tcW w:w="1548" w:type="dxa"/>
            <w:tcBorders>
              <w:top w:val="nil"/>
              <w:left w:val="nil"/>
              <w:bottom w:val="nil"/>
              <w:right w:val="nil"/>
            </w:tcBorders>
            <w:vAlign w:val="center"/>
          </w:tcPr>
          <w:p w14:paraId="642C29FC" w14:textId="77777777" w:rsidR="00754973" w:rsidRPr="006D56BD" w:rsidRDefault="00754973"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0D53872F" w14:textId="77777777" w:rsidR="00754973" w:rsidRPr="00C40661" w:rsidRDefault="00754973" w:rsidP="00754973">
            <w:pPr>
              <w:ind w:right="130"/>
              <w:jc w:val="right"/>
              <w:rPr>
                <w:rFonts w:eastAsia="Arial Unicode MS"/>
                <w:sz w:val="22"/>
                <w:szCs w:val="22"/>
              </w:rPr>
            </w:pPr>
          </w:p>
        </w:tc>
      </w:tr>
      <w:tr w:rsidR="00D1581D" w:rsidRPr="00C40661" w14:paraId="4A6FE344"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4E22CECE" w14:textId="1CB11A54" w:rsidR="00D1581D" w:rsidRPr="00D1581D" w:rsidRDefault="00D1581D" w:rsidP="00754973">
            <w:pPr>
              <w:rPr>
                <w:rFonts w:eastAsia="Arial Unicode MS"/>
                <w:b/>
                <w:bCs/>
                <w:sz w:val="22"/>
                <w:szCs w:val="22"/>
              </w:rPr>
            </w:pPr>
            <w:r w:rsidRPr="00D1581D">
              <w:rPr>
                <w:rFonts w:eastAsia="Arial Unicode MS"/>
                <w:b/>
                <w:bCs/>
                <w:sz w:val="22"/>
                <w:szCs w:val="22"/>
              </w:rPr>
              <w:t>Non-current liabilities</w:t>
            </w:r>
          </w:p>
        </w:tc>
        <w:tc>
          <w:tcPr>
            <w:tcW w:w="1201" w:type="dxa"/>
            <w:tcBorders>
              <w:top w:val="nil"/>
              <w:left w:val="nil"/>
              <w:bottom w:val="nil"/>
              <w:right w:val="nil"/>
            </w:tcBorders>
            <w:noWrap/>
            <w:tcMar>
              <w:top w:w="15" w:type="dxa"/>
              <w:left w:w="15" w:type="dxa"/>
              <w:bottom w:w="0" w:type="dxa"/>
              <w:right w:w="15" w:type="dxa"/>
            </w:tcMar>
            <w:vAlign w:val="bottom"/>
          </w:tcPr>
          <w:p w14:paraId="28649100" w14:textId="77777777" w:rsidR="00D1581D" w:rsidRPr="00613836" w:rsidRDefault="00D1581D" w:rsidP="00754973">
            <w:pPr>
              <w:rPr>
                <w:rFonts w:eastAsia="Arial Unicode MS"/>
                <w:sz w:val="22"/>
                <w:szCs w:val="22"/>
              </w:rPr>
            </w:pPr>
          </w:p>
        </w:tc>
        <w:tc>
          <w:tcPr>
            <w:tcW w:w="1548" w:type="dxa"/>
            <w:tcBorders>
              <w:top w:val="nil"/>
              <w:left w:val="nil"/>
              <w:bottom w:val="nil"/>
              <w:right w:val="nil"/>
            </w:tcBorders>
            <w:vAlign w:val="center"/>
          </w:tcPr>
          <w:p w14:paraId="351B7083" w14:textId="77777777" w:rsidR="00D1581D" w:rsidRPr="006D56BD" w:rsidRDefault="00D1581D"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78B81E50" w14:textId="77777777" w:rsidR="00D1581D" w:rsidRPr="00C40661" w:rsidRDefault="00D1581D" w:rsidP="00754973">
            <w:pPr>
              <w:ind w:right="130"/>
              <w:jc w:val="right"/>
              <w:rPr>
                <w:rFonts w:eastAsia="Arial Unicode MS"/>
                <w:sz w:val="22"/>
                <w:szCs w:val="22"/>
              </w:rPr>
            </w:pPr>
          </w:p>
        </w:tc>
      </w:tr>
      <w:tr w:rsidR="00D1581D" w:rsidRPr="00C40661" w14:paraId="68F992AD" w14:textId="77777777" w:rsidTr="00D1581D">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34B02254" w14:textId="3508C57D" w:rsidR="00D1581D" w:rsidRPr="00C40661" w:rsidRDefault="00D1581D" w:rsidP="00754973">
            <w:pPr>
              <w:rPr>
                <w:rFonts w:eastAsia="Arial Unicode MS"/>
                <w:sz w:val="22"/>
                <w:szCs w:val="22"/>
              </w:rPr>
            </w:pPr>
            <w:r>
              <w:rPr>
                <w:rFonts w:eastAsia="Arial Unicode MS"/>
                <w:sz w:val="22"/>
                <w:szCs w:val="22"/>
              </w:rPr>
              <w:t>Other non-current payables</w:t>
            </w:r>
          </w:p>
        </w:tc>
        <w:tc>
          <w:tcPr>
            <w:tcW w:w="1201" w:type="dxa"/>
            <w:tcBorders>
              <w:top w:val="nil"/>
              <w:left w:val="nil"/>
              <w:bottom w:val="nil"/>
              <w:right w:val="nil"/>
            </w:tcBorders>
            <w:noWrap/>
            <w:tcMar>
              <w:top w:w="15" w:type="dxa"/>
              <w:left w:w="15" w:type="dxa"/>
              <w:bottom w:w="0" w:type="dxa"/>
              <w:right w:w="15" w:type="dxa"/>
            </w:tcMar>
            <w:vAlign w:val="bottom"/>
          </w:tcPr>
          <w:p w14:paraId="6421BCCA" w14:textId="28E23229" w:rsidR="00D1581D" w:rsidRPr="00D1581D" w:rsidRDefault="00D1581D" w:rsidP="00D1581D">
            <w:pPr>
              <w:jc w:val="center"/>
              <w:rPr>
                <w:rFonts w:eastAsia="Arial Unicode MS"/>
                <w:b/>
                <w:bCs/>
                <w:sz w:val="22"/>
                <w:szCs w:val="22"/>
              </w:rPr>
            </w:pPr>
            <w:r w:rsidRPr="00D1581D">
              <w:rPr>
                <w:rFonts w:eastAsia="Arial Unicode MS"/>
                <w:b/>
                <w:bCs/>
                <w:sz w:val="22"/>
                <w:szCs w:val="22"/>
              </w:rPr>
              <w:t>12</w:t>
            </w:r>
          </w:p>
        </w:tc>
        <w:tc>
          <w:tcPr>
            <w:tcW w:w="1548" w:type="dxa"/>
            <w:tcBorders>
              <w:top w:val="nil"/>
              <w:left w:val="nil"/>
              <w:bottom w:val="single" w:sz="4" w:space="0" w:color="auto"/>
              <w:right w:val="nil"/>
            </w:tcBorders>
            <w:vAlign w:val="center"/>
          </w:tcPr>
          <w:p w14:paraId="7D548E23" w14:textId="0725695F" w:rsidR="00D1581D" w:rsidRPr="006D56BD" w:rsidRDefault="00D1581D" w:rsidP="00754973">
            <w:pPr>
              <w:ind w:right="130"/>
              <w:jc w:val="right"/>
              <w:rPr>
                <w:rFonts w:eastAsia="Arial Unicode MS"/>
                <w:sz w:val="22"/>
                <w:szCs w:val="22"/>
              </w:rPr>
            </w:pPr>
            <w:r>
              <w:rPr>
                <w:rFonts w:eastAsia="Arial Unicode MS"/>
                <w:sz w:val="22"/>
                <w:szCs w:val="22"/>
              </w:rPr>
              <w:t>(</w:t>
            </w:r>
            <w:r w:rsidR="00396E55">
              <w:rPr>
                <w:rFonts w:eastAsia="Arial Unicode MS"/>
                <w:sz w:val="22"/>
                <w:szCs w:val="22"/>
              </w:rPr>
              <w:t>28,975</w:t>
            </w:r>
            <w:r>
              <w:rPr>
                <w:rFonts w:eastAsia="Arial Unicode MS"/>
                <w:sz w:val="22"/>
                <w:szCs w:val="22"/>
              </w:rPr>
              <w:t>)</w:t>
            </w:r>
          </w:p>
        </w:tc>
        <w:tc>
          <w:tcPr>
            <w:tcW w:w="1446" w:type="dxa"/>
            <w:tcBorders>
              <w:top w:val="nil"/>
              <w:left w:val="nil"/>
              <w:bottom w:val="single" w:sz="4" w:space="0" w:color="auto"/>
              <w:right w:val="nil"/>
            </w:tcBorders>
            <w:noWrap/>
            <w:tcMar>
              <w:top w:w="15" w:type="dxa"/>
              <w:left w:w="15" w:type="dxa"/>
              <w:bottom w:w="0" w:type="dxa"/>
              <w:right w:w="15" w:type="dxa"/>
            </w:tcMar>
            <w:vAlign w:val="center"/>
          </w:tcPr>
          <w:p w14:paraId="2FDDBF1D" w14:textId="2C8D21E8" w:rsidR="00D1581D" w:rsidRPr="00C40661" w:rsidRDefault="00D1581D" w:rsidP="00754973">
            <w:pPr>
              <w:ind w:right="130"/>
              <w:jc w:val="right"/>
              <w:rPr>
                <w:rFonts w:eastAsia="Arial Unicode MS"/>
                <w:sz w:val="22"/>
                <w:szCs w:val="22"/>
              </w:rPr>
            </w:pPr>
            <w:r>
              <w:rPr>
                <w:rFonts w:eastAsia="Arial Unicode MS"/>
                <w:sz w:val="22"/>
                <w:szCs w:val="22"/>
              </w:rPr>
              <w:t>-</w:t>
            </w:r>
          </w:p>
        </w:tc>
      </w:tr>
      <w:tr w:rsidR="00D1581D" w:rsidRPr="00C40661" w14:paraId="3C2203D6" w14:textId="77777777" w:rsidTr="00D1581D">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287D5609" w14:textId="6DA33C77" w:rsidR="00D1581D" w:rsidRPr="00D1581D" w:rsidRDefault="00D1581D" w:rsidP="00754973">
            <w:pPr>
              <w:rPr>
                <w:rFonts w:eastAsia="Arial Unicode MS"/>
                <w:b/>
                <w:bCs/>
                <w:sz w:val="22"/>
                <w:szCs w:val="22"/>
              </w:rPr>
            </w:pPr>
            <w:r w:rsidRPr="00D1581D">
              <w:rPr>
                <w:rFonts w:eastAsia="Arial Unicode MS"/>
                <w:b/>
                <w:bCs/>
                <w:sz w:val="22"/>
                <w:szCs w:val="22"/>
              </w:rPr>
              <w:t>Total non-current liabilities</w:t>
            </w:r>
          </w:p>
        </w:tc>
        <w:tc>
          <w:tcPr>
            <w:tcW w:w="1201" w:type="dxa"/>
            <w:tcBorders>
              <w:top w:val="nil"/>
              <w:left w:val="nil"/>
              <w:bottom w:val="nil"/>
              <w:right w:val="nil"/>
            </w:tcBorders>
            <w:noWrap/>
            <w:tcMar>
              <w:top w:w="15" w:type="dxa"/>
              <w:left w:w="15" w:type="dxa"/>
              <w:bottom w:w="0" w:type="dxa"/>
              <w:right w:w="15" w:type="dxa"/>
            </w:tcMar>
            <w:vAlign w:val="bottom"/>
          </w:tcPr>
          <w:p w14:paraId="6B5A54A2" w14:textId="77777777" w:rsidR="00D1581D" w:rsidRPr="00613836" w:rsidRDefault="00D1581D" w:rsidP="00754973">
            <w:pPr>
              <w:rPr>
                <w:rFonts w:eastAsia="Arial Unicode MS"/>
                <w:sz w:val="22"/>
                <w:szCs w:val="22"/>
              </w:rPr>
            </w:pPr>
          </w:p>
        </w:tc>
        <w:tc>
          <w:tcPr>
            <w:tcW w:w="1548" w:type="dxa"/>
            <w:tcBorders>
              <w:top w:val="single" w:sz="4" w:space="0" w:color="auto"/>
              <w:left w:val="nil"/>
              <w:bottom w:val="single" w:sz="4" w:space="0" w:color="auto"/>
              <w:right w:val="nil"/>
            </w:tcBorders>
            <w:vAlign w:val="center"/>
          </w:tcPr>
          <w:p w14:paraId="036DC1FE" w14:textId="41480D45" w:rsidR="00D1581D" w:rsidRPr="006D56BD" w:rsidRDefault="00D1581D" w:rsidP="00754973">
            <w:pPr>
              <w:ind w:right="130"/>
              <w:jc w:val="right"/>
              <w:rPr>
                <w:rFonts w:eastAsia="Arial Unicode MS"/>
                <w:sz w:val="22"/>
                <w:szCs w:val="22"/>
              </w:rPr>
            </w:pPr>
            <w:r>
              <w:rPr>
                <w:rFonts w:eastAsia="Arial Unicode MS"/>
                <w:sz w:val="22"/>
                <w:szCs w:val="22"/>
              </w:rPr>
              <w:t>(</w:t>
            </w:r>
            <w:r w:rsidR="00396E55">
              <w:rPr>
                <w:rFonts w:eastAsia="Arial Unicode MS"/>
                <w:sz w:val="22"/>
                <w:szCs w:val="22"/>
              </w:rPr>
              <w:t>28,975</w:t>
            </w:r>
            <w:r>
              <w:rPr>
                <w:rFonts w:eastAsia="Arial Unicode MS"/>
                <w:sz w:val="22"/>
                <w:szCs w:val="22"/>
              </w:rPr>
              <w:t>)</w:t>
            </w:r>
          </w:p>
        </w:tc>
        <w:tc>
          <w:tcPr>
            <w:tcW w:w="1446"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24B7D98F" w14:textId="62993159" w:rsidR="00D1581D" w:rsidRPr="00C40661" w:rsidRDefault="00D1581D" w:rsidP="00754973">
            <w:pPr>
              <w:ind w:right="130"/>
              <w:jc w:val="right"/>
              <w:rPr>
                <w:rFonts w:eastAsia="Arial Unicode MS"/>
                <w:sz w:val="22"/>
                <w:szCs w:val="22"/>
              </w:rPr>
            </w:pPr>
            <w:r>
              <w:rPr>
                <w:rFonts w:eastAsia="Arial Unicode MS"/>
                <w:sz w:val="22"/>
                <w:szCs w:val="22"/>
              </w:rPr>
              <w:t>-</w:t>
            </w:r>
          </w:p>
        </w:tc>
      </w:tr>
      <w:tr w:rsidR="00D1581D" w:rsidRPr="00C40661" w14:paraId="68E48F0C" w14:textId="77777777" w:rsidTr="00D1581D">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0EFC5640" w14:textId="77777777" w:rsidR="00D1581D" w:rsidRPr="00C40661" w:rsidRDefault="00D1581D" w:rsidP="00754973">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01859910" w14:textId="77777777" w:rsidR="00D1581D" w:rsidRPr="00613836" w:rsidRDefault="00D1581D" w:rsidP="00754973">
            <w:pPr>
              <w:rPr>
                <w:rFonts w:eastAsia="Arial Unicode MS"/>
                <w:sz w:val="22"/>
                <w:szCs w:val="22"/>
              </w:rPr>
            </w:pPr>
          </w:p>
        </w:tc>
        <w:tc>
          <w:tcPr>
            <w:tcW w:w="1548" w:type="dxa"/>
            <w:tcBorders>
              <w:top w:val="single" w:sz="4" w:space="0" w:color="auto"/>
              <w:left w:val="nil"/>
              <w:right w:val="nil"/>
            </w:tcBorders>
            <w:vAlign w:val="center"/>
          </w:tcPr>
          <w:p w14:paraId="7D4DBD0C" w14:textId="77777777" w:rsidR="00D1581D" w:rsidRPr="006D56BD" w:rsidRDefault="00D1581D" w:rsidP="00754973">
            <w:pPr>
              <w:ind w:right="130"/>
              <w:jc w:val="right"/>
              <w:rPr>
                <w:rFonts w:eastAsia="Arial Unicode MS"/>
                <w:sz w:val="22"/>
                <w:szCs w:val="22"/>
              </w:rPr>
            </w:pPr>
          </w:p>
        </w:tc>
        <w:tc>
          <w:tcPr>
            <w:tcW w:w="1446" w:type="dxa"/>
            <w:tcBorders>
              <w:top w:val="single" w:sz="4" w:space="0" w:color="auto"/>
              <w:left w:val="nil"/>
              <w:right w:val="nil"/>
            </w:tcBorders>
            <w:noWrap/>
            <w:tcMar>
              <w:top w:w="15" w:type="dxa"/>
              <w:left w:w="15" w:type="dxa"/>
              <w:bottom w:w="0" w:type="dxa"/>
              <w:right w:w="15" w:type="dxa"/>
            </w:tcMar>
            <w:vAlign w:val="center"/>
          </w:tcPr>
          <w:p w14:paraId="2A5A6515" w14:textId="77777777" w:rsidR="00D1581D" w:rsidRPr="00C40661" w:rsidRDefault="00D1581D" w:rsidP="00754973">
            <w:pPr>
              <w:ind w:right="130"/>
              <w:jc w:val="right"/>
              <w:rPr>
                <w:rFonts w:eastAsia="Arial Unicode MS"/>
                <w:sz w:val="22"/>
                <w:szCs w:val="22"/>
              </w:rPr>
            </w:pPr>
          </w:p>
        </w:tc>
      </w:tr>
      <w:tr w:rsidR="00754973" w:rsidRPr="00C40661" w14:paraId="398A3DCD" w14:textId="77777777" w:rsidTr="00D1581D">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3C207C9B" w14:textId="77777777" w:rsidR="00754973" w:rsidRPr="00C40661" w:rsidRDefault="00754973" w:rsidP="00754973">
            <w:pPr>
              <w:rPr>
                <w:rFonts w:eastAsia="Arial Unicode MS"/>
                <w:sz w:val="22"/>
                <w:szCs w:val="22"/>
              </w:rPr>
            </w:pPr>
            <w:r w:rsidRPr="00C40661">
              <w:rPr>
                <w:b/>
                <w:bCs/>
                <w:sz w:val="22"/>
                <w:szCs w:val="22"/>
              </w:rPr>
              <w:t>Net assets</w:t>
            </w:r>
          </w:p>
        </w:tc>
        <w:tc>
          <w:tcPr>
            <w:tcW w:w="1201" w:type="dxa"/>
            <w:tcBorders>
              <w:top w:val="nil"/>
              <w:left w:val="nil"/>
              <w:bottom w:val="nil"/>
              <w:right w:val="nil"/>
            </w:tcBorders>
            <w:noWrap/>
            <w:tcMar>
              <w:top w:w="15" w:type="dxa"/>
              <w:left w:w="15" w:type="dxa"/>
              <w:bottom w:w="0" w:type="dxa"/>
              <w:right w:w="15" w:type="dxa"/>
            </w:tcMar>
            <w:vAlign w:val="bottom"/>
          </w:tcPr>
          <w:p w14:paraId="45592C83" w14:textId="77777777" w:rsidR="00754973" w:rsidRPr="00613836" w:rsidRDefault="00754973" w:rsidP="00754973">
            <w:pPr>
              <w:rPr>
                <w:rFonts w:eastAsia="Arial Unicode MS"/>
                <w:sz w:val="22"/>
                <w:szCs w:val="22"/>
              </w:rPr>
            </w:pPr>
          </w:p>
        </w:tc>
        <w:tc>
          <w:tcPr>
            <w:tcW w:w="1548" w:type="dxa"/>
            <w:tcBorders>
              <w:top w:val="single" w:sz="4" w:space="0" w:color="auto"/>
              <w:left w:val="nil"/>
              <w:bottom w:val="double" w:sz="6" w:space="0" w:color="auto"/>
              <w:right w:val="nil"/>
            </w:tcBorders>
            <w:vAlign w:val="center"/>
          </w:tcPr>
          <w:p w14:paraId="090D6E24" w14:textId="589D873D" w:rsidR="00754973" w:rsidRPr="006D56BD" w:rsidRDefault="00A9320C" w:rsidP="00754973">
            <w:pPr>
              <w:ind w:right="130"/>
              <w:jc w:val="right"/>
              <w:rPr>
                <w:sz w:val="22"/>
                <w:szCs w:val="22"/>
              </w:rPr>
            </w:pPr>
            <w:r>
              <w:rPr>
                <w:sz w:val="22"/>
                <w:szCs w:val="22"/>
              </w:rPr>
              <w:t>150,189</w:t>
            </w:r>
          </w:p>
        </w:tc>
        <w:tc>
          <w:tcPr>
            <w:tcW w:w="1446" w:type="dxa"/>
            <w:tcBorders>
              <w:top w:val="single" w:sz="4" w:space="0" w:color="auto"/>
              <w:left w:val="nil"/>
              <w:bottom w:val="double" w:sz="6" w:space="0" w:color="auto"/>
              <w:right w:val="nil"/>
            </w:tcBorders>
            <w:noWrap/>
            <w:tcMar>
              <w:top w:w="15" w:type="dxa"/>
              <w:left w:w="15" w:type="dxa"/>
              <w:bottom w:w="0" w:type="dxa"/>
              <w:right w:w="15" w:type="dxa"/>
            </w:tcMar>
            <w:vAlign w:val="center"/>
          </w:tcPr>
          <w:p w14:paraId="634718AB" w14:textId="1958CEB8" w:rsidR="00754973" w:rsidRPr="00C40661" w:rsidRDefault="00496481" w:rsidP="00754973">
            <w:pPr>
              <w:ind w:right="130"/>
              <w:jc w:val="right"/>
              <w:rPr>
                <w:rFonts w:eastAsia="Arial Unicode MS"/>
                <w:sz w:val="22"/>
                <w:szCs w:val="22"/>
              </w:rPr>
            </w:pPr>
            <w:r>
              <w:rPr>
                <w:sz w:val="22"/>
                <w:szCs w:val="22"/>
              </w:rPr>
              <w:t>890,74</w:t>
            </w:r>
            <w:r w:rsidR="00F54810">
              <w:rPr>
                <w:sz w:val="22"/>
                <w:szCs w:val="22"/>
              </w:rPr>
              <w:t>0</w:t>
            </w:r>
          </w:p>
        </w:tc>
      </w:tr>
      <w:tr w:rsidR="00754973" w:rsidRPr="00C40661" w14:paraId="394E28F7"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0771A79C" w14:textId="77777777" w:rsidR="00754973" w:rsidRPr="00C40661" w:rsidRDefault="00754973" w:rsidP="00754973">
            <w:pPr>
              <w:rPr>
                <w:rFonts w:eastAsia="Arial Unicode MS"/>
                <w:sz w:val="22"/>
                <w:szCs w:val="22"/>
              </w:rPr>
            </w:pPr>
          </w:p>
        </w:tc>
        <w:tc>
          <w:tcPr>
            <w:tcW w:w="1201" w:type="dxa"/>
            <w:tcBorders>
              <w:top w:val="nil"/>
              <w:left w:val="nil"/>
              <w:bottom w:val="nil"/>
              <w:right w:val="nil"/>
            </w:tcBorders>
            <w:noWrap/>
            <w:tcMar>
              <w:top w:w="15" w:type="dxa"/>
              <w:left w:w="15" w:type="dxa"/>
              <w:bottom w:w="0" w:type="dxa"/>
              <w:right w:w="15" w:type="dxa"/>
            </w:tcMar>
            <w:vAlign w:val="bottom"/>
          </w:tcPr>
          <w:p w14:paraId="2E37BFC0" w14:textId="77777777" w:rsidR="00754973" w:rsidRPr="00613836" w:rsidRDefault="00754973" w:rsidP="00754973">
            <w:pPr>
              <w:rPr>
                <w:rFonts w:eastAsia="Arial Unicode MS"/>
                <w:sz w:val="22"/>
                <w:szCs w:val="22"/>
              </w:rPr>
            </w:pPr>
          </w:p>
        </w:tc>
        <w:tc>
          <w:tcPr>
            <w:tcW w:w="1548" w:type="dxa"/>
            <w:tcBorders>
              <w:top w:val="nil"/>
              <w:left w:val="nil"/>
              <w:bottom w:val="nil"/>
              <w:right w:val="nil"/>
            </w:tcBorders>
            <w:vAlign w:val="center"/>
          </w:tcPr>
          <w:p w14:paraId="2BC3E572" w14:textId="77777777" w:rsidR="00754973" w:rsidRPr="006D56BD" w:rsidRDefault="00754973"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1545FED7" w14:textId="77777777" w:rsidR="00754973" w:rsidRPr="00C40661" w:rsidRDefault="00754973" w:rsidP="00754973">
            <w:pPr>
              <w:ind w:right="130"/>
              <w:jc w:val="right"/>
              <w:rPr>
                <w:rFonts w:eastAsia="Arial Unicode MS"/>
                <w:sz w:val="22"/>
                <w:szCs w:val="22"/>
              </w:rPr>
            </w:pPr>
          </w:p>
        </w:tc>
      </w:tr>
      <w:tr w:rsidR="00754973" w:rsidRPr="00C40661" w14:paraId="59821993" w14:textId="77777777" w:rsidTr="00652CBB">
        <w:trPr>
          <w:trHeight w:val="315"/>
        </w:trPr>
        <w:tc>
          <w:tcPr>
            <w:tcW w:w="5750" w:type="dxa"/>
            <w:tcBorders>
              <w:top w:val="nil"/>
              <w:left w:val="nil"/>
              <w:bottom w:val="nil"/>
              <w:right w:val="nil"/>
            </w:tcBorders>
            <w:noWrap/>
            <w:tcMar>
              <w:top w:w="15" w:type="dxa"/>
              <w:left w:w="15" w:type="dxa"/>
              <w:bottom w:w="0" w:type="dxa"/>
              <w:right w:w="15" w:type="dxa"/>
            </w:tcMar>
            <w:vAlign w:val="bottom"/>
          </w:tcPr>
          <w:p w14:paraId="068661AD" w14:textId="77777777" w:rsidR="00754973" w:rsidRPr="00C40661" w:rsidRDefault="00754973" w:rsidP="00754973">
            <w:pPr>
              <w:rPr>
                <w:rFonts w:eastAsia="Arial Unicode MS"/>
                <w:b/>
                <w:bCs/>
                <w:sz w:val="22"/>
                <w:szCs w:val="22"/>
              </w:rPr>
            </w:pPr>
            <w:r w:rsidRPr="00C40661">
              <w:rPr>
                <w:b/>
                <w:bCs/>
                <w:sz w:val="22"/>
                <w:szCs w:val="22"/>
              </w:rPr>
              <w:t>Capital and reserves</w:t>
            </w:r>
          </w:p>
        </w:tc>
        <w:tc>
          <w:tcPr>
            <w:tcW w:w="1201" w:type="dxa"/>
            <w:tcBorders>
              <w:top w:val="nil"/>
              <w:left w:val="nil"/>
              <w:bottom w:val="nil"/>
              <w:right w:val="nil"/>
            </w:tcBorders>
            <w:noWrap/>
            <w:tcMar>
              <w:top w:w="15" w:type="dxa"/>
              <w:left w:w="15" w:type="dxa"/>
              <w:bottom w:w="0" w:type="dxa"/>
              <w:right w:w="15" w:type="dxa"/>
            </w:tcMar>
            <w:vAlign w:val="bottom"/>
          </w:tcPr>
          <w:p w14:paraId="6C5DEA6F" w14:textId="77777777" w:rsidR="00754973" w:rsidRPr="00613836" w:rsidRDefault="00754973" w:rsidP="00754973">
            <w:pPr>
              <w:rPr>
                <w:rFonts w:eastAsia="Arial Unicode MS"/>
                <w:sz w:val="22"/>
                <w:szCs w:val="22"/>
              </w:rPr>
            </w:pPr>
          </w:p>
        </w:tc>
        <w:tc>
          <w:tcPr>
            <w:tcW w:w="1548" w:type="dxa"/>
            <w:tcBorders>
              <w:top w:val="nil"/>
              <w:left w:val="nil"/>
              <w:bottom w:val="nil"/>
              <w:right w:val="nil"/>
            </w:tcBorders>
            <w:vAlign w:val="center"/>
          </w:tcPr>
          <w:p w14:paraId="69F79431" w14:textId="77777777" w:rsidR="00754973" w:rsidRPr="006D56BD" w:rsidRDefault="00754973" w:rsidP="00754973">
            <w:pPr>
              <w:ind w:right="130"/>
              <w:jc w:val="right"/>
              <w:rPr>
                <w:rFonts w:eastAsia="Arial Unicode MS"/>
                <w:sz w:val="22"/>
                <w:szCs w:val="22"/>
              </w:rPr>
            </w:pPr>
          </w:p>
        </w:tc>
        <w:tc>
          <w:tcPr>
            <w:tcW w:w="1446" w:type="dxa"/>
            <w:tcBorders>
              <w:top w:val="nil"/>
              <w:left w:val="nil"/>
              <w:bottom w:val="nil"/>
              <w:right w:val="nil"/>
            </w:tcBorders>
            <w:noWrap/>
            <w:tcMar>
              <w:top w:w="15" w:type="dxa"/>
              <w:left w:w="15" w:type="dxa"/>
              <w:bottom w:w="0" w:type="dxa"/>
              <w:right w:w="15" w:type="dxa"/>
            </w:tcMar>
            <w:vAlign w:val="center"/>
          </w:tcPr>
          <w:p w14:paraId="59FCFCFB" w14:textId="77777777" w:rsidR="00754973" w:rsidRPr="00C40661" w:rsidRDefault="00754973" w:rsidP="00754973">
            <w:pPr>
              <w:ind w:right="130"/>
              <w:jc w:val="right"/>
              <w:rPr>
                <w:rFonts w:eastAsia="Arial Unicode MS"/>
                <w:sz w:val="22"/>
                <w:szCs w:val="22"/>
              </w:rPr>
            </w:pPr>
          </w:p>
        </w:tc>
      </w:tr>
      <w:tr w:rsidR="00754973" w:rsidRPr="00C40661" w14:paraId="45CEA82E"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6F1C07EC" w14:textId="77777777" w:rsidR="00754973" w:rsidRPr="00C40661" w:rsidRDefault="00754973" w:rsidP="00754973">
            <w:pPr>
              <w:rPr>
                <w:rFonts w:eastAsia="Arial Unicode MS"/>
                <w:sz w:val="22"/>
                <w:szCs w:val="22"/>
              </w:rPr>
            </w:pPr>
            <w:r w:rsidRPr="00C40661">
              <w:rPr>
                <w:sz w:val="22"/>
                <w:szCs w:val="22"/>
              </w:rPr>
              <w:t>Called up share capital</w:t>
            </w:r>
          </w:p>
        </w:tc>
        <w:tc>
          <w:tcPr>
            <w:tcW w:w="1201" w:type="dxa"/>
            <w:tcBorders>
              <w:top w:val="nil"/>
              <w:left w:val="nil"/>
              <w:bottom w:val="nil"/>
              <w:right w:val="nil"/>
            </w:tcBorders>
            <w:noWrap/>
            <w:tcMar>
              <w:top w:w="15" w:type="dxa"/>
              <w:left w:w="15" w:type="dxa"/>
              <w:bottom w:w="0" w:type="dxa"/>
              <w:right w:w="15" w:type="dxa"/>
            </w:tcMar>
            <w:vAlign w:val="bottom"/>
          </w:tcPr>
          <w:p w14:paraId="2168DBAD" w14:textId="301C8969" w:rsidR="00754973" w:rsidRPr="00613836" w:rsidRDefault="00613836" w:rsidP="00754973">
            <w:pPr>
              <w:jc w:val="center"/>
              <w:rPr>
                <w:rFonts w:eastAsia="Arial Unicode MS"/>
                <w:b/>
                <w:bCs/>
                <w:sz w:val="22"/>
                <w:szCs w:val="22"/>
              </w:rPr>
            </w:pPr>
            <w:r w:rsidRPr="00613836">
              <w:rPr>
                <w:b/>
                <w:bCs/>
                <w:sz w:val="22"/>
                <w:szCs w:val="22"/>
              </w:rPr>
              <w:t>13</w:t>
            </w:r>
          </w:p>
        </w:tc>
        <w:tc>
          <w:tcPr>
            <w:tcW w:w="1548" w:type="dxa"/>
            <w:tcBorders>
              <w:top w:val="nil"/>
              <w:left w:val="nil"/>
              <w:bottom w:val="nil"/>
              <w:right w:val="nil"/>
            </w:tcBorders>
            <w:vAlign w:val="center"/>
          </w:tcPr>
          <w:p w14:paraId="4EC047E6" w14:textId="7D17BC94" w:rsidR="00754973" w:rsidRPr="006D56BD" w:rsidRDefault="00FD3732" w:rsidP="00754973">
            <w:pPr>
              <w:ind w:right="130"/>
              <w:jc w:val="right"/>
              <w:rPr>
                <w:sz w:val="22"/>
                <w:szCs w:val="22"/>
              </w:rPr>
            </w:pPr>
            <w:r>
              <w:rPr>
                <w:sz w:val="22"/>
                <w:szCs w:val="22"/>
              </w:rPr>
              <w:t>273,968</w:t>
            </w:r>
          </w:p>
        </w:tc>
        <w:tc>
          <w:tcPr>
            <w:tcW w:w="1446" w:type="dxa"/>
            <w:tcBorders>
              <w:top w:val="nil"/>
              <w:left w:val="nil"/>
              <w:bottom w:val="nil"/>
              <w:right w:val="nil"/>
            </w:tcBorders>
            <w:noWrap/>
            <w:tcMar>
              <w:top w:w="15" w:type="dxa"/>
              <w:left w:w="15" w:type="dxa"/>
              <w:bottom w:w="0" w:type="dxa"/>
              <w:right w:w="15" w:type="dxa"/>
            </w:tcMar>
            <w:vAlign w:val="center"/>
          </w:tcPr>
          <w:p w14:paraId="41932A68" w14:textId="31159359" w:rsidR="00754973" w:rsidRPr="00C40661" w:rsidRDefault="00496481" w:rsidP="00754973">
            <w:pPr>
              <w:ind w:right="130"/>
              <w:jc w:val="right"/>
              <w:rPr>
                <w:rFonts w:eastAsia="Arial Unicode MS"/>
                <w:sz w:val="22"/>
                <w:szCs w:val="22"/>
              </w:rPr>
            </w:pPr>
            <w:r>
              <w:rPr>
                <w:sz w:val="22"/>
                <w:szCs w:val="22"/>
              </w:rPr>
              <w:t>272,801</w:t>
            </w:r>
          </w:p>
        </w:tc>
      </w:tr>
      <w:tr w:rsidR="00754973" w:rsidRPr="00C40661" w14:paraId="3EE43AFE"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2416C2BB" w14:textId="77777777" w:rsidR="00754973" w:rsidRPr="00C40661" w:rsidRDefault="00754973" w:rsidP="00754973">
            <w:pPr>
              <w:rPr>
                <w:rFonts w:eastAsia="Arial Unicode MS"/>
                <w:sz w:val="22"/>
                <w:szCs w:val="22"/>
              </w:rPr>
            </w:pPr>
            <w:r w:rsidRPr="00C40661">
              <w:rPr>
                <w:sz w:val="22"/>
                <w:szCs w:val="22"/>
              </w:rPr>
              <w:t>Share premium account</w:t>
            </w:r>
          </w:p>
        </w:tc>
        <w:tc>
          <w:tcPr>
            <w:tcW w:w="1201" w:type="dxa"/>
            <w:tcBorders>
              <w:top w:val="nil"/>
              <w:left w:val="nil"/>
              <w:bottom w:val="nil"/>
              <w:right w:val="nil"/>
            </w:tcBorders>
            <w:noWrap/>
            <w:tcMar>
              <w:top w:w="15" w:type="dxa"/>
              <w:left w:w="15" w:type="dxa"/>
              <w:bottom w:w="0" w:type="dxa"/>
              <w:right w:w="15" w:type="dxa"/>
            </w:tcMar>
            <w:vAlign w:val="bottom"/>
          </w:tcPr>
          <w:p w14:paraId="1839477E" w14:textId="77777777" w:rsidR="00754973" w:rsidRPr="00B9158A" w:rsidRDefault="00754973" w:rsidP="00754973">
            <w:pPr>
              <w:jc w:val="center"/>
              <w:rPr>
                <w:rFonts w:eastAsia="Arial Unicode MS"/>
                <w:b/>
                <w:bCs/>
                <w:sz w:val="22"/>
                <w:szCs w:val="22"/>
                <w:highlight w:val="yellow"/>
              </w:rPr>
            </w:pPr>
            <w:r w:rsidRPr="00B9158A">
              <w:rPr>
                <w:b/>
                <w:bCs/>
                <w:sz w:val="22"/>
                <w:szCs w:val="22"/>
                <w:highlight w:val="yellow"/>
              </w:rPr>
              <w:t xml:space="preserve"> </w:t>
            </w:r>
          </w:p>
        </w:tc>
        <w:tc>
          <w:tcPr>
            <w:tcW w:w="1548" w:type="dxa"/>
            <w:tcBorders>
              <w:top w:val="nil"/>
              <w:left w:val="nil"/>
              <w:bottom w:val="nil"/>
              <w:right w:val="nil"/>
            </w:tcBorders>
            <w:vAlign w:val="center"/>
          </w:tcPr>
          <w:p w14:paraId="68787228" w14:textId="12AA7C4B" w:rsidR="00754973" w:rsidRPr="006D56BD" w:rsidRDefault="00FD3732" w:rsidP="00754973">
            <w:pPr>
              <w:ind w:right="130"/>
              <w:jc w:val="right"/>
              <w:rPr>
                <w:sz w:val="22"/>
                <w:szCs w:val="22"/>
              </w:rPr>
            </w:pPr>
            <w:r>
              <w:rPr>
                <w:sz w:val="22"/>
                <w:szCs w:val="22"/>
              </w:rPr>
              <w:t>2,483,117</w:t>
            </w:r>
          </w:p>
        </w:tc>
        <w:tc>
          <w:tcPr>
            <w:tcW w:w="1446" w:type="dxa"/>
            <w:tcBorders>
              <w:top w:val="nil"/>
              <w:left w:val="nil"/>
              <w:bottom w:val="nil"/>
              <w:right w:val="nil"/>
            </w:tcBorders>
            <w:noWrap/>
            <w:tcMar>
              <w:top w:w="15" w:type="dxa"/>
              <w:left w:w="15" w:type="dxa"/>
              <w:bottom w:w="0" w:type="dxa"/>
              <w:right w:w="15" w:type="dxa"/>
            </w:tcMar>
            <w:vAlign w:val="center"/>
          </w:tcPr>
          <w:p w14:paraId="6FC04A03" w14:textId="23C294DA" w:rsidR="00754973" w:rsidRPr="00C40661" w:rsidRDefault="00496481" w:rsidP="00754973">
            <w:pPr>
              <w:ind w:right="130"/>
              <w:jc w:val="right"/>
              <w:rPr>
                <w:rFonts w:eastAsia="Arial Unicode MS"/>
                <w:sz w:val="22"/>
                <w:szCs w:val="22"/>
              </w:rPr>
            </w:pPr>
            <w:r>
              <w:rPr>
                <w:sz w:val="22"/>
                <w:szCs w:val="22"/>
              </w:rPr>
              <w:t>2,414,284</w:t>
            </w:r>
          </w:p>
        </w:tc>
      </w:tr>
      <w:tr w:rsidR="00754973" w:rsidRPr="00C40661" w14:paraId="67616E84"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27EFD65B" w14:textId="77777777" w:rsidR="00754973" w:rsidRPr="00C40661" w:rsidRDefault="00754973" w:rsidP="00754973">
            <w:pPr>
              <w:rPr>
                <w:rFonts w:eastAsia="Arial Unicode MS"/>
                <w:sz w:val="22"/>
                <w:szCs w:val="22"/>
              </w:rPr>
            </w:pPr>
            <w:r w:rsidRPr="00C40661">
              <w:rPr>
                <w:sz w:val="22"/>
                <w:szCs w:val="22"/>
              </w:rPr>
              <w:t>Retained losses</w:t>
            </w:r>
          </w:p>
        </w:tc>
        <w:tc>
          <w:tcPr>
            <w:tcW w:w="1201" w:type="dxa"/>
            <w:tcBorders>
              <w:top w:val="nil"/>
              <w:left w:val="nil"/>
              <w:bottom w:val="nil"/>
              <w:right w:val="nil"/>
            </w:tcBorders>
            <w:noWrap/>
            <w:tcMar>
              <w:top w:w="15" w:type="dxa"/>
              <w:left w:w="15" w:type="dxa"/>
              <w:bottom w:w="0" w:type="dxa"/>
              <w:right w:w="15" w:type="dxa"/>
            </w:tcMar>
            <w:vAlign w:val="bottom"/>
          </w:tcPr>
          <w:p w14:paraId="36FF398D" w14:textId="77777777" w:rsidR="00754973" w:rsidRPr="00C40661" w:rsidRDefault="00754973" w:rsidP="00754973">
            <w:pPr>
              <w:jc w:val="center"/>
              <w:rPr>
                <w:rFonts w:eastAsia="Arial Unicode MS"/>
                <w:b/>
                <w:bCs/>
                <w:sz w:val="22"/>
                <w:szCs w:val="22"/>
              </w:rPr>
            </w:pPr>
            <w:r w:rsidRPr="00C40661">
              <w:rPr>
                <w:b/>
                <w:bCs/>
                <w:sz w:val="22"/>
                <w:szCs w:val="22"/>
              </w:rPr>
              <w:t xml:space="preserve"> </w:t>
            </w:r>
          </w:p>
        </w:tc>
        <w:tc>
          <w:tcPr>
            <w:tcW w:w="1548" w:type="dxa"/>
            <w:tcBorders>
              <w:top w:val="nil"/>
              <w:left w:val="nil"/>
              <w:bottom w:val="nil"/>
              <w:right w:val="nil"/>
            </w:tcBorders>
            <w:vAlign w:val="center"/>
          </w:tcPr>
          <w:p w14:paraId="784F9D8D" w14:textId="5407BE6A" w:rsidR="00754973" w:rsidRPr="006D56BD" w:rsidRDefault="00B37904">
            <w:pPr>
              <w:ind w:right="130"/>
              <w:jc w:val="right"/>
              <w:rPr>
                <w:sz w:val="22"/>
                <w:szCs w:val="22"/>
              </w:rPr>
            </w:pPr>
            <w:r>
              <w:rPr>
                <w:sz w:val="22"/>
                <w:szCs w:val="22"/>
              </w:rPr>
              <w:t>(</w:t>
            </w:r>
            <w:r w:rsidR="00396E55">
              <w:rPr>
                <w:sz w:val="22"/>
                <w:szCs w:val="22"/>
              </w:rPr>
              <w:t>2,605,53</w:t>
            </w:r>
            <w:r w:rsidR="00F54810">
              <w:rPr>
                <w:sz w:val="22"/>
                <w:szCs w:val="22"/>
              </w:rPr>
              <w:t>8</w:t>
            </w:r>
            <w:r>
              <w:rPr>
                <w:sz w:val="22"/>
                <w:szCs w:val="22"/>
              </w:rPr>
              <w:t>)</w:t>
            </w:r>
          </w:p>
        </w:tc>
        <w:tc>
          <w:tcPr>
            <w:tcW w:w="1446" w:type="dxa"/>
            <w:tcBorders>
              <w:top w:val="nil"/>
              <w:left w:val="nil"/>
              <w:bottom w:val="nil"/>
              <w:right w:val="nil"/>
            </w:tcBorders>
            <w:noWrap/>
            <w:tcMar>
              <w:top w:w="15" w:type="dxa"/>
              <w:left w:w="15" w:type="dxa"/>
              <w:bottom w:w="0" w:type="dxa"/>
              <w:right w:w="15" w:type="dxa"/>
            </w:tcMar>
            <w:vAlign w:val="center"/>
          </w:tcPr>
          <w:p w14:paraId="215C276E" w14:textId="4CFBE12D" w:rsidR="00754973" w:rsidRPr="00C40661" w:rsidRDefault="00754973" w:rsidP="00754973">
            <w:pPr>
              <w:ind w:right="130"/>
              <w:jc w:val="right"/>
              <w:rPr>
                <w:rFonts w:eastAsia="Arial Unicode MS"/>
                <w:sz w:val="22"/>
                <w:szCs w:val="22"/>
              </w:rPr>
            </w:pPr>
            <w:r w:rsidRPr="006D56BD">
              <w:rPr>
                <w:sz w:val="22"/>
                <w:szCs w:val="22"/>
              </w:rPr>
              <w:t>(</w:t>
            </w:r>
            <w:r w:rsidR="00496481">
              <w:rPr>
                <w:sz w:val="22"/>
                <w:szCs w:val="22"/>
              </w:rPr>
              <w:t>1,795,40</w:t>
            </w:r>
            <w:r w:rsidR="00F54810">
              <w:rPr>
                <w:sz w:val="22"/>
                <w:szCs w:val="22"/>
              </w:rPr>
              <w:t>5</w:t>
            </w:r>
            <w:r w:rsidRPr="006D56BD">
              <w:rPr>
                <w:sz w:val="22"/>
                <w:szCs w:val="22"/>
              </w:rPr>
              <w:t>)</w:t>
            </w:r>
          </w:p>
        </w:tc>
      </w:tr>
      <w:tr w:rsidR="00754973" w:rsidRPr="00C40661" w14:paraId="78AAE06B" w14:textId="77777777" w:rsidTr="00B37904">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73B90693" w14:textId="77777777" w:rsidR="00754973" w:rsidRPr="00C40661" w:rsidRDefault="00754973" w:rsidP="00754973">
            <w:pPr>
              <w:rPr>
                <w:rFonts w:eastAsia="Arial Unicode MS"/>
                <w:sz w:val="22"/>
                <w:szCs w:val="22"/>
              </w:rPr>
            </w:pPr>
            <w:r w:rsidRPr="00C40661">
              <w:rPr>
                <w:sz w:val="22"/>
                <w:szCs w:val="22"/>
              </w:rPr>
              <w:t>Foreign currency reserve</w:t>
            </w:r>
          </w:p>
        </w:tc>
        <w:tc>
          <w:tcPr>
            <w:tcW w:w="1201" w:type="dxa"/>
            <w:tcBorders>
              <w:top w:val="nil"/>
              <w:left w:val="nil"/>
              <w:bottom w:val="nil"/>
              <w:right w:val="nil"/>
            </w:tcBorders>
            <w:noWrap/>
            <w:tcMar>
              <w:top w:w="15" w:type="dxa"/>
              <w:left w:w="15" w:type="dxa"/>
              <w:bottom w:w="0" w:type="dxa"/>
              <w:right w:w="15" w:type="dxa"/>
            </w:tcMar>
            <w:vAlign w:val="bottom"/>
          </w:tcPr>
          <w:p w14:paraId="1C3E2FFD" w14:textId="77777777" w:rsidR="00754973" w:rsidRPr="00C40661" w:rsidRDefault="00754973" w:rsidP="00754973">
            <w:pPr>
              <w:jc w:val="center"/>
              <w:rPr>
                <w:rFonts w:eastAsia="Arial Unicode MS"/>
                <w:b/>
                <w:bCs/>
                <w:sz w:val="22"/>
                <w:szCs w:val="22"/>
              </w:rPr>
            </w:pPr>
            <w:r w:rsidRPr="00C40661">
              <w:rPr>
                <w:b/>
                <w:bCs/>
                <w:sz w:val="22"/>
                <w:szCs w:val="22"/>
              </w:rPr>
              <w:t xml:space="preserve"> </w:t>
            </w:r>
          </w:p>
        </w:tc>
        <w:tc>
          <w:tcPr>
            <w:tcW w:w="1548" w:type="dxa"/>
            <w:tcBorders>
              <w:left w:val="nil"/>
              <w:bottom w:val="single" w:sz="4" w:space="0" w:color="auto"/>
              <w:right w:val="nil"/>
            </w:tcBorders>
            <w:vAlign w:val="center"/>
          </w:tcPr>
          <w:p w14:paraId="18C3B6AF" w14:textId="0C4EFAF3" w:rsidR="00754973" w:rsidRPr="006D56BD" w:rsidRDefault="005B4274" w:rsidP="00361CA3">
            <w:pPr>
              <w:ind w:right="130"/>
              <w:jc w:val="right"/>
              <w:rPr>
                <w:sz w:val="22"/>
                <w:szCs w:val="22"/>
              </w:rPr>
            </w:pPr>
            <w:r>
              <w:rPr>
                <w:sz w:val="22"/>
                <w:szCs w:val="22"/>
              </w:rPr>
              <w:t>(</w:t>
            </w:r>
            <w:r w:rsidR="00FD3732">
              <w:rPr>
                <w:sz w:val="22"/>
                <w:szCs w:val="22"/>
              </w:rPr>
              <w:t>1,358</w:t>
            </w:r>
            <w:r>
              <w:rPr>
                <w:sz w:val="22"/>
                <w:szCs w:val="22"/>
              </w:rPr>
              <w:t>)</w:t>
            </w:r>
          </w:p>
        </w:tc>
        <w:tc>
          <w:tcPr>
            <w:tcW w:w="1446" w:type="dxa"/>
            <w:tcBorders>
              <w:left w:val="nil"/>
              <w:bottom w:val="single" w:sz="4" w:space="0" w:color="auto"/>
              <w:right w:val="nil"/>
            </w:tcBorders>
            <w:noWrap/>
            <w:tcMar>
              <w:top w:w="15" w:type="dxa"/>
              <w:left w:w="15" w:type="dxa"/>
              <w:bottom w:w="0" w:type="dxa"/>
              <w:right w:w="15" w:type="dxa"/>
            </w:tcMar>
            <w:vAlign w:val="center"/>
          </w:tcPr>
          <w:p w14:paraId="27440CC6" w14:textId="5E85E7CF" w:rsidR="00754973" w:rsidRPr="00C40661" w:rsidRDefault="00496481" w:rsidP="00754973">
            <w:pPr>
              <w:ind w:right="130"/>
              <w:jc w:val="right"/>
              <w:rPr>
                <w:rFonts w:eastAsia="Arial Unicode MS"/>
                <w:sz w:val="22"/>
                <w:szCs w:val="22"/>
              </w:rPr>
            </w:pPr>
            <w:r>
              <w:rPr>
                <w:sz w:val="22"/>
                <w:szCs w:val="22"/>
              </w:rPr>
              <w:t>(940)</w:t>
            </w:r>
          </w:p>
        </w:tc>
      </w:tr>
      <w:tr w:rsidR="00754973" w:rsidRPr="00C40661" w14:paraId="0D613304" w14:textId="77777777" w:rsidTr="00652CBB">
        <w:trPr>
          <w:trHeight w:val="316"/>
        </w:trPr>
        <w:tc>
          <w:tcPr>
            <w:tcW w:w="5750" w:type="dxa"/>
            <w:tcBorders>
              <w:top w:val="nil"/>
              <w:left w:val="nil"/>
              <w:bottom w:val="nil"/>
              <w:right w:val="nil"/>
            </w:tcBorders>
            <w:noWrap/>
            <w:tcMar>
              <w:top w:w="15" w:type="dxa"/>
              <w:left w:w="15" w:type="dxa"/>
              <w:bottom w:w="0" w:type="dxa"/>
              <w:right w:w="15" w:type="dxa"/>
            </w:tcMar>
            <w:vAlign w:val="bottom"/>
          </w:tcPr>
          <w:p w14:paraId="68288EEB" w14:textId="77777777" w:rsidR="00754973" w:rsidRPr="00C40661" w:rsidRDefault="00754973" w:rsidP="00754973">
            <w:pPr>
              <w:rPr>
                <w:rFonts w:eastAsia="Arial Unicode MS"/>
                <w:sz w:val="22"/>
                <w:szCs w:val="22"/>
              </w:rPr>
            </w:pPr>
            <w:r w:rsidRPr="00C40661">
              <w:rPr>
                <w:b/>
                <w:bCs/>
                <w:sz w:val="22"/>
                <w:szCs w:val="22"/>
              </w:rPr>
              <w:t>Total equity</w:t>
            </w:r>
          </w:p>
        </w:tc>
        <w:tc>
          <w:tcPr>
            <w:tcW w:w="1201" w:type="dxa"/>
            <w:tcBorders>
              <w:top w:val="nil"/>
              <w:left w:val="nil"/>
              <w:bottom w:val="nil"/>
              <w:right w:val="nil"/>
            </w:tcBorders>
            <w:noWrap/>
            <w:tcMar>
              <w:top w:w="15" w:type="dxa"/>
              <w:left w:w="15" w:type="dxa"/>
              <w:bottom w:w="0" w:type="dxa"/>
              <w:right w:w="15" w:type="dxa"/>
            </w:tcMar>
            <w:vAlign w:val="bottom"/>
          </w:tcPr>
          <w:p w14:paraId="76FFCBEC" w14:textId="77777777" w:rsidR="00754973" w:rsidRPr="00C40661" w:rsidRDefault="00754973" w:rsidP="00754973">
            <w:pPr>
              <w:jc w:val="center"/>
              <w:rPr>
                <w:rFonts w:eastAsia="Arial Unicode MS"/>
                <w:b/>
                <w:bCs/>
                <w:sz w:val="22"/>
                <w:szCs w:val="22"/>
              </w:rPr>
            </w:pPr>
            <w:r w:rsidRPr="00C40661">
              <w:rPr>
                <w:b/>
                <w:bCs/>
                <w:sz w:val="22"/>
                <w:szCs w:val="22"/>
              </w:rPr>
              <w:t xml:space="preserve"> </w:t>
            </w:r>
          </w:p>
        </w:tc>
        <w:tc>
          <w:tcPr>
            <w:tcW w:w="1548" w:type="dxa"/>
            <w:tcBorders>
              <w:top w:val="nil"/>
              <w:left w:val="nil"/>
              <w:bottom w:val="double" w:sz="6" w:space="0" w:color="auto"/>
              <w:right w:val="nil"/>
            </w:tcBorders>
            <w:vAlign w:val="center"/>
          </w:tcPr>
          <w:p w14:paraId="4E3F14EB" w14:textId="31848459" w:rsidR="00754973" w:rsidRPr="006D56BD" w:rsidRDefault="00396E55" w:rsidP="00754973">
            <w:pPr>
              <w:ind w:right="130"/>
              <w:jc w:val="right"/>
              <w:rPr>
                <w:sz w:val="22"/>
                <w:szCs w:val="22"/>
              </w:rPr>
            </w:pPr>
            <w:r>
              <w:rPr>
                <w:sz w:val="22"/>
                <w:szCs w:val="22"/>
              </w:rPr>
              <w:t>150,</w:t>
            </w:r>
            <w:r w:rsidR="00580D88">
              <w:rPr>
                <w:sz w:val="22"/>
                <w:szCs w:val="22"/>
              </w:rPr>
              <w:t>189</w:t>
            </w:r>
          </w:p>
        </w:tc>
        <w:tc>
          <w:tcPr>
            <w:tcW w:w="1446" w:type="dxa"/>
            <w:tcBorders>
              <w:top w:val="nil"/>
              <w:left w:val="nil"/>
              <w:bottom w:val="double" w:sz="6" w:space="0" w:color="auto"/>
              <w:right w:val="nil"/>
            </w:tcBorders>
            <w:noWrap/>
            <w:tcMar>
              <w:top w:w="15" w:type="dxa"/>
              <w:left w:w="15" w:type="dxa"/>
              <w:bottom w:w="0" w:type="dxa"/>
              <w:right w:w="15" w:type="dxa"/>
            </w:tcMar>
            <w:vAlign w:val="center"/>
          </w:tcPr>
          <w:p w14:paraId="651262B2" w14:textId="75FA6B23" w:rsidR="00754973" w:rsidRPr="00C40661" w:rsidRDefault="00496481" w:rsidP="00754973">
            <w:pPr>
              <w:ind w:right="130"/>
              <w:jc w:val="right"/>
              <w:rPr>
                <w:rFonts w:eastAsia="Arial Unicode MS"/>
                <w:sz w:val="22"/>
                <w:szCs w:val="22"/>
              </w:rPr>
            </w:pPr>
            <w:r>
              <w:rPr>
                <w:sz w:val="22"/>
                <w:szCs w:val="22"/>
              </w:rPr>
              <w:t>890,74</w:t>
            </w:r>
            <w:r w:rsidR="00F54810">
              <w:rPr>
                <w:sz w:val="22"/>
                <w:szCs w:val="22"/>
              </w:rPr>
              <w:t>0</w:t>
            </w:r>
          </w:p>
        </w:tc>
      </w:tr>
    </w:tbl>
    <w:p w14:paraId="64EEC697" w14:textId="77777777" w:rsidR="007623F0" w:rsidRPr="00C40661" w:rsidRDefault="007623F0">
      <w:pPr>
        <w:jc w:val="both"/>
        <w:rPr>
          <w:sz w:val="22"/>
          <w:szCs w:val="22"/>
        </w:rPr>
      </w:pPr>
    </w:p>
    <w:p w14:paraId="37457A27" w14:textId="4D751C0C" w:rsidR="007623F0" w:rsidRPr="00C40661" w:rsidRDefault="007623F0">
      <w:pPr>
        <w:pStyle w:val="BodyText2"/>
        <w:rPr>
          <w:sz w:val="22"/>
          <w:szCs w:val="22"/>
        </w:rPr>
      </w:pPr>
      <w:r w:rsidRPr="00C40661">
        <w:rPr>
          <w:sz w:val="22"/>
          <w:szCs w:val="22"/>
        </w:rPr>
        <w:t xml:space="preserve">These financial statements were approved and authorised for issue by the Board of Directors on </w:t>
      </w:r>
      <w:r w:rsidR="006B7D04" w:rsidRPr="00D80E25">
        <w:rPr>
          <w:sz w:val="22"/>
          <w:szCs w:val="22"/>
        </w:rPr>
        <w:t>28</w:t>
      </w:r>
      <w:r w:rsidR="00496481" w:rsidRPr="00D80E25">
        <w:rPr>
          <w:sz w:val="22"/>
          <w:szCs w:val="22"/>
        </w:rPr>
        <w:t xml:space="preserve"> </w:t>
      </w:r>
      <w:r w:rsidR="007D061B" w:rsidRPr="00D80E25">
        <w:rPr>
          <w:sz w:val="22"/>
          <w:szCs w:val="22"/>
        </w:rPr>
        <w:t xml:space="preserve">April </w:t>
      </w:r>
      <w:r w:rsidR="002D1228" w:rsidRPr="00D80E25">
        <w:rPr>
          <w:sz w:val="22"/>
          <w:szCs w:val="22"/>
        </w:rPr>
        <w:t>202</w:t>
      </w:r>
      <w:r w:rsidR="00496481" w:rsidRPr="00D80E25">
        <w:rPr>
          <w:sz w:val="22"/>
          <w:szCs w:val="22"/>
        </w:rPr>
        <w:t>1</w:t>
      </w:r>
      <w:r w:rsidRPr="00D80E25">
        <w:rPr>
          <w:sz w:val="22"/>
          <w:szCs w:val="22"/>
        </w:rPr>
        <w:t>.</w:t>
      </w:r>
    </w:p>
    <w:p w14:paraId="7F6C0833" w14:textId="77777777" w:rsidR="007623F0" w:rsidRDefault="007623F0">
      <w:pPr>
        <w:pStyle w:val="BodyText2"/>
        <w:rPr>
          <w:sz w:val="22"/>
          <w:szCs w:val="22"/>
        </w:rPr>
      </w:pPr>
    </w:p>
    <w:p w14:paraId="6E838B27" w14:textId="77777777" w:rsidR="0088485F" w:rsidRPr="00C40661" w:rsidRDefault="0088485F">
      <w:pPr>
        <w:pStyle w:val="BodyText2"/>
        <w:rPr>
          <w:sz w:val="22"/>
          <w:szCs w:val="22"/>
        </w:rPr>
      </w:pPr>
    </w:p>
    <w:p w14:paraId="477E5679" w14:textId="77777777" w:rsidR="007623F0" w:rsidRPr="00C40661" w:rsidRDefault="007623F0">
      <w:pPr>
        <w:pStyle w:val="BodyText2"/>
        <w:rPr>
          <w:sz w:val="22"/>
          <w:szCs w:val="22"/>
        </w:rPr>
      </w:pPr>
    </w:p>
    <w:p w14:paraId="54C82ACF" w14:textId="77777777" w:rsidR="007623F0" w:rsidRPr="00BB2BB2" w:rsidRDefault="007623F0">
      <w:pPr>
        <w:pStyle w:val="Heading7"/>
        <w:rPr>
          <w:sz w:val="22"/>
          <w:szCs w:val="22"/>
        </w:rPr>
      </w:pPr>
      <w:r w:rsidRPr="00BB2BB2">
        <w:rPr>
          <w:sz w:val="22"/>
          <w:szCs w:val="22"/>
        </w:rPr>
        <w:t>Signed on behalf of the Board of Directors</w:t>
      </w:r>
    </w:p>
    <w:p w14:paraId="1E1F32A6" w14:textId="693C030D" w:rsidR="007623F0" w:rsidRPr="00BB2BB2" w:rsidRDefault="00AA57E3">
      <w:pPr>
        <w:jc w:val="both"/>
        <w:rPr>
          <w:b/>
          <w:sz w:val="22"/>
          <w:szCs w:val="22"/>
        </w:rPr>
      </w:pPr>
      <w:r>
        <w:rPr>
          <w:b/>
          <w:sz w:val="22"/>
          <w:szCs w:val="22"/>
        </w:rPr>
        <w:t>Rolf Gerritsen</w:t>
      </w:r>
    </w:p>
    <w:p w14:paraId="2DE6CFEA" w14:textId="77777777" w:rsidR="007623F0" w:rsidRPr="00C40661" w:rsidRDefault="007623F0">
      <w:pPr>
        <w:pStyle w:val="Heading7"/>
        <w:rPr>
          <w:sz w:val="22"/>
          <w:szCs w:val="22"/>
        </w:rPr>
      </w:pPr>
      <w:r w:rsidRPr="00BB2BB2">
        <w:rPr>
          <w:sz w:val="22"/>
          <w:szCs w:val="22"/>
        </w:rPr>
        <w:t>Director</w:t>
      </w:r>
    </w:p>
    <w:p w14:paraId="0AC31409" w14:textId="51F9122A" w:rsidR="007623F0" w:rsidRPr="00C40661" w:rsidRDefault="007623F0">
      <w:pPr>
        <w:jc w:val="both"/>
        <w:rPr>
          <w:sz w:val="22"/>
          <w:szCs w:val="22"/>
        </w:rPr>
      </w:pPr>
    </w:p>
    <w:p w14:paraId="78E45071" w14:textId="351F4D07" w:rsidR="007623F0" w:rsidRPr="00AA57E3" w:rsidRDefault="007623F0">
      <w:pPr>
        <w:pStyle w:val="Heading7"/>
        <w:rPr>
          <w:sz w:val="22"/>
          <w:szCs w:val="22"/>
        </w:rPr>
      </w:pPr>
      <w:r w:rsidRPr="00C40661">
        <w:rPr>
          <w:sz w:val="22"/>
          <w:szCs w:val="22"/>
        </w:rPr>
        <w:t xml:space="preserve">Company No. </w:t>
      </w:r>
      <w:r w:rsidR="00AA57E3" w:rsidRPr="00AA57E3">
        <w:rPr>
          <w:sz w:val="22"/>
          <w:szCs w:val="22"/>
        </w:rPr>
        <w:t>05714562</w:t>
      </w:r>
    </w:p>
    <w:p w14:paraId="44435141" w14:textId="77777777" w:rsidR="001E3BD1" w:rsidRDefault="00A12B6A" w:rsidP="00A12B6A">
      <w:pPr>
        <w:jc w:val="center"/>
        <w:rPr>
          <w:sz w:val="22"/>
          <w:szCs w:val="22"/>
        </w:rPr>
        <w:sectPr w:rsidR="001E3BD1" w:rsidSect="002E4AA5">
          <w:headerReference w:type="first" r:id="rId26"/>
          <w:pgSz w:w="11909" w:h="16834" w:code="9"/>
          <w:pgMar w:top="567" w:right="936" w:bottom="720" w:left="936" w:header="706" w:footer="706" w:gutter="0"/>
          <w:cols w:space="720"/>
          <w:titlePg/>
        </w:sectPr>
      </w:pPr>
      <w:r>
        <w:rPr>
          <w:sz w:val="22"/>
          <w:szCs w:val="22"/>
        </w:rPr>
        <w:br w:type="page"/>
      </w:r>
    </w:p>
    <w:tbl>
      <w:tblPr>
        <w:tblW w:w="9781" w:type="dxa"/>
        <w:tblLayout w:type="fixed"/>
        <w:tblCellMar>
          <w:left w:w="0" w:type="dxa"/>
          <w:right w:w="0" w:type="dxa"/>
        </w:tblCellMar>
        <w:tblLook w:val="0000" w:firstRow="0" w:lastRow="0" w:firstColumn="0" w:lastColumn="0" w:noHBand="0" w:noVBand="0"/>
      </w:tblPr>
      <w:tblGrid>
        <w:gridCol w:w="5775"/>
        <w:gridCol w:w="1171"/>
        <w:gridCol w:w="1382"/>
        <w:gridCol w:w="1453"/>
      </w:tblGrid>
      <w:tr w:rsidR="002F2AD7" w:rsidRPr="00C40661" w14:paraId="387C0FA4" w14:textId="77777777" w:rsidTr="00A806B9">
        <w:trPr>
          <w:trHeight w:val="310"/>
        </w:trPr>
        <w:tc>
          <w:tcPr>
            <w:tcW w:w="5775" w:type="dxa"/>
            <w:tcBorders>
              <w:top w:val="nil"/>
              <w:left w:val="nil"/>
              <w:bottom w:val="nil"/>
              <w:right w:val="nil"/>
            </w:tcBorders>
            <w:noWrap/>
            <w:tcMar>
              <w:top w:w="15" w:type="dxa"/>
              <w:left w:w="15" w:type="dxa"/>
              <w:bottom w:w="0" w:type="dxa"/>
              <w:right w:w="15" w:type="dxa"/>
            </w:tcMar>
            <w:vAlign w:val="bottom"/>
          </w:tcPr>
          <w:p w14:paraId="14A39032" w14:textId="77777777" w:rsidR="002F2AD7" w:rsidRPr="00C40661" w:rsidRDefault="002F2AD7" w:rsidP="002F2AD7">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61DF9DA9" w14:textId="01CDC1BD" w:rsidR="002F2AD7" w:rsidRPr="00C40661" w:rsidRDefault="002F2AD7" w:rsidP="002F2AD7">
            <w:pPr>
              <w:jc w:val="center"/>
              <w:rPr>
                <w:rFonts w:eastAsia="Arial Unicode MS"/>
                <w:b/>
                <w:bCs/>
                <w:sz w:val="22"/>
                <w:szCs w:val="22"/>
              </w:rPr>
            </w:pPr>
            <w:r w:rsidRPr="00C40661">
              <w:rPr>
                <w:b/>
                <w:bCs/>
                <w:sz w:val="22"/>
                <w:szCs w:val="22"/>
              </w:rPr>
              <w:t>Note</w:t>
            </w:r>
            <w:r w:rsidR="00B15D76">
              <w:rPr>
                <w:b/>
                <w:bCs/>
                <w:sz w:val="22"/>
                <w:szCs w:val="22"/>
              </w:rPr>
              <w:t>s</w:t>
            </w:r>
          </w:p>
        </w:tc>
        <w:tc>
          <w:tcPr>
            <w:tcW w:w="1382" w:type="dxa"/>
            <w:tcBorders>
              <w:top w:val="nil"/>
              <w:left w:val="nil"/>
              <w:bottom w:val="nil"/>
              <w:right w:val="nil"/>
            </w:tcBorders>
            <w:vAlign w:val="bottom"/>
          </w:tcPr>
          <w:p w14:paraId="5AB051E1" w14:textId="2BF1C9F8" w:rsidR="002F2AD7" w:rsidRPr="00C40661" w:rsidRDefault="00FA128B" w:rsidP="00754973">
            <w:pPr>
              <w:ind w:right="130"/>
              <w:jc w:val="right"/>
              <w:rPr>
                <w:b/>
                <w:bCs/>
                <w:sz w:val="22"/>
                <w:szCs w:val="22"/>
              </w:rPr>
            </w:pPr>
            <w:r>
              <w:rPr>
                <w:b/>
                <w:bCs/>
                <w:sz w:val="22"/>
                <w:szCs w:val="22"/>
              </w:rPr>
              <w:t>Year</w:t>
            </w:r>
            <w:r w:rsidR="00E444B6">
              <w:rPr>
                <w:b/>
                <w:bCs/>
                <w:sz w:val="22"/>
                <w:szCs w:val="22"/>
              </w:rPr>
              <w:t xml:space="preserve"> to</w:t>
            </w:r>
          </w:p>
        </w:tc>
        <w:tc>
          <w:tcPr>
            <w:tcW w:w="1453" w:type="dxa"/>
            <w:tcBorders>
              <w:top w:val="nil"/>
              <w:left w:val="nil"/>
              <w:bottom w:val="nil"/>
              <w:right w:val="nil"/>
            </w:tcBorders>
            <w:noWrap/>
            <w:tcMar>
              <w:top w:w="15" w:type="dxa"/>
              <w:left w:w="15" w:type="dxa"/>
              <w:bottom w:w="0" w:type="dxa"/>
              <w:right w:w="15" w:type="dxa"/>
            </w:tcMar>
            <w:vAlign w:val="bottom"/>
          </w:tcPr>
          <w:p w14:paraId="39421DC0" w14:textId="27D56A24" w:rsidR="002F2AD7" w:rsidRPr="00C40661" w:rsidRDefault="00A806B9" w:rsidP="00754973">
            <w:pPr>
              <w:ind w:right="130"/>
              <w:jc w:val="right"/>
              <w:rPr>
                <w:rFonts w:eastAsia="Arial Unicode MS"/>
                <w:b/>
                <w:bCs/>
                <w:sz w:val="22"/>
                <w:szCs w:val="22"/>
              </w:rPr>
            </w:pPr>
            <w:r>
              <w:rPr>
                <w:b/>
                <w:bCs/>
                <w:sz w:val="22"/>
                <w:szCs w:val="22"/>
              </w:rPr>
              <w:t xml:space="preserve">10-Month Period </w:t>
            </w:r>
            <w:r w:rsidR="00E444B6">
              <w:rPr>
                <w:b/>
                <w:bCs/>
                <w:sz w:val="22"/>
                <w:szCs w:val="22"/>
              </w:rPr>
              <w:t>to</w:t>
            </w:r>
          </w:p>
        </w:tc>
      </w:tr>
      <w:tr w:rsidR="00E444B6" w:rsidRPr="00C40661" w14:paraId="5B99A6A3" w14:textId="77777777" w:rsidTr="00A806B9">
        <w:trPr>
          <w:trHeight w:val="310"/>
        </w:trPr>
        <w:tc>
          <w:tcPr>
            <w:tcW w:w="5775" w:type="dxa"/>
            <w:tcBorders>
              <w:top w:val="nil"/>
              <w:left w:val="nil"/>
              <w:bottom w:val="nil"/>
              <w:right w:val="nil"/>
            </w:tcBorders>
            <w:noWrap/>
            <w:tcMar>
              <w:top w:w="15" w:type="dxa"/>
              <w:left w:w="15" w:type="dxa"/>
              <w:bottom w:w="0" w:type="dxa"/>
              <w:right w:w="15" w:type="dxa"/>
            </w:tcMar>
            <w:vAlign w:val="bottom"/>
          </w:tcPr>
          <w:p w14:paraId="1CF2066A" w14:textId="77777777" w:rsidR="00E444B6" w:rsidRPr="00C40661" w:rsidRDefault="00E444B6" w:rsidP="002F2AD7">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0BECCC87" w14:textId="77777777" w:rsidR="00E444B6" w:rsidRPr="00C40661" w:rsidRDefault="00E444B6" w:rsidP="002F2AD7">
            <w:pPr>
              <w:jc w:val="center"/>
              <w:rPr>
                <w:b/>
                <w:bCs/>
                <w:sz w:val="22"/>
                <w:szCs w:val="22"/>
              </w:rPr>
            </w:pPr>
          </w:p>
        </w:tc>
        <w:tc>
          <w:tcPr>
            <w:tcW w:w="1382" w:type="dxa"/>
            <w:tcBorders>
              <w:top w:val="nil"/>
              <w:left w:val="nil"/>
              <w:bottom w:val="nil"/>
              <w:right w:val="nil"/>
            </w:tcBorders>
            <w:vAlign w:val="bottom"/>
          </w:tcPr>
          <w:p w14:paraId="166F1D7A" w14:textId="54D7C2F5" w:rsidR="00E444B6" w:rsidRPr="00C40661" w:rsidRDefault="00E444B6" w:rsidP="00754973">
            <w:pPr>
              <w:ind w:right="130"/>
              <w:jc w:val="right"/>
              <w:rPr>
                <w:b/>
                <w:bCs/>
                <w:sz w:val="22"/>
                <w:szCs w:val="22"/>
              </w:rPr>
            </w:pPr>
            <w:r>
              <w:rPr>
                <w:b/>
                <w:bCs/>
                <w:sz w:val="22"/>
                <w:szCs w:val="22"/>
              </w:rPr>
              <w:t xml:space="preserve">31 December </w:t>
            </w:r>
            <w:r w:rsidR="00FA128B">
              <w:rPr>
                <w:b/>
                <w:bCs/>
                <w:sz w:val="22"/>
                <w:szCs w:val="22"/>
              </w:rPr>
              <w:t>2020</w:t>
            </w:r>
          </w:p>
        </w:tc>
        <w:tc>
          <w:tcPr>
            <w:tcW w:w="1453" w:type="dxa"/>
            <w:tcBorders>
              <w:top w:val="nil"/>
              <w:left w:val="nil"/>
              <w:bottom w:val="nil"/>
              <w:right w:val="nil"/>
            </w:tcBorders>
            <w:noWrap/>
            <w:tcMar>
              <w:top w:w="15" w:type="dxa"/>
              <w:left w:w="15" w:type="dxa"/>
              <w:bottom w:w="0" w:type="dxa"/>
              <w:right w:w="15" w:type="dxa"/>
            </w:tcMar>
            <w:vAlign w:val="bottom"/>
          </w:tcPr>
          <w:p w14:paraId="3FCAA145" w14:textId="4155BC1F" w:rsidR="00E444B6" w:rsidRPr="00C40661" w:rsidRDefault="00A806B9" w:rsidP="00754973">
            <w:pPr>
              <w:ind w:right="130"/>
              <w:jc w:val="right"/>
              <w:rPr>
                <w:b/>
                <w:bCs/>
                <w:sz w:val="22"/>
                <w:szCs w:val="22"/>
              </w:rPr>
            </w:pPr>
            <w:r>
              <w:rPr>
                <w:b/>
                <w:bCs/>
                <w:sz w:val="22"/>
                <w:szCs w:val="22"/>
              </w:rPr>
              <w:t>31 December</w:t>
            </w:r>
            <w:r w:rsidR="00E444B6">
              <w:rPr>
                <w:b/>
                <w:bCs/>
                <w:sz w:val="22"/>
                <w:szCs w:val="22"/>
              </w:rPr>
              <w:t xml:space="preserve"> 2019</w:t>
            </w:r>
          </w:p>
        </w:tc>
      </w:tr>
      <w:tr w:rsidR="00A12B6A" w:rsidRPr="00C40661" w14:paraId="16B964F5" w14:textId="77777777" w:rsidTr="00A806B9">
        <w:trPr>
          <w:trHeight w:val="310"/>
        </w:trPr>
        <w:tc>
          <w:tcPr>
            <w:tcW w:w="5775" w:type="dxa"/>
            <w:tcBorders>
              <w:top w:val="nil"/>
              <w:left w:val="nil"/>
              <w:bottom w:val="nil"/>
              <w:right w:val="nil"/>
            </w:tcBorders>
            <w:noWrap/>
            <w:tcMar>
              <w:top w:w="15" w:type="dxa"/>
              <w:left w:w="15" w:type="dxa"/>
              <w:bottom w:w="0" w:type="dxa"/>
              <w:right w:w="15" w:type="dxa"/>
            </w:tcMar>
            <w:vAlign w:val="bottom"/>
          </w:tcPr>
          <w:p w14:paraId="0A70C599" w14:textId="77777777" w:rsidR="00A12B6A" w:rsidRPr="00C40661" w:rsidRDefault="00A12B6A" w:rsidP="008756DA">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235928D8" w14:textId="77777777" w:rsidR="00A12B6A" w:rsidRPr="00C40661" w:rsidRDefault="00A12B6A" w:rsidP="008756DA">
            <w:pPr>
              <w:rPr>
                <w:rFonts w:eastAsia="Arial Unicode MS"/>
                <w:sz w:val="22"/>
                <w:szCs w:val="22"/>
              </w:rPr>
            </w:pPr>
          </w:p>
        </w:tc>
        <w:tc>
          <w:tcPr>
            <w:tcW w:w="1382" w:type="dxa"/>
            <w:tcBorders>
              <w:top w:val="nil"/>
              <w:left w:val="nil"/>
              <w:bottom w:val="nil"/>
              <w:right w:val="nil"/>
            </w:tcBorders>
          </w:tcPr>
          <w:p w14:paraId="2E80AB08" w14:textId="77777777" w:rsidR="00A12B6A" w:rsidRPr="00C40661" w:rsidRDefault="00A12B6A" w:rsidP="008756DA">
            <w:pPr>
              <w:ind w:right="130"/>
              <w:jc w:val="right"/>
              <w:rPr>
                <w:b/>
                <w:bCs/>
                <w:sz w:val="22"/>
                <w:szCs w:val="22"/>
              </w:rPr>
            </w:pPr>
            <w:r w:rsidRPr="00C40661">
              <w:rPr>
                <w:b/>
                <w:bCs/>
                <w:sz w:val="22"/>
                <w:szCs w:val="22"/>
              </w:rPr>
              <w:t>£</w:t>
            </w:r>
          </w:p>
        </w:tc>
        <w:tc>
          <w:tcPr>
            <w:tcW w:w="1453" w:type="dxa"/>
            <w:tcBorders>
              <w:top w:val="nil"/>
              <w:left w:val="nil"/>
              <w:bottom w:val="nil"/>
              <w:right w:val="nil"/>
            </w:tcBorders>
            <w:noWrap/>
            <w:tcMar>
              <w:top w:w="15" w:type="dxa"/>
              <w:left w:w="15" w:type="dxa"/>
              <w:bottom w:w="0" w:type="dxa"/>
              <w:right w:w="15" w:type="dxa"/>
            </w:tcMar>
            <w:vAlign w:val="bottom"/>
          </w:tcPr>
          <w:p w14:paraId="192E0D1A" w14:textId="77777777" w:rsidR="00A12B6A" w:rsidRPr="00C40661" w:rsidRDefault="00A12B6A" w:rsidP="008756DA">
            <w:pPr>
              <w:ind w:right="130"/>
              <w:jc w:val="right"/>
              <w:rPr>
                <w:rFonts w:eastAsia="Arial Unicode MS"/>
                <w:b/>
                <w:bCs/>
                <w:sz w:val="22"/>
                <w:szCs w:val="22"/>
              </w:rPr>
            </w:pPr>
            <w:r w:rsidRPr="00C40661">
              <w:rPr>
                <w:b/>
                <w:bCs/>
                <w:sz w:val="22"/>
                <w:szCs w:val="22"/>
              </w:rPr>
              <w:t>£</w:t>
            </w:r>
          </w:p>
        </w:tc>
      </w:tr>
      <w:tr w:rsidR="00A12B6A" w:rsidRPr="00C40661" w14:paraId="6EF47ECC" w14:textId="77777777" w:rsidTr="00A806B9">
        <w:trPr>
          <w:trHeight w:val="310"/>
        </w:trPr>
        <w:tc>
          <w:tcPr>
            <w:tcW w:w="5775" w:type="dxa"/>
            <w:tcBorders>
              <w:top w:val="nil"/>
              <w:left w:val="nil"/>
              <w:bottom w:val="nil"/>
              <w:right w:val="nil"/>
            </w:tcBorders>
            <w:noWrap/>
            <w:tcMar>
              <w:top w:w="15" w:type="dxa"/>
              <w:left w:w="15" w:type="dxa"/>
              <w:bottom w:w="0" w:type="dxa"/>
              <w:right w:w="15" w:type="dxa"/>
            </w:tcMar>
            <w:vAlign w:val="bottom"/>
          </w:tcPr>
          <w:p w14:paraId="6162BB8E" w14:textId="77777777" w:rsidR="00A12B6A" w:rsidRPr="00C40661" w:rsidRDefault="00A12B6A" w:rsidP="008756DA">
            <w:pPr>
              <w:rPr>
                <w:rFonts w:eastAsia="Arial Unicode MS"/>
                <w:sz w:val="22"/>
                <w:szCs w:val="22"/>
              </w:rPr>
            </w:pPr>
            <w:r w:rsidRPr="00C40661">
              <w:rPr>
                <w:b/>
                <w:bCs/>
                <w:sz w:val="22"/>
                <w:szCs w:val="22"/>
              </w:rPr>
              <w:t>Non-current assets</w:t>
            </w:r>
          </w:p>
        </w:tc>
        <w:tc>
          <w:tcPr>
            <w:tcW w:w="1171" w:type="dxa"/>
            <w:tcBorders>
              <w:top w:val="nil"/>
              <w:left w:val="nil"/>
              <w:bottom w:val="nil"/>
              <w:right w:val="nil"/>
            </w:tcBorders>
            <w:noWrap/>
            <w:tcMar>
              <w:top w:w="15" w:type="dxa"/>
              <w:left w:w="15" w:type="dxa"/>
              <w:bottom w:w="0" w:type="dxa"/>
              <w:right w:w="15" w:type="dxa"/>
            </w:tcMar>
            <w:vAlign w:val="bottom"/>
          </w:tcPr>
          <w:p w14:paraId="23C22B67" w14:textId="77777777" w:rsidR="00A12B6A" w:rsidRPr="00C40661" w:rsidRDefault="00A12B6A" w:rsidP="008756DA">
            <w:pPr>
              <w:rPr>
                <w:rFonts w:eastAsia="Arial Unicode MS"/>
                <w:sz w:val="22"/>
                <w:szCs w:val="22"/>
              </w:rPr>
            </w:pPr>
          </w:p>
        </w:tc>
        <w:tc>
          <w:tcPr>
            <w:tcW w:w="1382" w:type="dxa"/>
            <w:tcBorders>
              <w:top w:val="nil"/>
              <w:left w:val="nil"/>
              <w:bottom w:val="nil"/>
              <w:right w:val="nil"/>
            </w:tcBorders>
          </w:tcPr>
          <w:p w14:paraId="6B07C8B6" w14:textId="77777777" w:rsidR="00A12B6A" w:rsidRPr="00C40661" w:rsidRDefault="00A12B6A" w:rsidP="008756DA">
            <w:pPr>
              <w:ind w:right="130"/>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bottom"/>
          </w:tcPr>
          <w:p w14:paraId="24ABD419" w14:textId="77777777" w:rsidR="00A12B6A" w:rsidRPr="00C40661" w:rsidRDefault="00A12B6A" w:rsidP="008756DA">
            <w:pPr>
              <w:ind w:right="130"/>
              <w:rPr>
                <w:rFonts w:eastAsia="Arial Unicode MS"/>
                <w:sz w:val="22"/>
                <w:szCs w:val="22"/>
              </w:rPr>
            </w:pPr>
          </w:p>
        </w:tc>
      </w:tr>
      <w:tr w:rsidR="00754973" w:rsidRPr="00C40661" w14:paraId="3F3C69ED" w14:textId="77777777" w:rsidTr="00A806B9">
        <w:trPr>
          <w:trHeight w:val="311"/>
        </w:trPr>
        <w:tc>
          <w:tcPr>
            <w:tcW w:w="5775" w:type="dxa"/>
            <w:tcBorders>
              <w:top w:val="nil"/>
              <w:left w:val="nil"/>
              <w:bottom w:val="nil"/>
              <w:right w:val="nil"/>
            </w:tcBorders>
            <w:noWrap/>
            <w:tcMar>
              <w:top w:w="15" w:type="dxa"/>
              <w:left w:w="15" w:type="dxa"/>
              <w:bottom w:w="0" w:type="dxa"/>
              <w:right w:w="15" w:type="dxa"/>
            </w:tcMar>
            <w:vAlign w:val="bottom"/>
          </w:tcPr>
          <w:p w14:paraId="36D613EB" w14:textId="77777777" w:rsidR="00754973" w:rsidRPr="00C40661" w:rsidRDefault="00754973" w:rsidP="00754973">
            <w:pPr>
              <w:rPr>
                <w:rFonts w:eastAsia="Arial Unicode MS"/>
                <w:sz w:val="22"/>
                <w:szCs w:val="22"/>
              </w:rPr>
            </w:pPr>
            <w:r w:rsidRPr="00C40661">
              <w:rPr>
                <w:sz w:val="22"/>
                <w:szCs w:val="22"/>
              </w:rPr>
              <w:t>Investments</w:t>
            </w:r>
          </w:p>
        </w:tc>
        <w:tc>
          <w:tcPr>
            <w:tcW w:w="1171" w:type="dxa"/>
            <w:tcBorders>
              <w:top w:val="nil"/>
              <w:left w:val="nil"/>
              <w:bottom w:val="nil"/>
              <w:right w:val="nil"/>
            </w:tcBorders>
            <w:noWrap/>
            <w:tcMar>
              <w:top w:w="15" w:type="dxa"/>
              <w:left w:w="15" w:type="dxa"/>
              <w:bottom w:w="0" w:type="dxa"/>
              <w:right w:w="15" w:type="dxa"/>
            </w:tcMar>
            <w:vAlign w:val="bottom"/>
          </w:tcPr>
          <w:p w14:paraId="4DC6FA28" w14:textId="638C47F8" w:rsidR="00754973" w:rsidRPr="00533364" w:rsidRDefault="00533364" w:rsidP="00754973">
            <w:pPr>
              <w:jc w:val="center"/>
              <w:rPr>
                <w:rFonts w:eastAsia="Arial Unicode MS"/>
                <w:b/>
                <w:bCs/>
                <w:sz w:val="22"/>
                <w:szCs w:val="22"/>
              </w:rPr>
            </w:pPr>
            <w:r w:rsidRPr="00533364">
              <w:rPr>
                <w:rFonts w:eastAsia="Arial Unicode MS"/>
                <w:b/>
                <w:bCs/>
                <w:sz w:val="22"/>
                <w:szCs w:val="22"/>
              </w:rPr>
              <w:t>7</w:t>
            </w:r>
          </w:p>
        </w:tc>
        <w:tc>
          <w:tcPr>
            <w:tcW w:w="1382" w:type="dxa"/>
            <w:tcBorders>
              <w:top w:val="nil"/>
              <w:left w:val="nil"/>
              <w:bottom w:val="nil"/>
              <w:right w:val="nil"/>
            </w:tcBorders>
            <w:vAlign w:val="center"/>
          </w:tcPr>
          <w:p w14:paraId="6577BDED" w14:textId="4270A848" w:rsidR="00754973" w:rsidRPr="006D56BD" w:rsidRDefault="00E00EA4" w:rsidP="00754973">
            <w:pPr>
              <w:ind w:right="130"/>
              <w:jc w:val="right"/>
              <w:rPr>
                <w:sz w:val="22"/>
                <w:szCs w:val="22"/>
              </w:rPr>
            </w:pPr>
            <w:r>
              <w:rPr>
                <w:sz w:val="22"/>
                <w:szCs w:val="22"/>
              </w:rPr>
              <w:t>466,652</w:t>
            </w:r>
          </w:p>
        </w:tc>
        <w:tc>
          <w:tcPr>
            <w:tcW w:w="1453" w:type="dxa"/>
            <w:tcBorders>
              <w:top w:val="nil"/>
              <w:left w:val="nil"/>
              <w:bottom w:val="nil"/>
              <w:right w:val="nil"/>
            </w:tcBorders>
            <w:noWrap/>
            <w:tcMar>
              <w:top w:w="15" w:type="dxa"/>
              <w:left w:w="15" w:type="dxa"/>
              <w:bottom w:w="0" w:type="dxa"/>
              <w:right w:w="15" w:type="dxa"/>
            </w:tcMar>
            <w:vAlign w:val="center"/>
          </w:tcPr>
          <w:p w14:paraId="3DBE0E6E" w14:textId="09867193" w:rsidR="00754973" w:rsidRPr="00C40661" w:rsidRDefault="00A806B9" w:rsidP="00754973">
            <w:pPr>
              <w:ind w:right="130"/>
              <w:jc w:val="right"/>
              <w:rPr>
                <w:rFonts w:eastAsia="Arial Unicode MS"/>
                <w:sz w:val="22"/>
                <w:szCs w:val="22"/>
              </w:rPr>
            </w:pPr>
            <w:r>
              <w:rPr>
                <w:sz w:val="22"/>
                <w:szCs w:val="22"/>
              </w:rPr>
              <w:t>131,667</w:t>
            </w:r>
          </w:p>
        </w:tc>
      </w:tr>
      <w:tr w:rsidR="00754973" w:rsidRPr="00C40661" w14:paraId="4AF1C408" w14:textId="77777777" w:rsidTr="00A806B9">
        <w:trPr>
          <w:trHeight w:val="311"/>
        </w:trPr>
        <w:tc>
          <w:tcPr>
            <w:tcW w:w="5775" w:type="dxa"/>
            <w:tcBorders>
              <w:top w:val="nil"/>
              <w:left w:val="nil"/>
              <w:bottom w:val="nil"/>
              <w:right w:val="nil"/>
            </w:tcBorders>
            <w:noWrap/>
            <w:tcMar>
              <w:top w:w="15" w:type="dxa"/>
              <w:left w:w="15" w:type="dxa"/>
              <w:bottom w:w="0" w:type="dxa"/>
              <w:right w:w="15" w:type="dxa"/>
            </w:tcMar>
            <w:vAlign w:val="bottom"/>
          </w:tcPr>
          <w:p w14:paraId="5F0BEE61" w14:textId="303A8CD2" w:rsidR="00754973" w:rsidRPr="00B07C37" w:rsidRDefault="00754973" w:rsidP="00754973">
            <w:pPr>
              <w:rPr>
                <w:sz w:val="22"/>
                <w:szCs w:val="22"/>
              </w:rPr>
            </w:pPr>
            <w:r w:rsidRPr="00B07C37">
              <w:rPr>
                <w:sz w:val="22"/>
                <w:szCs w:val="22"/>
              </w:rPr>
              <w:t>Available for sale assets</w:t>
            </w:r>
          </w:p>
        </w:tc>
        <w:tc>
          <w:tcPr>
            <w:tcW w:w="1171" w:type="dxa"/>
            <w:tcBorders>
              <w:top w:val="nil"/>
              <w:left w:val="nil"/>
              <w:bottom w:val="nil"/>
              <w:right w:val="nil"/>
            </w:tcBorders>
            <w:noWrap/>
            <w:tcMar>
              <w:top w:w="15" w:type="dxa"/>
              <w:left w:w="15" w:type="dxa"/>
              <w:bottom w:w="0" w:type="dxa"/>
              <w:right w:w="15" w:type="dxa"/>
            </w:tcMar>
            <w:vAlign w:val="bottom"/>
          </w:tcPr>
          <w:p w14:paraId="67C4FAB8" w14:textId="33285D9D" w:rsidR="00754973" w:rsidRPr="00533364" w:rsidRDefault="00533364" w:rsidP="00754973">
            <w:pPr>
              <w:jc w:val="center"/>
              <w:rPr>
                <w:rFonts w:eastAsia="Arial Unicode MS"/>
                <w:b/>
                <w:bCs/>
                <w:sz w:val="22"/>
                <w:szCs w:val="22"/>
              </w:rPr>
            </w:pPr>
            <w:r w:rsidRPr="00533364">
              <w:rPr>
                <w:rFonts w:eastAsia="Arial Unicode MS"/>
                <w:b/>
                <w:bCs/>
                <w:sz w:val="22"/>
                <w:szCs w:val="22"/>
              </w:rPr>
              <w:t>7</w:t>
            </w:r>
          </w:p>
        </w:tc>
        <w:tc>
          <w:tcPr>
            <w:tcW w:w="1382" w:type="dxa"/>
            <w:tcBorders>
              <w:top w:val="nil"/>
              <w:left w:val="nil"/>
              <w:bottom w:val="nil"/>
              <w:right w:val="nil"/>
            </w:tcBorders>
            <w:vAlign w:val="center"/>
          </w:tcPr>
          <w:p w14:paraId="0AD34BE0" w14:textId="1B23B46A" w:rsidR="00754973" w:rsidRPr="00B07C37" w:rsidDel="00D10D98" w:rsidRDefault="00FA128B" w:rsidP="00754973">
            <w:pPr>
              <w:ind w:right="130"/>
              <w:jc w:val="right"/>
              <w:rPr>
                <w:sz w:val="22"/>
                <w:szCs w:val="22"/>
              </w:rPr>
            </w:pPr>
            <w:r>
              <w:rPr>
                <w:sz w:val="22"/>
                <w:szCs w:val="22"/>
              </w:rPr>
              <w:t>-</w:t>
            </w:r>
          </w:p>
        </w:tc>
        <w:tc>
          <w:tcPr>
            <w:tcW w:w="1453" w:type="dxa"/>
            <w:tcBorders>
              <w:top w:val="nil"/>
              <w:left w:val="nil"/>
              <w:bottom w:val="nil"/>
              <w:right w:val="nil"/>
            </w:tcBorders>
            <w:noWrap/>
            <w:tcMar>
              <w:top w:w="15" w:type="dxa"/>
              <w:left w:w="15" w:type="dxa"/>
              <w:bottom w:w="0" w:type="dxa"/>
              <w:right w:w="15" w:type="dxa"/>
            </w:tcMar>
            <w:vAlign w:val="center"/>
          </w:tcPr>
          <w:p w14:paraId="67127A7C" w14:textId="05BFD991" w:rsidR="00754973" w:rsidRPr="00B07C37" w:rsidRDefault="00A806B9" w:rsidP="00754973">
            <w:pPr>
              <w:ind w:right="130"/>
              <w:jc w:val="right"/>
              <w:rPr>
                <w:rFonts w:eastAsia="Arial Unicode MS"/>
                <w:sz w:val="22"/>
                <w:szCs w:val="22"/>
              </w:rPr>
            </w:pPr>
            <w:r>
              <w:rPr>
                <w:sz w:val="22"/>
                <w:szCs w:val="22"/>
              </w:rPr>
              <w:t>83,333</w:t>
            </w:r>
          </w:p>
        </w:tc>
      </w:tr>
      <w:tr w:rsidR="00754973" w:rsidRPr="00C40661" w14:paraId="07CFC522"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0BB88C62" w14:textId="70465755" w:rsidR="00754973" w:rsidRPr="00C40661" w:rsidRDefault="00447507" w:rsidP="00754973">
            <w:pPr>
              <w:rPr>
                <w:rFonts w:eastAsia="Arial Unicode MS"/>
                <w:sz w:val="22"/>
                <w:szCs w:val="22"/>
              </w:rPr>
            </w:pPr>
            <w:r>
              <w:rPr>
                <w:sz w:val="22"/>
                <w:szCs w:val="22"/>
              </w:rPr>
              <w:t>Investment in subsidiaries</w:t>
            </w:r>
          </w:p>
        </w:tc>
        <w:tc>
          <w:tcPr>
            <w:tcW w:w="1171" w:type="dxa"/>
            <w:tcBorders>
              <w:top w:val="nil"/>
              <w:left w:val="nil"/>
              <w:bottom w:val="nil"/>
              <w:right w:val="nil"/>
            </w:tcBorders>
            <w:noWrap/>
            <w:tcMar>
              <w:top w:w="15" w:type="dxa"/>
              <w:left w:w="15" w:type="dxa"/>
              <w:bottom w:w="0" w:type="dxa"/>
              <w:right w:w="15" w:type="dxa"/>
            </w:tcMar>
            <w:vAlign w:val="bottom"/>
          </w:tcPr>
          <w:p w14:paraId="41EE3291" w14:textId="4C45AB4A" w:rsidR="00754973" w:rsidRPr="00533364" w:rsidRDefault="00613836" w:rsidP="00754973">
            <w:pPr>
              <w:jc w:val="center"/>
              <w:rPr>
                <w:rFonts w:eastAsia="Arial Unicode MS"/>
                <w:b/>
                <w:bCs/>
                <w:sz w:val="22"/>
                <w:szCs w:val="22"/>
              </w:rPr>
            </w:pPr>
            <w:r>
              <w:rPr>
                <w:rFonts w:eastAsia="Arial Unicode MS"/>
                <w:b/>
                <w:bCs/>
                <w:sz w:val="22"/>
                <w:szCs w:val="22"/>
              </w:rPr>
              <w:t>9</w:t>
            </w:r>
          </w:p>
        </w:tc>
        <w:tc>
          <w:tcPr>
            <w:tcW w:w="1382" w:type="dxa"/>
            <w:tcBorders>
              <w:top w:val="nil"/>
              <w:left w:val="nil"/>
              <w:bottom w:val="nil"/>
              <w:right w:val="nil"/>
            </w:tcBorders>
            <w:vAlign w:val="center"/>
          </w:tcPr>
          <w:p w14:paraId="6A16A988" w14:textId="76F49AAF" w:rsidR="00754973" w:rsidRPr="006D56BD" w:rsidRDefault="00E00EA4" w:rsidP="00297FBF">
            <w:pPr>
              <w:ind w:right="130"/>
              <w:jc w:val="right"/>
              <w:rPr>
                <w:sz w:val="22"/>
                <w:szCs w:val="22"/>
              </w:rPr>
            </w:pPr>
            <w:r>
              <w:rPr>
                <w:sz w:val="22"/>
                <w:szCs w:val="22"/>
              </w:rPr>
              <w:t>635,733</w:t>
            </w:r>
          </w:p>
        </w:tc>
        <w:tc>
          <w:tcPr>
            <w:tcW w:w="1453" w:type="dxa"/>
            <w:tcBorders>
              <w:top w:val="nil"/>
              <w:left w:val="nil"/>
              <w:bottom w:val="nil"/>
              <w:right w:val="nil"/>
            </w:tcBorders>
            <w:noWrap/>
            <w:tcMar>
              <w:top w:w="15" w:type="dxa"/>
              <w:left w:w="15" w:type="dxa"/>
              <w:bottom w:w="0" w:type="dxa"/>
              <w:right w:w="15" w:type="dxa"/>
            </w:tcMar>
            <w:vAlign w:val="center"/>
          </w:tcPr>
          <w:p w14:paraId="0272C3D7" w14:textId="2C0A35E4" w:rsidR="00754973" w:rsidRPr="00C40661" w:rsidRDefault="00A806B9" w:rsidP="00754973">
            <w:pPr>
              <w:ind w:right="130"/>
              <w:jc w:val="right"/>
              <w:rPr>
                <w:rFonts w:eastAsia="Arial Unicode MS"/>
                <w:sz w:val="22"/>
                <w:szCs w:val="22"/>
              </w:rPr>
            </w:pPr>
            <w:r>
              <w:rPr>
                <w:sz w:val="22"/>
                <w:szCs w:val="22"/>
              </w:rPr>
              <w:t>631,342</w:t>
            </w:r>
          </w:p>
        </w:tc>
      </w:tr>
      <w:tr w:rsidR="00754973" w:rsidRPr="00C40661" w14:paraId="5A33A447"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48CA5B68" w14:textId="77777777" w:rsidR="00754973" w:rsidRPr="00C40661" w:rsidRDefault="00754973" w:rsidP="00754973">
            <w:pPr>
              <w:rPr>
                <w:rFonts w:eastAsia="Arial Unicode MS"/>
                <w:b/>
                <w:bCs/>
                <w:sz w:val="22"/>
                <w:szCs w:val="22"/>
              </w:rPr>
            </w:pPr>
            <w:r w:rsidRPr="00C40661">
              <w:rPr>
                <w:b/>
                <w:bCs/>
                <w:sz w:val="22"/>
                <w:szCs w:val="22"/>
              </w:rPr>
              <w:t>Total non-current assets</w:t>
            </w:r>
          </w:p>
        </w:tc>
        <w:tc>
          <w:tcPr>
            <w:tcW w:w="1171" w:type="dxa"/>
            <w:tcBorders>
              <w:top w:val="nil"/>
              <w:left w:val="nil"/>
              <w:bottom w:val="nil"/>
              <w:right w:val="nil"/>
            </w:tcBorders>
            <w:noWrap/>
            <w:tcMar>
              <w:top w:w="15" w:type="dxa"/>
              <w:left w:w="15" w:type="dxa"/>
              <w:bottom w:w="0" w:type="dxa"/>
              <w:right w:w="15" w:type="dxa"/>
            </w:tcMar>
            <w:vAlign w:val="bottom"/>
          </w:tcPr>
          <w:p w14:paraId="16217C24" w14:textId="77777777" w:rsidR="00754973" w:rsidRPr="00533364" w:rsidRDefault="00754973" w:rsidP="00754973">
            <w:pPr>
              <w:rPr>
                <w:rFonts w:eastAsia="Arial Unicode MS"/>
                <w:sz w:val="22"/>
                <w:szCs w:val="22"/>
              </w:rPr>
            </w:pPr>
          </w:p>
        </w:tc>
        <w:tc>
          <w:tcPr>
            <w:tcW w:w="1382" w:type="dxa"/>
            <w:tcBorders>
              <w:top w:val="single" w:sz="4" w:space="0" w:color="auto"/>
              <w:left w:val="nil"/>
              <w:bottom w:val="single" w:sz="4" w:space="0" w:color="auto"/>
              <w:right w:val="nil"/>
            </w:tcBorders>
            <w:vAlign w:val="center"/>
          </w:tcPr>
          <w:p w14:paraId="1DA433B1" w14:textId="20DF252F" w:rsidR="00754973" w:rsidRPr="006D56BD" w:rsidRDefault="00E00EA4" w:rsidP="00754973">
            <w:pPr>
              <w:ind w:right="130"/>
              <w:jc w:val="right"/>
              <w:rPr>
                <w:sz w:val="22"/>
                <w:szCs w:val="22"/>
              </w:rPr>
            </w:pPr>
            <w:r>
              <w:rPr>
                <w:sz w:val="22"/>
                <w:szCs w:val="22"/>
              </w:rPr>
              <w:t>1,102,385</w:t>
            </w:r>
          </w:p>
        </w:tc>
        <w:tc>
          <w:tcPr>
            <w:tcW w:w="1453"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F5FD322" w14:textId="1EC237BC" w:rsidR="00754973" w:rsidRPr="00C40661" w:rsidRDefault="00A806B9" w:rsidP="00754973">
            <w:pPr>
              <w:ind w:right="130"/>
              <w:jc w:val="right"/>
              <w:rPr>
                <w:rFonts w:eastAsia="Arial Unicode MS"/>
                <w:sz w:val="22"/>
                <w:szCs w:val="22"/>
              </w:rPr>
            </w:pPr>
            <w:r>
              <w:rPr>
                <w:sz w:val="22"/>
                <w:szCs w:val="22"/>
              </w:rPr>
              <w:t>846,342</w:t>
            </w:r>
          </w:p>
        </w:tc>
      </w:tr>
      <w:tr w:rsidR="00754973" w:rsidRPr="00C40661" w14:paraId="2F0D7186"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0A322B56" w14:textId="77777777" w:rsidR="00754973" w:rsidRPr="00C40661" w:rsidRDefault="00754973" w:rsidP="00754973">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41B5392A" w14:textId="77777777" w:rsidR="00754973" w:rsidRPr="00533364" w:rsidRDefault="00754973" w:rsidP="00754973">
            <w:pPr>
              <w:rPr>
                <w:rFonts w:eastAsia="Arial Unicode MS"/>
                <w:sz w:val="22"/>
                <w:szCs w:val="22"/>
              </w:rPr>
            </w:pPr>
          </w:p>
        </w:tc>
        <w:tc>
          <w:tcPr>
            <w:tcW w:w="1382" w:type="dxa"/>
            <w:tcBorders>
              <w:top w:val="nil"/>
              <w:left w:val="nil"/>
              <w:bottom w:val="nil"/>
              <w:right w:val="nil"/>
            </w:tcBorders>
            <w:vAlign w:val="center"/>
          </w:tcPr>
          <w:p w14:paraId="605EDF91" w14:textId="77777777" w:rsidR="00754973" w:rsidRPr="006D56BD" w:rsidRDefault="00754973" w:rsidP="00754973">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32B39950" w14:textId="77777777" w:rsidR="00754973" w:rsidRPr="00C40661" w:rsidRDefault="00754973" w:rsidP="00754973">
            <w:pPr>
              <w:ind w:right="130"/>
              <w:jc w:val="right"/>
              <w:rPr>
                <w:rFonts w:eastAsia="Arial Unicode MS"/>
                <w:sz w:val="22"/>
                <w:szCs w:val="22"/>
              </w:rPr>
            </w:pPr>
          </w:p>
        </w:tc>
      </w:tr>
      <w:tr w:rsidR="00754973" w:rsidRPr="00C40661" w14:paraId="7BFE2EEB"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31C8E4E4" w14:textId="77777777" w:rsidR="00754973" w:rsidRPr="00C40661" w:rsidRDefault="00754973" w:rsidP="00754973">
            <w:pPr>
              <w:rPr>
                <w:rFonts w:eastAsia="Arial Unicode MS"/>
                <w:sz w:val="22"/>
                <w:szCs w:val="22"/>
              </w:rPr>
            </w:pPr>
            <w:r w:rsidRPr="00C40661">
              <w:rPr>
                <w:b/>
                <w:bCs/>
                <w:sz w:val="22"/>
                <w:szCs w:val="22"/>
              </w:rPr>
              <w:t>Current assets</w:t>
            </w:r>
          </w:p>
        </w:tc>
        <w:tc>
          <w:tcPr>
            <w:tcW w:w="1171" w:type="dxa"/>
            <w:tcBorders>
              <w:top w:val="nil"/>
              <w:left w:val="nil"/>
              <w:bottom w:val="nil"/>
              <w:right w:val="nil"/>
            </w:tcBorders>
            <w:noWrap/>
            <w:tcMar>
              <w:top w:w="15" w:type="dxa"/>
              <w:left w:w="15" w:type="dxa"/>
              <w:bottom w:w="0" w:type="dxa"/>
              <w:right w:w="15" w:type="dxa"/>
            </w:tcMar>
            <w:vAlign w:val="bottom"/>
          </w:tcPr>
          <w:p w14:paraId="0301D60C" w14:textId="77777777" w:rsidR="00754973" w:rsidRPr="00533364" w:rsidRDefault="00754973" w:rsidP="00754973">
            <w:pPr>
              <w:rPr>
                <w:rFonts w:eastAsia="Arial Unicode MS"/>
                <w:sz w:val="22"/>
                <w:szCs w:val="22"/>
              </w:rPr>
            </w:pPr>
          </w:p>
        </w:tc>
        <w:tc>
          <w:tcPr>
            <w:tcW w:w="1382" w:type="dxa"/>
            <w:tcBorders>
              <w:top w:val="nil"/>
              <w:left w:val="nil"/>
              <w:bottom w:val="nil"/>
              <w:right w:val="nil"/>
            </w:tcBorders>
            <w:vAlign w:val="center"/>
          </w:tcPr>
          <w:p w14:paraId="787D4E51" w14:textId="77777777" w:rsidR="00754973" w:rsidRPr="006D56BD" w:rsidRDefault="00754973" w:rsidP="00754973">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7A326FF6" w14:textId="77777777" w:rsidR="00754973" w:rsidRPr="00C40661" w:rsidRDefault="00754973" w:rsidP="00754973">
            <w:pPr>
              <w:ind w:right="130"/>
              <w:jc w:val="right"/>
              <w:rPr>
                <w:rFonts w:eastAsia="Arial Unicode MS"/>
                <w:sz w:val="22"/>
                <w:szCs w:val="22"/>
              </w:rPr>
            </w:pPr>
          </w:p>
        </w:tc>
      </w:tr>
      <w:tr w:rsidR="00754973" w:rsidRPr="00C40661" w14:paraId="39B98BCD" w14:textId="77777777" w:rsidTr="00A806B9">
        <w:trPr>
          <w:trHeight w:val="311"/>
        </w:trPr>
        <w:tc>
          <w:tcPr>
            <w:tcW w:w="5775" w:type="dxa"/>
            <w:tcBorders>
              <w:top w:val="nil"/>
              <w:left w:val="nil"/>
              <w:bottom w:val="nil"/>
              <w:right w:val="nil"/>
            </w:tcBorders>
            <w:noWrap/>
            <w:tcMar>
              <w:top w:w="15" w:type="dxa"/>
              <w:left w:w="15" w:type="dxa"/>
              <w:bottom w:w="0" w:type="dxa"/>
              <w:right w:w="15" w:type="dxa"/>
            </w:tcMar>
            <w:vAlign w:val="bottom"/>
          </w:tcPr>
          <w:p w14:paraId="615AE5A1" w14:textId="77777777" w:rsidR="00754973" w:rsidRPr="00C40661" w:rsidRDefault="00754973" w:rsidP="00754973">
            <w:pPr>
              <w:rPr>
                <w:rFonts w:eastAsia="Arial Unicode MS"/>
                <w:sz w:val="22"/>
                <w:szCs w:val="22"/>
              </w:rPr>
            </w:pPr>
            <w:r w:rsidRPr="00C40661">
              <w:rPr>
                <w:sz w:val="22"/>
                <w:szCs w:val="22"/>
              </w:rPr>
              <w:t>Trade and other receivables</w:t>
            </w:r>
          </w:p>
        </w:tc>
        <w:tc>
          <w:tcPr>
            <w:tcW w:w="1171" w:type="dxa"/>
            <w:tcBorders>
              <w:top w:val="nil"/>
              <w:left w:val="nil"/>
              <w:bottom w:val="nil"/>
              <w:right w:val="nil"/>
            </w:tcBorders>
            <w:noWrap/>
            <w:tcMar>
              <w:top w:w="15" w:type="dxa"/>
              <w:left w:w="15" w:type="dxa"/>
              <w:bottom w:w="0" w:type="dxa"/>
              <w:right w:w="15" w:type="dxa"/>
            </w:tcMar>
            <w:vAlign w:val="bottom"/>
          </w:tcPr>
          <w:p w14:paraId="77283FDB" w14:textId="27C90D8D" w:rsidR="00754973" w:rsidRPr="00533364" w:rsidRDefault="00613836" w:rsidP="00754973">
            <w:pPr>
              <w:jc w:val="center"/>
              <w:rPr>
                <w:rFonts w:eastAsia="Arial Unicode MS"/>
                <w:b/>
                <w:bCs/>
                <w:sz w:val="22"/>
                <w:szCs w:val="22"/>
              </w:rPr>
            </w:pPr>
            <w:r>
              <w:rPr>
                <w:rFonts w:eastAsia="Arial Unicode MS"/>
                <w:b/>
                <w:bCs/>
                <w:sz w:val="22"/>
                <w:szCs w:val="22"/>
              </w:rPr>
              <w:t>10</w:t>
            </w:r>
          </w:p>
        </w:tc>
        <w:tc>
          <w:tcPr>
            <w:tcW w:w="1382" w:type="dxa"/>
            <w:tcBorders>
              <w:top w:val="nil"/>
              <w:left w:val="nil"/>
              <w:bottom w:val="nil"/>
              <w:right w:val="nil"/>
            </w:tcBorders>
            <w:vAlign w:val="center"/>
          </w:tcPr>
          <w:p w14:paraId="5E26A3C0" w14:textId="255E1F71" w:rsidR="00754973" w:rsidRPr="006D56BD" w:rsidRDefault="00E00EA4" w:rsidP="00754973">
            <w:pPr>
              <w:ind w:right="130"/>
              <w:jc w:val="right"/>
              <w:rPr>
                <w:sz w:val="22"/>
                <w:szCs w:val="22"/>
              </w:rPr>
            </w:pPr>
            <w:r>
              <w:rPr>
                <w:sz w:val="22"/>
                <w:szCs w:val="22"/>
              </w:rPr>
              <w:t>29,736</w:t>
            </w:r>
          </w:p>
        </w:tc>
        <w:tc>
          <w:tcPr>
            <w:tcW w:w="1453" w:type="dxa"/>
            <w:tcBorders>
              <w:top w:val="nil"/>
              <w:left w:val="nil"/>
              <w:bottom w:val="nil"/>
              <w:right w:val="nil"/>
            </w:tcBorders>
            <w:noWrap/>
            <w:tcMar>
              <w:top w:w="15" w:type="dxa"/>
              <w:left w:w="15" w:type="dxa"/>
              <w:bottom w:w="0" w:type="dxa"/>
              <w:right w:w="15" w:type="dxa"/>
            </w:tcMar>
            <w:vAlign w:val="center"/>
          </w:tcPr>
          <w:p w14:paraId="0B64EBDF" w14:textId="7F67F227" w:rsidR="00754973" w:rsidRPr="00C40661" w:rsidRDefault="00A806B9" w:rsidP="00754973">
            <w:pPr>
              <w:ind w:right="130"/>
              <w:jc w:val="right"/>
              <w:rPr>
                <w:rFonts w:eastAsia="Arial Unicode MS"/>
                <w:sz w:val="22"/>
                <w:szCs w:val="22"/>
              </w:rPr>
            </w:pPr>
            <w:r>
              <w:rPr>
                <w:sz w:val="22"/>
                <w:szCs w:val="22"/>
              </w:rPr>
              <w:t>85,253</w:t>
            </w:r>
          </w:p>
        </w:tc>
      </w:tr>
      <w:tr w:rsidR="00754973" w:rsidRPr="00C40661" w14:paraId="1281B8BB"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1E34FD62" w14:textId="77777777" w:rsidR="00754973" w:rsidRPr="00C40661" w:rsidRDefault="00754973" w:rsidP="00754973">
            <w:pPr>
              <w:rPr>
                <w:rFonts w:eastAsia="Arial Unicode MS"/>
                <w:sz w:val="22"/>
                <w:szCs w:val="22"/>
              </w:rPr>
            </w:pPr>
            <w:r w:rsidRPr="00C40661">
              <w:rPr>
                <w:sz w:val="22"/>
                <w:szCs w:val="22"/>
              </w:rPr>
              <w:t>Cash and cash equivalents</w:t>
            </w:r>
          </w:p>
        </w:tc>
        <w:tc>
          <w:tcPr>
            <w:tcW w:w="1171" w:type="dxa"/>
            <w:tcBorders>
              <w:top w:val="nil"/>
              <w:left w:val="nil"/>
              <w:bottom w:val="nil"/>
              <w:right w:val="nil"/>
            </w:tcBorders>
            <w:noWrap/>
            <w:tcMar>
              <w:top w:w="15" w:type="dxa"/>
              <w:left w:w="15" w:type="dxa"/>
              <w:bottom w:w="0" w:type="dxa"/>
              <w:right w:w="15" w:type="dxa"/>
            </w:tcMar>
            <w:vAlign w:val="bottom"/>
          </w:tcPr>
          <w:p w14:paraId="71E95E22" w14:textId="6719A1A1" w:rsidR="00754973" w:rsidRPr="00533364" w:rsidRDefault="00613836" w:rsidP="00754973">
            <w:pPr>
              <w:jc w:val="center"/>
              <w:rPr>
                <w:rFonts w:eastAsia="Arial Unicode MS"/>
                <w:b/>
                <w:bCs/>
                <w:sz w:val="22"/>
                <w:szCs w:val="22"/>
              </w:rPr>
            </w:pPr>
            <w:r>
              <w:rPr>
                <w:rFonts w:eastAsia="Arial Unicode MS"/>
                <w:b/>
                <w:bCs/>
                <w:sz w:val="22"/>
                <w:szCs w:val="22"/>
              </w:rPr>
              <w:t>11</w:t>
            </w:r>
          </w:p>
        </w:tc>
        <w:tc>
          <w:tcPr>
            <w:tcW w:w="1382" w:type="dxa"/>
            <w:tcBorders>
              <w:top w:val="nil"/>
              <w:left w:val="nil"/>
              <w:bottom w:val="single" w:sz="4" w:space="0" w:color="auto"/>
              <w:right w:val="nil"/>
            </w:tcBorders>
            <w:vAlign w:val="center"/>
          </w:tcPr>
          <w:p w14:paraId="20CD2DC6" w14:textId="1CD8098E" w:rsidR="00754973" w:rsidRPr="006D56BD" w:rsidRDefault="00FA128B" w:rsidP="00754973">
            <w:pPr>
              <w:ind w:right="130"/>
              <w:jc w:val="right"/>
              <w:rPr>
                <w:sz w:val="22"/>
                <w:szCs w:val="22"/>
              </w:rPr>
            </w:pPr>
            <w:r>
              <w:rPr>
                <w:sz w:val="22"/>
                <w:szCs w:val="22"/>
              </w:rPr>
              <w:t>63,602</w:t>
            </w:r>
          </w:p>
        </w:tc>
        <w:tc>
          <w:tcPr>
            <w:tcW w:w="1453" w:type="dxa"/>
            <w:tcBorders>
              <w:top w:val="nil"/>
              <w:left w:val="nil"/>
              <w:bottom w:val="single" w:sz="4" w:space="0" w:color="auto"/>
              <w:right w:val="nil"/>
            </w:tcBorders>
            <w:noWrap/>
            <w:tcMar>
              <w:top w:w="15" w:type="dxa"/>
              <w:left w:w="15" w:type="dxa"/>
              <w:bottom w:w="0" w:type="dxa"/>
              <w:right w:w="15" w:type="dxa"/>
            </w:tcMar>
            <w:vAlign w:val="center"/>
          </w:tcPr>
          <w:p w14:paraId="7A61BC4C" w14:textId="51C1CD89" w:rsidR="00754973" w:rsidRPr="00C40661" w:rsidRDefault="00A806B9" w:rsidP="00754973">
            <w:pPr>
              <w:ind w:right="130"/>
              <w:jc w:val="right"/>
              <w:rPr>
                <w:rFonts w:eastAsia="Arial Unicode MS"/>
                <w:sz w:val="22"/>
                <w:szCs w:val="22"/>
              </w:rPr>
            </w:pPr>
            <w:r>
              <w:rPr>
                <w:sz w:val="22"/>
                <w:szCs w:val="22"/>
              </w:rPr>
              <w:t>138,905</w:t>
            </w:r>
          </w:p>
        </w:tc>
      </w:tr>
      <w:tr w:rsidR="00754973" w:rsidRPr="00C40661" w14:paraId="40B3412C"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1598A0FF" w14:textId="77777777" w:rsidR="00754973" w:rsidRPr="00C40661" w:rsidRDefault="00754973" w:rsidP="00754973">
            <w:pPr>
              <w:rPr>
                <w:rFonts w:eastAsia="Arial Unicode MS"/>
                <w:b/>
                <w:bCs/>
                <w:sz w:val="22"/>
                <w:szCs w:val="22"/>
              </w:rPr>
            </w:pPr>
            <w:r w:rsidRPr="00C40661">
              <w:rPr>
                <w:b/>
                <w:bCs/>
                <w:sz w:val="22"/>
                <w:szCs w:val="22"/>
              </w:rPr>
              <w:t>Total current assets</w:t>
            </w:r>
          </w:p>
        </w:tc>
        <w:tc>
          <w:tcPr>
            <w:tcW w:w="1171" w:type="dxa"/>
            <w:tcBorders>
              <w:top w:val="nil"/>
              <w:left w:val="nil"/>
              <w:bottom w:val="nil"/>
              <w:right w:val="nil"/>
            </w:tcBorders>
            <w:noWrap/>
            <w:tcMar>
              <w:top w:w="15" w:type="dxa"/>
              <w:left w:w="15" w:type="dxa"/>
              <w:bottom w:w="0" w:type="dxa"/>
              <w:right w:w="15" w:type="dxa"/>
            </w:tcMar>
            <w:vAlign w:val="bottom"/>
          </w:tcPr>
          <w:p w14:paraId="1B651FEB" w14:textId="77777777" w:rsidR="00754973" w:rsidRPr="00533364" w:rsidRDefault="00754973" w:rsidP="00754973">
            <w:pPr>
              <w:rPr>
                <w:rFonts w:eastAsia="Arial Unicode MS"/>
                <w:sz w:val="22"/>
                <w:szCs w:val="22"/>
              </w:rPr>
            </w:pPr>
          </w:p>
        </w:tc>
        <w:tc>
          <w:tcPr>
            <w:tcW w:w="1382" w:type="dxa"/>
            <w:tcBorders>
              <w:top w:val="nil"/>
              <w:left w:val="nil"/>
              <w:bottom w:val="single" w:sz="4" w:space="0" w:color="auto"/>
              <w:right w:val="nil"/>
            </w:tcBorders>
            <w:vAlign w:val="center"/>
          </w:tcPr>
          <w:p w14:paraId="11864694" w14:textId="485E63EC" w:rsidR="00754973" w:rsidRPr="006D56BD" w:rsidRDefault="00E00EA4" w:rsidP="00754973">
            <w:pPr>
              <w:ind w:right="130"/>
              <w:jc w:val="right"/>
              <w:rPr>
                <w:sz w:val="22"/>
                <w:szCs w:val="22"/>
              </w:rPr>
            </w:pPr>
            <w:r>
              <w:rPr>
                <w:sz w:val="22"/>
                <w:szCs w:val="22"/>
              </w:rPr>
              <w:t>93,338</w:t>
            </w:r>
          </w:p>
        </w:tc>
        <w:tc>
          <w:tcPr>
            <w:tcW w:w="1453" w:type="dxa"/>
            <w:tcBorders>
              <w:top w:val="nil"/>
              <w:left w:val="nil"/>
              <w:bottom w:val="single" w:sz="4" w:space="0" w:color="auto"/>
              <w:right w:val="nil"/>
            </w:tcBorders>
            <w:noWrap/>
            <w:tcMar>
              <w:top w:w="15" w:type="dxa"/>
              <w:left w:w="15" w:type="dxa"/>
              <w:bottom w:w="0" w:type="dxa"/>
              <w:right w:w="15" w:type="dxa"/>
            </w:tcMar>
            <w:vAlign w:val="center"/>
          </w:tcPr>
          <w:p w14:paraId="674E44D3" w14:textId="12F6D4EB" w:rsidR="00754973" w:rsidRPr="00C40661" w:rsidRDefault="00A806B9" w:rsidP="00754973">
            <w:pPr>
              <w:ind w:right="130"/>
              <w:jc w:val="right"/>
              <w:rPr>
                <w:rFonts w:eastAsia="Arial Unicode MS"/>
                <w:sz w:val="22"/>
                <w:szCs w:val="22"/>
              </w:rPr>
            </w:pPr>
            <w:r>
              <w:rPr>
                <w:sz w:val="22"/>
                <w:szCs w:val="22"/>
              </w:rPr>
              <w:t>224,158</w:t>
            </w:r>
          </w:p>
        </w:tc>
      </w:tr>
      <w:tr w:rsidR="00754973" w:rsidRPr="00C40661" w14:paraId="21CCCFD5"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37D80BC1" w14:textId="77777777" w:rsidR="00754973" w:rsidRPr="00C40661" w:rsidRDefault="00754973" w:rsidP="00754973">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7647ABA0" w14:textId="77777777" w:rsidR="00754973" w:rsidRPr="00533364" w:rsidRDefault="00754973" w:rsidP="00754973">
            <w:pPr>
              <w:rPr>
                <w:rFonts w:eastAsia="Arial Unicode MS"/>
                <w:sz w:val="22"/>
                <w:szCs w:val="22"/>
              </w:rPr>
            </w:pPr>
          </w:p>
        </w:tc>
        <w:tc>
          <w:tcPr>
            <w:tcW w:w="1382" w:type="dxa"/>
            <w:tcBorders>
              <w:top w:val="nil"/>
              <w:left w:val="nil"/>
              <w:bottom w:val="nil"/>
              <w:right w:val="nil"/>
            </w:tcBorders>
            <w:vAlign w:val="center"/>
          </w:tcPr>
          <w:p w14:paraId="36900207" w14:textId="77777777" w:rsidR="00754973" w:rsidRPr="006D56BD" w:rsidRDefault="00754973" w:rsidP="00754973">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4DAA8568" w14:textId="77777777" w:rsidR="00754973" w:rsidRPr="00C40661" w:rsidRDefault="00754973" w:rsidP="00754973">
            <w:pPr>
              <w:ind w:right="130"/>
              <w:jc w:val="right"/>
              <w:rPr>
                <w:rFonts w:eastAsia="Arial Unicode MS"/>
                <w:sz w:val="22"/>
                <w:szCs w:val="22"/>
              </w:rPr>
            </w:pPr>
          </w:p>
        </w:tc>
      </w:tr>
      <w:tr w:rsidR="00754973" w:rsidRPr="00C40661" w14:paraId="39881A36"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494DEB2E" w14:textId="77777777" w:rsidR="00754973" w:rsidRPr="00C40661" w:rsidRDefault="00754973" w:rsidP="00754973">
            <w:pPr>
              <w:rPr>
                <w:rFonts w:eastAsia="Arial Unicode MS"/>
                <w:sz w:val="22"/>
                <w:szCs w:val="22"/>
              </w:rPr>
            </w:pPr>
            <w:r w:rsidRPr="00C40661">
              <w:rPr>
                <w:b/>
                <w:bCs/>
                <w:sz w:val="22"/>
                <w:szCs w:val="22"/>
              </w:rPr>
              <w:t>Current liabilities</w:t>
            </w:r>
          </w:p>
        </w:tc>
        <w:tc>
          <w:tcPr>
            <w:tcW w:w="1171" w:type="dxa"/>
            <w:tcBorders>
              <w:top w:val="nil"/>
              <w:left w:val="nil"/>
              <w:bottom w:val="nil"/>
              <w:right w:val="nil"/>
            </w:tcBorders>
            <w:noWrap/>
            <w:tcMar>
              <w:top w:w="15" w:type="dxa"/>
              <w:left w:w="15" w:type="dxa"/>
              <w:bottom w:w="0" w:type="dxa"/>
              <w:right w:w="15" w:type="dxa"/>
            </w:tcMar>
            <w:vAlign w:val="bottom"/>
          </w:tcPr>
          <w:p w14:paraId="4D442485" w14:textId="77777777" w:rsidR="00754973" w:rsidRPr="00533364" w:rsidRDefault="00754973" w:rsidP="00754973">
            <w:pPr>
              <w:rPr>
                <w:rFonts w:eastAsia="Arial Unicode MS"/>
                <w:sz w:val="22"/>
                <w:szCs w:val="22"/>
              </w:rPr>
            </w:pPr>
          </w:p>
        </w:tc>
        <w:tc>
          <w:tcPr>
            <w:tcW w:w="1382" w:type="dxa"/>
            <w:tcBorders>
              <w:top w:val="nil"/>
              <w:left w:val="nil"/>
              <w:bottom w:val="nil"/>
              <w:right w:val="nil"/>
            </w:tcBorders>
            <w:vAlign w:val="center"/>
          </w:tcPr>
          <w:p w14:paraId="4A39CFDE" w14:textId="77777777" w:rsidR="00754973" w:rsidRPr="006D56BD" w:rsidRDefault="00754973" w:rsidP="00754973">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26E8516A" w14:textId="77777777" w:rsidR="00754973" w:rsidRPr="00C40661" w:rsidRDefault="00754973" w:rsidP="00754973">
            <w:pPr>
              <w:ind w:right="130"/>
              <w:jc w:val="right"/>
              <w:rPr>
                <w:rFonts w:eastAsia="Arial Unicode MS"/>
                <w:sz w:val="22"/>
                <w:szCs w:val="22"/>
              </w:rPr>
            </w:pPr>
          </w:p>
        </w:tc>
      </w:tr>
      <w:tr w:rsidR="00754973" w:rsidRPr="00C40661" w14:paraId="3194CD60" w14:textId="77777777" w:rsidTr="00A806B9">
        <w:trPr>
          <w:trHeight w:val="311"/>
        </w:trPr>
        <w:tc>
          <w:tcPr>
            <w:tcW w:w="5775" w:type="dxa"/>
            <w:tcBorders>
              <w:top w:val="nil"/>
              <w:left w:val="nil"/>
              <w:bottom w:val="nil"/>
              <w:right w:val="nil"/>
            </w:tcBorders>
            <w:noWrap/>
            <w:tcMar>
              <w:top w:w="15" w:type="dxa"/>
              <w:left w:w="15" w:type="dxa"/>
              <w:bottom w:w="0" w:type="dxa"/>
              <w:right w:w="15" w:type="dxa"/>
            </w:tcMar>
            <w:vAlign w:val="bottom"/>
          </w:tcPr>
          <w:p w14:paraId="35626721" w14:textId="77777777" w:rsidR="00754973" w:rsidRPr="00C40661" w:rsidRDefault="00754973" w:rsidP="00754973">
            <w:pPr>
              <w:rPr>
                <w:rFonts w:eastAsia="Arial Unicode MS"/>
                <w:sz w:val="22"/>
                <w:szCs w:val="22"/>
              </w:rPr>
            </w:pPr>
            <w:r w:rsidRPr="00C40661">
              <w:rPr>
                <w:sz w:val="22"/>
                <w:szCs w:val="22"/>
              </w:rPr>
              <w:t>Trade and other payables</w:t>
            </w:r>
          </w:p>
        </w:tc>
        <w:tc>
          <w:tcPr>
            <w:tcW w:w="1171" w:type="dxa"/>
            <w:tcBorders>
              <w:top w:val="nil"/>
              <w:left w:val="nil"/>
              <w:bottom w:val="nil"/>
              <w:right w:val="nil"/>
            </w:tcBorders>
            <w:noWrap/>
            <w:tcMar>
              <w:top w:w="15" w:type="dxa"/>
              <w:left w:w="15" w:type="dxa"/>
              <w:bottom w:w="0" w:type="dxa"/>
              <w:right w:w="15" w:type="dxa"/>
            </w:tcMar>
            <w:vAlign w:val="bottom"/>
          </w:tcPr>
          <w:p w14:paraId="1B1B2AD7" w14:textId="5D5A7B4C" w:rsidR="00754973" w:rsidRPr="00533364" w:rsidRDefault="00613836" w:rsidP="00754973">
            <w:pPr>
              <w:jc w:val="center"/>
              <w:rPr>
                <w:rFonts w:eastAsia="Arial Unicode MS"/>
                <w:b/>
                <w:bCs/>
                <w:sz w:val="22"/>
                <w:szCs w:val="22"/>
              </w:rPr>
            </w:pPr>
            <w:r>
              <w:rPr>
                <w:rFonts w:eastAsia="Arial Unicode MS"/>
                <w:b/>
                <w:bCs/>
                <w:sz w:val="22"/>
                <w:szCs w:val="22"/>
              </w:rPr>
              <w:t>12</w:t>
            </w:r>
          </w:p>
        </w:tc>
        <w:tc>
          <w:tcPr>
            <w:tcW w:w="1382" w:type="dxa"/>
            <w:tcBorders>
              <w:top w:val="nil"/>
              <w:left w:val="nil"/>
              <w:bottom w:val="nil"/>
              <w:right w:val="nil"/>
            </w:tcBorders>
            <w:vAlign w:val="center"/>
          </w:tcPr>
          <w:p w14:paraId="7C474960" w14:textId="23C5D6DD" w:rsidR="00754973" w:rsidRPr="006D56BD" w:rsidRDefault="00174682" w:rsidP="00754973">
            <w:pPr>
              <w:ind w:right="130"/>
              <w:jc w:val="right"/>
              <w:rPr>
                <w:sz w:val="22"/>
                <w:szCs w:val="22"/>
              </w:rPr>
            </w:pPr>
            <w:r>
              <w:rPr>
                <w:sz w:val="22"/>
                <w:szCs w:val="22"/>
              </w:rPr>
              <w:t>(</w:t>
            </w:r>
            <w:r w:rsidR="00E00EA4">
              <w:rPr>
                <w:sz w:val="22"/>
                <w:szCs w:val="22"/>
              </w:rPr>
              <w:t>1,012,656</w:t>
            </w:r>
            <w:r>
              <w:rPr>
                <w:sz w:val="22"/>
                <w:szCs w:val="22"/>
              </w:rPr>
              <w:t>)</w:t>
            </w:r>
          </w:p>
        </w:tc>
        <w:tc>
          <w:tcPr>
            <w:tcW w:w="1453" w:type="dxa"/>
            <w:tcBorders>
              <w:top w:val="nil"/>
              <w:left w:val="nil"/>
              <w:bottom w:val="nil"/>
              <w:right w:val="nil"/>
            </w:tcBorders>
            <w:noWrap/>
            <w:tcMar>
              <w:top w:w="15" w:type="dxa"/>
              <w:left w:w="15" w:type="dxa"/>
              <w:bottom w:w="0" w:type="dxa"/>
              <w:right w:w="15" w:type="dxa"/>
            </w:tcMar>
            <w:vAlign w:val="center"/>
          </w:tcPr>
          <w:p w14:paraId="55D6EED2" w14:textId="5E1449DE" w:rsidR="00754973" w:rsidRPr="00C40661" w:rsidRDefault="00174682" w:rsidP="00754973">
            <w:pPr>
              <w:ind w:right="130"/>
              <w:jc w:val="right"/>
              <w:rPr>
                <w:rFonts w:eastAsia="Arial Unicode MS"/>
                <w:sz w:val="22"/>
                <w:szCs w:val="22"/>
              </w:rPr>
            </w:pPr>
            <w:r>
              <w:rPr>
                <w:sz w:val="22"/>
                <w:szCs w:val="22"/>
              </w:rPr>
              <w:t>(</w:t>
            </w:r>
            <w:r w:rsidR="00A806B9">
              <w:rPr>
                <w:sz w:val="22"/>
                <w:szCs w:val="22"/>
              </w:rPr>
              <w:t>176,175</w:t>
            </w:r>
            <w:r>
              <w:rPr>
                <w:sz w:val="22"/>
                <w:szCs w:val="22"/>
              </w:rPr>
              <w:t>)</w:t>
            </w:r>
          </w:p>
        </w:tc>
      </w:tr>
      <w:tr w:rsidR="00754973" w:rsidRPr="00C40661" w14:paraId="3A75C315"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3497A29C" w14:textId="77777777" w:rsidR="00754973" w:rsidRPr="00C40661" w:rsidRDefault="00754973" w:rsidP="00754973">
            <w:pPr>
              <w:rPr>
                <w:rFonts w:eastAsia="Arial Unicode MS"/>
                <w:b/>
                <w:bCs/>
                <w:sz w:val="22"/>
                <w:szCs w:val="22"/>
              </w:rPr>
            </w:pPr>
            <w:r w:rsidRPr="00C40661">
              <w:rPr>
                <w:b/>
                <w:bCs/>
                <w:sz w:val="22"/>
                <w:szCs w:val="22"/>
              </w:rPr>
              <w:t>Total current liabilities</w:t>
            </w:r>
          </w:p>
        </w:tc>
        <w:tc>
          <w:tcPr>
            <w:tcW w:w="1171" w:type="dxa"/>
            <w:tcBorders>
              <w:top w:val="nil"/>
              <w:left w:val="nil"/>
              <w:bottom w:val="nil"/>
              <w:right w:val="nil"/>
            </w:tcBorders>
            <w:noWrap/>
            <w:tcMar>
              <w:top w:w="15" w:type="dxa"/>
              <w:left w:w="15" w:type="dxa"/>
              <w:bottom w:w="0" w:type="dxa"/>
              <w:right w:w="15" w:type="dxa"/>
            </w:tcMar>
            <w:vAlign w:val="bottom"/>
          </w:tcPr>
          <w:p w14:paraId="38460022" w14:textId="77777777" w:rsidR="00754973" w:rsidRPr="00533364" w:rsidRDefault="00754973" w:rsidP="00754973">
            <w:pPr>
              <w:rPr>
                <w:rFonts w:eastAsia="Arial Unicode MS"/>
                <w:sz w:val="22"/>
                <w:szCs w:val="22"/>
              </w:rPr>
            </w:pPr>
          </w:p>
        </w:tc>
        <w:tc>
          <w:tcPr>
            <w:tcW w:w="1382" w:type="dxa"/>
            <w:tcBorders>
              <w:top w:val="single" w:sz="4" w:space="0" w:color="auto"/>
              <w:left w:val="nil"/>
              <w:bottom w:val="single" w:sz="4" w:space="0" w:color="auto"/>
              <w:right w:val="nil"/>
            </w:tcBorders>
            <w:vAlign w:val="center"/>
          </w:tcPr>
          <w:p w14:paraId="707FDA70" w14:textId="77D09F58" w:rsidR="00754973" w:rsidRPr="006D56BD" w:rsidRDefault="00174682" w:rsidP="00754973">
            <w:pPr>
              <w:ind w:right="130"/>
              <w:jc w:val="right"/>
              <w:rPr>
                <w:sz w:val="22"/>
                <w:szCs w:val="22"/>
              </w:rPr>
            </w:pPr>
            <w:r>
              <w:rPr>
                <w:sz w:val="22"/>
                <w:szCs w:val="22"/>
              </w:rPr>
              <w:t>(</w:t>
            </w:r>
            <w:r w:rsidR="00E00EA4">
              <w:rPr>
                <w:sz w:val="22"/>
                <w:szCs w:val="22"/>
              </w:rPr>
              <w:t>1,012,656</w:t>
            </w:r>
            <w:r>
              <w:rPr>
                <w:sz w:val="22"/>
                <w:szCs w:val="22"/>
              </w:rPr>
              <w:t>)</w:t>
            </w:r>
          </w:p>
        </w:tc>
        <w:tc>
          <w:tcPr>
            <w:tcW w:w="1453"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73EBDC77" w14:textId="24460BA4" w:rsidR="00754973" w:rsidRPr="00C40661" w:rsidRDefault="00174682" w:rsidP="00754973">
            <w:pPr>
              <w:ind w:right="130"/>
              <w:jc w:val="right"/>
              <w:rPr>
                <w:rFonts w:eastAsia="Arial Unicode MS"/>
                <w:sz w:val="22"/>
                <w:szCs w:val="22"/>
              </w:rPr>
            </w:pPr>
            <w:r>
              <w:rPr>
                <w:sz w:val="22"/>
                <w:szCs w:val="22"/>
              </w:rPr>
              <w:t>(</w:t>
            </w:r>
            <w:r w:rsidR="00A806B9">
              <w:rPr>
                <w:sz w:val="22"/>
                <w:szCs w:val="22"/>
              </w:rPr>
              <w:t>176,175</w:t>
            </w:r>
            <w:r>
              <w:rPr>
                <w:sz w:val="22"/>
                <w:szCs w:val="22"/>
              </w:rPr>
              <w:t>)</w:t>
            </w:r>
          </w:p>
        </w:tc>
      </w:tr>
      <w:tr w:rsidR="00754973" w:rsidRPr="00C40661" w14:paraId="5E4A2413"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52C9CE3A" w14:textId="77777777" w:rsidR="00754973" w:rsidRPr="00C40661" w:rsidRDefault="00754973" w:rsidP="00754973">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22F9597E" w14:textId="77777777" w:rsidR="00754973" w:rsidRPr="00533364" w:rsidRDefault="00754973" w:rsidP="00754973">
            <w:pPr>
              <w:rPr>
                <w:rFonts w:eastAsia="Arial Unicode MS"/>
                <w:sz w:val="22"/>
                <w:szCs w:val="22"/>
              </w:rPr>
            </w:pPr>
          </w:p>
        </w:tc>
        <w:tc>
          <w:tcPr>
            <w:tcW w:w="1382" w:type="dxa"/>
            <w:tcBorders>
              <w:top w:val="nil"/>
              <w:left w:val="nil"/>
              <w:bottom w:val="nil"/>
              <w:right w:val="nil"/>
            </w:tcBorders>
            <w:vAlign w:val="center"/>
          </w:tcPr>
          <w:p w14:paraId="52EB091E" w14:textId="77777777" w:rsidR="00754973" w:rsidRPr="006D56BD" w:rsidRDefault="00754973" w:rsidP="00754973">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1DC9B5A4" w14:textId="77777777" w:rsidR="00754973" w:rsidRPr="00C40661" w:rsidRDefault="00754973" w:rsidP="00754973">
            <w:pPr>
              <w:ind w:right="130"/>
              <w:jc w:val="right"/>
              <w:rPr>
                <w:rFonts w:eastAsia="Arial Unicode MS"/>
                <w:sz w:val="22"/>
                <w:szCs w:val="22"/>
              </w:rPr>
            </w:pPr>
          </w:p>
        </w:tc>
      </w:tr>
      <w:tr w:rsidR="00D1581D" w:rsidRPr="00C40661" w14:paraId="710A79B8"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6CCCFD53" w14:textId="3141BA52" w:rsidR="00D1581D" w:rsidRPr="00C40661" w:rsidRDefault="00D1581D" w:rsidP="00D1581D">
            <w:pPr>
              <w:rPr>
                <w:rFonts w:eastAsia="Arial Unicode MS"/>
                <w:sz w:val="22"/>
                <w:szCs w:val="22"/>
              </w:rPr>
            </w:pPr>
            <w:r w:rsidRPr="00D1581D">
              <w:rPr>
                <w:rFonts w:eastAsia="Arial Unicode MS"/>
                <w:b/>
                <w:bCs/>
                <w:sz w:val="22"/>
                <w:szCs w:val="22"/>
              </w:rPr>
              <w:t>Non-current liabilities</w:t>
            </w:r>
          </w:p>
        </w:tc>
        <w:tc>
          <w:tcPr>
            <w:tcW w:w="1171" w:type="dxa"/>
            <w:tcBorders>
              <w:top w:val="nil"/>
              <w:left w:val="nil"/>
              <w:bottom w:val="nil"/>
              <w:right w:val="nil"/>
            </w:tcBorders>
            <w:noWrap/>
            <w:tcMar>
              <w:top w:w="15" w:type="dxa"/>
              <w:left w:w="15" w:type="dxa"/>
              <w:bottom w:w="0" w:type="dxa"/>
              <w:right w:w="15" w:type="dxa"/>
            </w:tcMar>
            <w:vAlign w:val="bottom"/>
          </w:tcPr>
          <w:p w14:paraId="0F1F5191" w14:textId="77777777" w:rsidR="00D1581D" w:rsidRPr="00533364" w:rsidRDefault="00D1581D" w:rsidP="00D1581D">
            <w:pPr>
              <w:rPr>
                <w:rFonts w:eastAsia="Arial Unicode MS"/>
                <w:sz w:val="22"/>
                <w:szCs w:val="22"/>
              </w:rPr>
            </w:pPr>
          </w:p>
        </w:tc>
        <w:tc>
          <w:tcPr>
            <w:tcW w:w="1382" w:type="dxa"/>
            <w:tcBorders>
              <w:top w:val="nil"/>
              <w:left w:val="nil"/>
              <w:bottom w:val="nil"/>
              <w:right w:val="nil"/>
            </w:tcBorders>
            <w:vAlign w:val="center"/>
          </w:tcPr>
          <w:p w14:paraId="3F88EE2F" w14:textId="77777777" w:rsidR="00D1581D" w:rsidRPr="006D56BD" w:rsidRDefault="00D1581D" w:rsidP="00D1581D">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032657FF" w14:textId="77777777" w:rsidR="00D1581D" w:rsidRPr="00C40661" w:rsidRDefault="00D1581D" w:rsidP="00D1581D">
            <w:pPr>
              <w:ind w:right="130"/>
              <w:jc w:val="right"/>
              <w:rPr>
                <w:rFonts w:eastAsia="Arial Unicode MS"/>
                <w:sz w:val="22"/>
                <w:szCs w:val="22"/>
              </w:rPr>
            </w:pPr>
          </w:p>
        </w:tc>
      </w:tr>
      <w:tr w:rsidR="00D1581D" w:rsidRPr="00C40661" w14:paraId="014F073D" w14:textId="77777777" w:rsidTr="00D1581D">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0288F4FB" w14:textId="419596AF" w:rsidR="00D1581D" w:rsidRPr="00C40661" w:rsidRDefault="00D1581D" w:rsidP="00D1581D">
            <w:pPr>
              <w:rPr>
                <w:rFonts w:eastAsia="Arial Unicode MS"/>
                <w:sz w:val="22"/>
                <w:szCs w:val="22"/>
              </w:rPr>
            </w:pPr>
            <w:r>
              <w:rPr>
                <w:rFonts w:eastAsia="Arial Unicode MS"/>
                <w:sz w:val="22"/>
                <w:szCs w:val="22"/>
              </w:rPr>
              <w:t>Other non-current payables</w:t>
            </w:r>
          </w:p>
        </w:tc>
        <w:tc>
          <w:tcPr>
            <w:tcW w:w="1171" w:type="dxa"/>
            <w:tcBorders>
              <w:top w:val="nil"/>
              <w:left w:val="nil"/>
              <w:bottom w:val="nil"/>
              <w:right w:val="nil"/>
            </w:tcBorders>
            <w:noWrap/>
            <w:tcMar>
              <w:top w:w="15" w:type="dxa"/>
              <w:left w:w="15" w:type="dxa"/>
              <w:bottom w:w="0" w:type="dxa"/>
              <w:right w:w="15" w:type="dxa"/>
            </w:tcMar>
            <w:vAlign w:val="bottom"/>
          </w:tcPr>
          <w:p w14:paraId="5B2AF03D" w14:textId="22C28893" w:rsidR="00D1581D" w:rsidRPr="00533364" w:rsidRDefault="00D1581D" w:rsidP="00D1581D">
            <w:pPr>
              <w:jc w:val="center"/>
              <w:rPr>
                <w:rFonts w:eastAsia="Arial Unicode MS"/>
                <w:sz w:val="22"/>
                <w:szCs w:val="22"/>
              </w:rPr>
            </w:pPr>
            <w:r w:rsidRPr="00D1581D">
              <w:rPr>
                <w:rFonts w:eastAsia="Arial Unicode MS"/>
                <w:b/>
                <w:bCs/>
                <w:sz w:val="22"/>
                <w:szCs w:val="22"/>
              </w:rPr>
              <w:t>12</w:t>
            </w:r>
          </w:p>
        </w:tc>
        <w:tc>
          <w:tcPr>
            <w:tcW w:w="1382" w:type="dxa"/>
            <w:tcBorders>
              <w:top w:val="nil"/>
              <w:left w:val="nil"/>
              <w:bottom w:val="single" w:sz="4" w:space="0" w:color="auto"/>
              <w:right w:val="nil"/>
            </w:tcBorders>
            <w:vAlign w:val="center"/>
          </w:tcPr>
          <w:p w14:paraId="194F30B4" w14:textId="197DE29D" w:rsidR="00D1581D" w:rsidRPr="006D56BD" w:rsidRDefault="00D1581D" w:rsidP="00D1581D">
            <w:pPr>
              <w:ind w:right="130"/>
              <w:jc w:val="right"/>
              <w:rPr>
                <w:rFonts w:eastAsia="Arial Unicode MS"/>
                <w:sz w:val="22"/>
                <w:szCs w:val="22"/>
              </w:rPr>
            </w:pPr>
            <w:r>
              <w:rPr>
                <w:rFonts w:eastAsia="Arial Unicode MS"/>
                <w:sz w:val="22"/>
                <w:szCs w:val="22"/>
              </w:rPr>
              <w:t>(</w:t>
            </w:r>
            <w:r w:rsidR="00E00EA4">
              <w:rPr>
                <w:rFonts w:eastAsia="Arial Unicode MS"/>
                <w:sz w:val="22"/>
                <w:szCs w:val="22"/>
              </w:rPr>
              <w:t>28,975</w:t>
            </w:r>
            <w:r>
              <w:rPr>
                <w:rFonts w:eastAsia="Arial Unicode MS"/>
                <w:sz w:val="22"/>
                <w:szCs w:val="22"/>
              </w:rPr>
              <w:t>)</w:t>
            </w:r>
          </w:p>
        </w:tc>
        <w:tc>
          <w:tcPr>
            <w:tcW w:w="1453" w:type="dxa"/>
            <w:tcBorders>
              <w:top w:val="nil"/>
              <w:left w:val="nil"/>
              <w:bottom w:val="single" w:sz="4" w:space="0" w:color="auto"/>
              <w:right w:val="nil"/>
            </w:tcBorders>
            <w:noWrap/>
            <w:tcMar>
              <w:top w:w="15" w:type="dxa"/>
              <w:left w:w="15" w:type="dxa"/>
              <w:bottom w:w="0" w:type="dxa"/>
              <w:right w:w="15" w:type="dxa"/>
            </w:tcMar>
            <w:vAlign w:val="center"/>
          </w:tcPr>
          <w:p w14:paraId="0E0C1A06" w14:textId="01952C02" w:rsidR="00D1581D" w:rsidRPr="00C40661" w:rsidRDefault="00D1581D" w:rsidP="00D1581D">
            <w:pPr>
              <w:ind w:right="130"/>
              <w:jc w:val="right"/>
              <w:rPr>
                <w:rFonts w:eastAsia="Arial Unicode MS"/>
                <w:sz w:val="22"/>
                <w:szCs w:val="22"/>
              </w:rPr>
            </w:pPr>
            <w:r>
              <w:rPr>
                <w:rFonts w:eastAsia="Arial Unicode MS"/>
                <w:sz w:val="22"/>
                <w:szCs w:val="22"/>
              </w:rPr>
              <w:t>-</w:t>
            </w:r>
          </w:p>
        </w:tc>
      </w:tr>
      <w:tr w:rsidR="00D1581D" w:rsidRPr="00C40661" w14:paraId="6FF70581" w14:textId="77777777" w:rsidTr="00D1581D">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70E614A1" w14:textId="52C5EABE" w:rsidR="00D1581D" w:rsidRPr="00C40661" w:rsidRDefault="00D1581D" w:rsidP="00D1581D">
            <w:pPr>
              <w:rPr>
                <w:rFonts w:eastAsia="Arial Unicode MS"/>
                <w:sz w:val="22"/>
                <w:szCs w:val="22"/>
              </w:rPr>
            </w:pPr>
            <w:r w:rsidRPr="00D1581D">
              <w:rPr>
                <w:rFonts w:eastAsia="Arial Unicode MS"/>
                <w:b/>
                <w:bCs/>
                <w:sz w:val="22"/>
                <w:szCs w:val="22"/>
              </w:rPr>
              <w:t>Total non-current liabilities</w:t>
            </w:r>
          </w:p>
        </w:tc>
        <w:tc>
          <w:tcPr>
            <w:tcW w:w="1171" w:type="dxa"/>
            <w:tcBorders>
              <w:top w:val="nil"/>
              <w:left w:val="nil"/>
              <w:bottom w:val="nil"/>
              <w:right w:val="nil"/>
            </w:tcBorders>
            <w:noWrap/>
            <w:tcMar>
              <w:top w:w="15" w:type="dxa"/>
              <w:left w:w="15" w:type="dxa"/>
              <w:bottom w:w="0" w:type="dxa"/>
              <w:right w:w="15" w:type="dxa"/>
            </w:tcMar>
            <w:vAlign w:val="bottom"/>
          </w:tcPr>
          <w:p w14:paraId="45B24AFD" w14:textId="77777777" w:rsidR="00D1581D" w:rsidRPr="00533364" w:rsidRDefault="00D1581D" w:rsidP="00D1581D">
            <w:pPr>
              <w:rPr>
                <w:rFonts w:eastAsia="Arial Unicode MS"/>
                <w:sz w:val="22"/>
                <w:szCs w:val="22"/>
              </w:rPr>
            </w:pPr>
          </w:p>
        </w:tc>
        <w:tc>
          <w:tcPr>
            <w:tcW w:w="1382" w:type="dxa"/>
            <w:tcBorders>
              <w:top w:val="single" w:sz="4" w:space="0" w:color="auto"/>
              <w:left w:val="nil"/>
              <w:bottom w:val="single" w:sz="4" w:space="0" w:color="auto"/>
              <w:right w:val="nil"/>
            </w:tcBorders>
            <w:vAlign w:val="center"/>
          </w:tcPr>
          <w:p w14:paraId="63F3B854" w14:textId="0D6B6D64" w:rsidR="00D1581D" w:rsidRPr="006D56BD" w:rsidRDefault="00D1581D" w:rsidP="00D1581D">
            <w:pPr>
              <w:ind w:right="130"/>
              <w:jc w:val="right"/>
              <w:rPr>
                <w:rFonts w:eastAsia="Arial Unicode MS"/>
                <w:sz w:val="22"/>
                <w:szCs w:val="22"/>
              </w:rPr>
            </w:pPr>
            <w:r>
              <w:rPr>
                <w:rFonts w:eastAsia="Arial Unicode MS"/>
                <w:sz w:val="22"/>
                <w:szCs w:val="22"/>
              </w:rPr>
              <w:t>(</w:t>
            </w:r>
            <w:r w:rsidR="00E00EA4">
              <w:rPr>
                <w:rFonts w:eastAsia="Arial Unicode MS"/>
                <w:sz w:val="22"/>
                <w:szCs w:val="22"/>
              </w:rPr>
              <w:t>28,975</w:t>
            </w:r>
            <w:r>
              <w:rPr>
                <w:rFonts w:eastAsia="Arial Unicode MS"/>
                <w:sz w:val="22"/>
                <w:szCs w:val="22"/>
              </w:rPr>
              <w:t>)</w:t>
            </w:r>
          </w:p>
        </w:tc>
        <w:tc>
          <w:tcPr>
            <w:tcW w:w="1453"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17F3685A" w14:textId="4F2FA0A4" w:rsidR="00D1581D" w:rsidRPr="00C40661" w:rsidRDefault="00D1581D" w:rsidP="00D1581D">
            <w:pPr>
              <w:ind w:right="130"/>
              <w:jc w:val="right"/>
              <w:rPr>
                <w:rFonts w:eastAsia="Arial Unicode MS"/>
                <w:sz w:val="22"/>
                <w:szCs w:val="22"/>
              </w:rPr>
            </w:pPr>
            <w:r>
              <w:rPr>
                <w:rFonts w:eastAsia="Arial Unicode MS"/>
                <w:sz w:val="22"/>
                <w:szCs w:val="22"/>
              </w:rPr>
              <w:t>-</w:t>
            </w:r>
          </w:p>
        </w:tc>
      </w:tr>
      <w:tr w:rsidR="00D1581D" w:rsidRPr="00C40661" w14:paraId="78545A3A" w14:textId="77777777" w:rsidTr="00D1581D">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0E8872AF" w14:textId="77777777" w:rsidR="00D1581D" w:rsidRPr="00C40661" w:rsidRDefault="00D1581D" w:rsidP="00D1581D">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23A45255" w14:textId="77777777" w:rsidR="00D1581D" w:rsidRPr="00533364" w:rsidRDefault="00D1581D" w:rsidP="00D1581D">
            <w:pPr>
              <w:rPr>
                <w:rFonts w:eastAsia="Arial Unicode MS"/>
                <w:sz w:val="22"/>
                <w:szCs w:val="22"/>
              </w:rPr>
            </w:pPr>
          </w:p>
        </w:tc>
        <w:tc>
          <w:tcPr>
            <w:tcW w:w="1382" w:type="dxa"/>
            <w:tcBorders>
              <w:top w:val="single" w:sz="4" w:space="0" w:color="auto"/>
              <w:left w:val="nil"/>
              <w:bottom w:val="nil"/>
              <w:right w:val="nil"/>
            </w:tcBorders>
            <w:vAlign w:val="center"/>
          </w:tcPr>
          <w:p w14:paraId="71F7478A" w14:textId="77777777" w:rsidR="00D1581D" w:rsidRPr="006D56BD" w:rsidRDefault="00D1581D" w:rsidP="00D1581D">
            <w:pPr>
              <w:ind w:right="130"/>
              <w:jc w:val="right"/>
              <w:rPr>
                <w:rFonts w:eastAsia="Arial Unicode MS"/>
                <w:sz w:val="22"/>
                <w:szCs w:val="22"/>
              </w:rPr>
            </w:pPr>
          </w:p>
        </w:tc>
        <w:tc>
          <w:tcPr>
            <w:tcW w:w="1453" w:type="dxa"/>
            <w:tcBorders>
              <w:top w:val="single" w:sz="4" w:space="0" w:color="auto"/>
              <w:left w:val="nil"/>
              <w:bottom w:val="nil"/>
              <w:right w:val="nil"/>
            </w:tcBorders>
            <w:noWrap/>
            <w:tcMar>
              <w:top w:w="15" w:type="dxa"/>
              <w:left w:w="15" w:type="dxa"/>
              <w:bottom w:w="0" w:type="dxa"/>
              <w:right w:w="15" w:type="dxa"/>
            </w:tcMar>
            <w:vAlign w:val="center"/>
          </w:tcPr>
          <w:p w14:paraId="36806FF8" w14:textId="77777777" w:rsidR="00D1581D" w:rsidRPr="00C40661" w:rsidRDefault="00D1581D" w:rsidP="00D1581D">
            <w:pPr>
              <w:ind w:right="130"/>
              <w:jc w:val="right"/>
              <w:rPr>
                <w:rFonts w:eastAsia="Arial Unicode MS"/>
                <w:sz w:val="22"/>
                <w:szCs w:val="22"/>
              </w:rPr>
            </w:pPr>
          </w:p>
        </w:tc>
      </w:tr>
      <w:tr w:rsidR="00D1581D" w:rsidRPr="00C40661" w14:paraId="52B970F9"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5D56E263" w14:textId="77777777" w:rsidR="00D1581D" w:rsidRPr="00C40661" w:rsidRDefault="00D1581D" w:rsidP="00D1581D">
            <w:pPr>
              <w:rPr>
                <w:rFonts w:eastAsia="Arial Unicode MS"/>
                <w:sz w:val="22"/>
                <w:szCs w:val="22"/>
              </w:rPr>
            </w:pPr>
            <w:r w:rsidRPr="00C40661">
              <w:rPr>
                <w:b/>
                <w:bCs/>
                <w:sz w:val="22"/>
                <w:szCs w:val="22"/>
              </w:rPr>
              <w:t>Net assets</w:t>
            </w:r>
          </w:p>
        </w:tc>
        <w:tc>
          <w:tcPr>
            <w:tcW w:w="1171" w:type="dxa"/>
            <w:tcBorders>
              <w:top w:val="nil"/>
              <w:left w:val="nil"/>
              <w:bottom w:val="nil"/>
              <w:right w:val="nil"/>
            </w:tcBorders>
            <w:noWrap/>
            <w:tcMar>
              <w:top w:w="15" w:type="dxa"/>
              <w:left w:w="15" w:type="dxa"/>
              <w:bottom w:w="0" w:type="dxa"/>
              <w:right w:w="15" w:type="dxa"/>
            </w:tcMar>
            <w:vAlign w:val="bottom"/>
          </w:tcPr>
          <w:p w14:paraId="6937E8F9" w14:textId="77777777" w:rsidR="00D1581D" w:rsidRPr="00533364" w:rsidRDefault="00D1581D" w:rsidP="00D1581D">
            <w:pPr>
              <w:rPr>
                <w:rFonts w:eastAsia="Arial Unicode MS"/>
                <w:sz w:val="22"/>
                <w:szCs w:val="22"/>
              </w:rPr>
            </w:pPr>
          </w:p>
        </w:tc>
        <w:tc>
          <w:tcPr>
            <w:tcW w:w="1382" w:type="dxa"/>
            <w:tcBorders>
              <w:top w:val="single" w:sz="4" w:space="0" w:color="auto"/>
              <w:left w:val="nil"/>
              <w:bottom w:val="double" w:sz="6" w:space="0" w:color="auto"/>
              <w:right w:val="nil"/>
            </w:tcBorders>
            <w:vAlign w:val="center"/>
          </w:tcPr>
          <w:p w14:paraId="20F17FB6" w14:textId="0BFEE264" w:rsidR="00D1581D" w:rsidRPr="006D56BD" w:rsidRDefault="00E00EA4" w:rsidP="00D1581D">
            <w:pPr>
              <w:ind w:right="130"/>
              <w:jc w:val="right"/>
              <w:rPr>
                <w:sz w:val="22"/>
                <w:szCs w:val="22"/>
              </w:rPr>
            </w:pPr>
            <w:r>
              <w:rPr>
                <w:sz w:val="22"/>
                <w:szCs w:val="22"/>
              </w:rPr>
              <w:t>154,092</w:t>
            </w:r>
          </w:p>
        </w:tc>
        <w:tc>
          <w:tcPr>
            <w:tcW w:w="1453" w:type="dxa"/>
            <w:tcBorders>
              <w:top w:val="single" w:sz="4" w:space="0" w:color="auto"/>
              <w:left w:val="nil"/>
              <w:bottom w:val="double" w:sz="6" w:space="0" w:color="auto"/>
              <w:right w:val="nil"/>
            </w:tcBorders>
            <w:noWrap/>
            <w:tcMar>
              <w:top w:w="15" w:type="dxa"/>
              <w:left w:w="15" w:type="dxa"/>
              <w:bottom w:w="0" w:type="dxa"/>
              <w:right w:w="15" w:type="dxa"/>
            </w:tcMar>
            <w:vAlign w:val="center"/>
          </w:tcPr>
          <w:p w14:paraId="6BBD2821" w14:textId="4768B644" w:rsidR="00D1581D" w:rsidRPr="00C40661" w:rsidRDefault="00D1581D" w:rsidP="00D1581D">
            <w:pPr>
              <w:ind w:right="130"/>
              <w:jc w:val="right"/>
              <w:rPr>
                <w:rFonts w:eastAsia="Arial Unicode MS"/>
                <w:sz w:val="22"/>
                <w:szCs w:val="22"/>
              </w:rPr>
            </w:pPr>
            <w:r>
              <w:rPr>
                <w:sz w:val="22"/>
                <w:szCs w:val="22"/>
              </w:rPr>
              <w:t>894,325</w:t>
            </w:r>
          </w:p>
        </w:tc>
      </w:tr>
      <w:tr w:rsidR="00D1581D" w:rsidRPr="00C40661" w14:paraId="5DF9EAE0"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2F2FEB62" w14:textId="77777777" w:rsidR="00D1581D" w:rsidRPr="00C40661" w:rsidRDefault="00D1581D" w:rsidP="00D1581D">
            <w:pPr>
              <w:rPr>
                <w:rFonts w:eastAsia="Arial Unicode MS"/>
                <w:sz w:val="22"/>
                <w:szCs w:val="22"/>
              </w:rPr>
            </w:pPr>
          </w:p>
        </w:tc>
        <w:tc>
          <w:tcPr>
            <w:tcW w:w="1171" w:type="dxa"/>
            <w:tcBorders>
              <w:top w:val="nil"/>
              <w:left w:val="nil"/>
              <w:bottom w:val="nil"/>
              <w:right w:val="nil"/>
            </w:tcBorders>
            <w:noWrap/>
            <w:tcMar>
              <w:top w:w="15" w:type="dxa"/>
              <w:left w:w="15" w:type="dxa"/>
              <w:bottom w:w="0" w:type="dxa"/>
              <w:right w:w="15" w:type="dxa"/>
            </w:tcMar>
            <w:vAlign w:val="bottom"/>
          </w:tcPr>
          <w:p w14:paraId="5C65C9CB" w14:textId="77777777" w:rsidR="00D1581D" w:rsidRPr="00533364" w:rsidRDefault="00D1581D" w:rsidP="00D1581D">
            <w:pPr>
              <w:rPr>
                <w:rFonts w:eastAsia="Arial Unicode MS"/>
                <w:sz w:val="22"/>
                <w:szCs w:val="22"/>
              </w:rPr>
            </w:pPr>
          </w:p>
        </w:tc>
        <w:tc>
          <w:tcPr>
            <w:tcW w:w="1382" w:type="dxa"/>
            <w:tcBorders>
              <w:top w:val="nil"/>
              <w:left w:val="nil"/>
              <w:bottom w:val="nil"/>
              <w:right w:val="nil"/>
            </w:tcBorders>
            <w:vAlign w:val="center"/>
          </w:tcPr>
          <w:p w14:paraId="47FB5D9E" w14:textId="77777777" w:rsidR="00D1581D" w:rsidRPr="006D56BD" w:rsidRDefault="00D1581D" w:rsidP="00D1581D">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11434D52" w14:textId="77777777" w:rsidR="00D1581D" w:rsidRPr="00C40661" w:rsidRDefault="00D1581D" w:rsidP="00D1581D">
            <w:pPr>
              <w:ind w:right="130"/>
              <w:jc w:val="right"/>
              <w:rPr>
                <w:rFonts w:eastAsia="Arial Unicode MS"/>
                <w:sz w:val="22"/>
                <w:szCs w:val="22"/>
              </w:rPr>
            </w:pPr>
          </w:p>
        </w:tc>
      </w:tr>
      <w:tr w:rsidR="00D1581D" w:rsidRPr="00C40661" w14:paraId="181F282E" w14:textId="77777777" w:rsidTr="00A806B9">
        <w:trPr>
          <w:trHeight w:val="311"/>
        </w:trPr>
        <w:tc>
          <w:tcPr>
            <w:tcW w:w="5775" w:type="dxa"/>
            <w:tcBorders>
              <w:top w:val="nil"/>
              <w:left w:val="nil"/>
              <w:bottom w:val="nil"/>
              <w:right w:val="nil"/>
            </w:tcBorders>
            <w:noWrap/>
            <w:tcMar>
              <w:top w:w="15" w:type="dxa"/>
              <w:left w:w="15" w:type="dxa"/>
              <w:bottom w:w="0" w:type="dxa"/>
              <w:right w:w="15" w:type="dxa"/>
            </w:tcMar>
            <w:vAlign w:val="bottom"/>
          </w:tcPr>
          <w:p w14:paraId="57B47408" w14:textId="77777777" w:rsidR="00D1581D" w:rsidRPr="00C40661" w:rsidRDefault="00D1581D" w:rsidP="00D1581D">
            <w:pPr>
              <w:rPr>
                <w:rFonts w:eastAsia="Arial Unicode MS"/>
                <w:b/>
                <w:bCs/>
                <w:sz w:val="22"/>
                <w:szCs w:val="22"/>
              </w:rPr>
            </w:pPr>
            <w:r w:rsidRPr="00C40661">
              <w:rPr>
                <w:b/>
                <w:bCs/>
                <w:sz w:val="22"/>
                <w:szCs w:val="22"/>
              </w:rPr>
              <w:t>Capital and reserves</w:t>
            </w:r>
          </w:p>
        </w:tc>
        <w:tc>
          <w:tcPr>
            <w:tcW w:w="1171" w:type="dxa"/>
            <w:tcBorders>
              <w:top w:val="nil"/>
              <w:left w:val="nil"/>
              <w:bottom w:val="nil"/>
              <w:right w:val="nil"/>
            </w:tcBorders>
            <w:noWrap/>
            <w:tcMar>
              <w:top w:w="15" w:type="dxa"/>
              <w:left w:w="15" w:type="dxa"/>
              <w:bottom w:w="0" w:type="dxa"/>
              <w:right w:w="15" w:type="dxa"/>
            </w:tcMar>
            <w:vAlign w:val="bottom"/>
          </w:tcPr>
          <w:p w14:paraId="40D43CE2" w14:textId="77777777" w:rsidR="00D1581D" w:rsidRPr="00533364" w:rsidRDefault="00D1581D" w:rsidP="00D1581D">
            <w:pPr>
              <w:rPr>
                <w:rFonts w:eastAsia="Arial Unicode MS"/>
                <w:sz w:val="22"/>
                <w:szCs w:val="22"/>
              </w:rPr>
            </w:pPr>
          </w:p>
        </w:tc>
        <w:tc>
          <w:tcPr>
            <w:tcW w:w="1382" w:type="dxa"/>
            <w:tcBorders>
              <w:top w:val="nil"/>
              <w:left w:val="nil"/>
              <w:bottom w:val="nil"/>
              <w:right w:val="nil"/>
            </w:tcBorders>
            <w:vAlign w:val="center"/>
          </w:tcPr>
          <w:p w14:paraId="29308C1C" w14:textId="77777777" w:rsidR="00D1581D" w:rsidRPr="006D56BD" w:rsidRDefault="00D1581D" w:rsidP="00D1581D">
            <w:pPr>
              <w:ind w:right="130"/>
              <w:jc w:val="right"/>
              <w:rPr>
                <w:rFonts w:eastAsia="Arial Unicode MS"/>
                <w:sz w:val="22"/>
                <w:szCs w:val="22"/>
              </w:rPr>
            </w:pPr>
          </w:p>
        </w:tc>
        <w:tc>
          <w:tcPr>
            <w:tcW w:w="1453" w:type="dxa"/>
            <w:tcBorders>
              <w:top w:val="nil"/>
              <w:left w:val="nil"/>
              <w:bottom w:val="nil"/>
              <w:right w:val="nil"/>
            </w:tcBorders>
            <w:noWrap/>
            <w:tcMar>
              <w:top w:w="15" w:type="dxa"/>
              <w:left w:w="15" w:type="dxa"/>
              <w:bottom w:w="0" w:type="dxa"/>
              <w:right w:w="15" w:type="dxa"/>
            </w:tcMar>
            <w:vAlign w:val="center"/>
          </w:tcPr>
          <w:p w14:paraId="467BD820" w14:textId="77777777" w:rsidR="00D1581D" w:rsidRPr="00C40661" w:rsidRDefault="00D1581D" w:rsidP="00D1581D">
            <w:pPr>
              <w:ind w:right="130"/>
              <w:jc w:val="right"/>
              <w:rPr>
                <w:rFonts w:eastAsia="Arial Unicode MS"/>
                <w:sz w:val="22"/>
                <w:szCs w:val="22"/>
              </w:rPr>
            </w:pPr>
          </w:p>
        </w:tc>
      </w:tr>
      <w:tr w:rsidR="00D1581D" w:rsidRPr="00C40661" w14:paraId="3ACEFFCB"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7E553D68" w14:textId="77777777" w:rsidR="00D1581D" w:rsidRPr="00C40661" w:rsidRDefault="00D1581D" w:rsidP="00D1581D">
            <w:pPr>
              <w:rPr>
                <w:rFonts w:eastAsia="Arial Unicode MS"/>
                <w:sz w:val="22"/>
                <w:szCs w:val="22"/>
              </w:rPr>
            </w:pPr>
            <w:r w:rsidRPr="00C40661">
              <w:rPr>
                <w:sz w:val="22"/>
                <w:szCs w:val="22"/>
              </w:rPr>
              <w:t>Called up share capital</w:t>
            </w:r>
          </w:p>
        </w:tc>
        <w:tc>
          <w:tcPr>
            <w:tcW w:w="1171" w:type="dxa"/>
            <w:tcBorders>
              <w:top w:val="nil"/>
              <w:left w:val="nil"/>
              <w:bottom w:val="nil"/>
              <w:right w:val="nil"/>
            </w:tcBorders>
            <w:noWrap/>
            <w:tcMar>
              <w:top w:w="15" w:type="dxa"/>
              <w:left w:w="15" w:type="dxa"/>
              <w:bottom w:w="0" w:type="dxa"/>
              <w:right w:w="15" w:type="dxa"/>
            </w:tcMar>
            <w:vAlign w:val="bottom"/>
          </w:tcPr>
          <w:p w14:paraId="2721B0AD" w14:textId="7338FC55" w:rsidR="00D1581D" w:rsidRPr="00533364" w:rsidRDefault="00D1581D" w:rsidP="00D1581D">
            <w:pPr>
              <w:jc w:val="center"/>
              <w:rPr>
                <w:rFonts w:eastAsia="Arial Unicode MS"/>
                <w:b/>
                <w:bCs/>
                <w:sz w:val="22"/>
                <w:szCs w:val="22"/>
              </w:rPr>
            </w:pPr>
            <w:r>
              <w:rPr>
                <w:rFonts w:eastAsia="Arial Unicode MS"/>
                <w:b/>
                <w:bCs/>
                <w:sz w:val="22"/>
                <w:szCs w:val="22"/>
              </w:rPr>
              <w:t>13</w:t>
            </w:r>
          </w:p>
        </w:tc>
        <w:tc>
          <w:tcPr>
            <w:tcW w:w="1382" w:type="dxa"/>
            <w:tcBorders>
              <w:top w:val="nil"/>
              <w:left w:val="nil"/>
              <w:bottom w:val="nil"/>
              <w:right w:val="nil"/>
            </w:tcBorders>
            <w:vAlign w:val="center"/>
          </w:tcPr>
          <w:p w14:paraId="528393EB" w14:textId="5748D85A" w:rsidR="00D1581D" w:rsidRPr="006D56BD" w:rsidRDefault="00D1581D" w:rsidP="00D1581D">
            <w:pPr>
              <w:ind w:right="130"/>
              <w:jc w:val="right"/>
              <w:rPr>
                <w:sz w:val="22"/>
                <w:szCs w:val="22"/>
              </w:rPr>
            </w:pPr>
            <w:r>
              <w:rPr>
                <w:sz w:val="22"/>
                <w:szCs w:val="22"/>
              </w:rPr>
              <w:t>273,968</w:t>
            </w:r>
          </w:p>
        </w:tc>
        <w:tc>
          <w:tcPr>
            <w:tcW w:w="1453" w:type="dxa"/>
            <w:tcBorders>
              <w:top w:val="nil"/>
              <w:left w:val="nil"/>
              <w:bottom w:val="nil"/>
              <w:right w:val="nil"/>
            </w:tcBorders>
            <w:noWrap/>
            <w:tcMar>
              <w:top w:w="15" w:type="dxa"/>
              <w:left w:w="15" w:type="dxa"/>
              <w:bottom w:w="0" w:type="dxa"/>
              <w:right w:w="15" w:type="dxa"/>
            </w:tcMar>
            <w:vAlign w:val="center"/>
          </w:tcPr>
          <w:p w14:paraId="1CCE8B9E" w14:textId="47BCCA21" w:rsidR="00D1581D" w:rsidRPr="00C40661" w:rsidRDefault="00D1581D" w:rsidP="00D1581D">
            <w:pPr>
              <w:ind w:right="130"/>
              <w:jc w:val="right"/>
              <w:rPr>
                <w:rFonts w:eastAsia="Arial Unicode MS"/>
                <w:sz w:val="22"/>
                <w:szCs w:val="22"/>
              </w:rPr>
            </w:pPr>
            <w:r>
              <w:rPr>
                <w:sz w:val="22"/>
                <w:szCs w:val="22"/>
              </w:rPr>
              <w:t>272,801</w:t>
            </w:r>
          </w:p>
        </w:tc>
      </w:tr>
      <w:tr w:rsidR="00D1581D" w:rsidRPr="00C40661" w14:paraId="3FB50D86"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3237EEF5" w14:textId="77777777" w:rsidR="00D1581D" w:rsidRPr="00C40661" w:rsidRDefault="00D1581D" w:rsidP="00D1581D">
            <w:pPr>
              <w:rPr>
                <w:rFonts w:eastAsia="Arial Unicode MS"/>
                <w:sz w:val="22"/>
                <w:szCs w:val="22"/>
              </w:rPr>
            </w:pPr>
            <w:r w:rsidRPr="00C40661">
              <w:rPr>
                <w:sz w:val="22"/>
                <w:szCs w:val="22"/>
              </w:rPr>
              <w:t>Share premium account</w:t>
            </w:r>
          </w:p>
        </w:tc>
        <w:tc>
          <w:tcPr>
            <w:tcW w:w="1171" w:type="dxa"/>
            <w:tcBorders>
              <w:top w:val="nil"/>
              <w:left w:val="nil"/>
              <w:bottom w:val="nil"/>
              <w:right w:val="nil"/>
            </w:tcBorders>
            <w:noWrap/>
            <w:tcMar>
              <w:top w:w="15" w:type="dxa"/>
              <w:left w:w="15" w:type="dxa"/>
              <w:bottom w:w="0" w:type="dxa"/>
              <w:right w:w="15" w:type="dxa"/>
            </w:tcMar>
            <w:vAlign w:val="bottom"/>
          </w:tcPr>
          <w:p w14:paraId="26D6E92C" w14:textId="77777777" w:rsidR="00D1581D" w:rsidRPr="00533364" w:rsidRDefault="00D1581D" w:rsidP="00D1581D">
            <w:pPr>
              <w:jc w:val="center"/>
              <w:rPr>
                <w:rFonts w:eastAsia="Arial Unicode MS"/>
                <w:b/>
                <w:bCs/>
                <w:sz w:val="22"/>
                <w:szCs w:val="22"/>
              </w:rPr>
            </w:pPr>
          </w:p>
        </w:tc>
        <w:tc>
          <w:tcPr>
            <w:tcW w:w="1382" w:type="dxa"/>
            <w:tcBorders>
              <w:top w:val="nil"/>
              <w:left w:val="nil"/>
              <w:bottom w:val="nil"/>
              <w:right w:val="nil"/>
            </w:tcBorders>
            <w:vAlign w:val="center"/>
          </w:tcPr>
          <w:p w14:paraId="1DBC115B" w14:textId="6FF6858B" w:rsidR="00D1581D" w:rsidRPr="006D56BD" w:rsidRDefault="00D1581D" w:rsidP="00D1581D">
            <w:pPr>
              <w:ind w:right="130"/>
              <w:jc w:val="right"/>
              <w:rPr>
                <w:sz w:val="22"/>
                <w:szCs w:val="22"/>
              </w:rPr>
            </w:pPr>
            <w:r>
              <w:rPr>
                <w:sz w:val="22"/>
                <w:szCs w:val="22"/>
              </w:rPr>
              <w:t>2,483,117</w:t>
            </w:r>
          </w:p>
        </w:tc>
        <w:tc>
          <w:tcPr>
            <w:tcW w:w="1453" w:type="dxa"/>
            <w:tcBorders>
              <w:top w:val="nil"/>
              <w:left w:val="nil"/>
              <w:bottom w:val="nil"/>
              <w:right w:val="nil"/>
            </w:tcBorders>
            <w:noWrap/>
            <w:tcMar>
              <w:top w:w="15" w:type="dxa"/>
              <w:left w:w="15" w:type="dxa"/>
              <w:bottom w:w="0" w:type="dxa"/>
              <w:right w:w="15" w:type="dxa"/>
            </w:tcMar>
            <w:vAlign w:val="center"/>
          </w:tcPr>
          <w:p w14:paraId="52F297C4" w14:textId="30A340DC" w:rsidR="00D1581D" w:rsidRPr="00C40661" w:rsidRDefault="00D1581D" w:rsidP="00D1581D">
            <w:pPr>
              <w:ind w:right="130"/>
              <w:jc w:val="right"/>
              <w:rPr>
                <w:rFonts w:eastAsia="Arial Unicode MS"/>
                <w:sz w:val="22"/>
                <w:szCs w:val="22"/>
              </w:rPr>
            </w:pPr>
            <w:r>
              <w:rPr>
                <w:sz w:val="22"/>
                <w:szCs w:val="22"/>
              </w:rPr>
              <w:t>2,414,284</w:t>
            </w:r>
          </w:p>
        </w:tc>
      </w:tr>
      <w:tr w:rsidR="00D1581D" w:rsidRPr="00C40661" w14:paraId="5103B4D0"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5E749FE1" w14:textId="77777777" w:rsidR="00D1581D" w:rsidRPr="00C40661" w:rsidRDefault="00D1581D" w:rsidP="00D1581D">
            <w:pPr>
              <w:rPr>
                <w:rFonts w:eastAsia="Arial Unicode MS"/>
                <w:sz w:val="22"/>
                <w:szCs w:val="22"/>
              </w:rPr>
            </w:pPr>
            <w:r w:rsidRPr="00C40661">
              <w:rPr>
                <w:sz w:val="22"/>
                <w:szCs w:val="22"/>
              </w:rPr>
              <w:t>Retained losses</w:t>
            </w:r>
          </w:p>
        </w:tc>
        <w:tc>
          <w:tcPr>
            <w:tcW w:w="1171" w:type="dxa"/>
            <w:tcBorders>
              <w:top w:val="nil"/>
              <w:left w:val="nil"/>
              <w:bottom w:val="nil"/>
              <w:right w:val="nil"/>
            </w:tcBorders>
            <w:noWrap/>
            <w:tcMar>
              <w:top w:w="15" w:type="dxa"/>
              <w:left w:w="15" w:type="dxa"/>
              <w:bottom w:w="0" w:type="dxa"/>
              <w:right w:w="15" w:type="dxa"/>
            </w:tcMar>
            <w:vAlign w:val="bottom"/>
          </w:tcPr>
          <w:p w14:paraId="3B267300" w14:textId="77777777" w:rsidR="00D1581D" w:rsidRPr="00C40661" w:rsidRDefault="00D1581D" w:rsidP="00D1581D">
            <w:pPr>
              <w:jc w:val="center"/>
              <w:rPr>
                <w:rFonts w:eastAsia="Arial Unicode MS"/>
                <w:b/>
                <w:bCs/>
                <w:sz w:val="22"/>
                <w:szCs w:val="22"/>
              </w:rPr>
            </w:pPr>
          </w:p>
        </w:tc>
        <w:tc>
          <w:tcPr>
            <w:tcW w:w="1382" w:type="dxa"/>
            <w:tcBorders>
              <w:top w:val="nil"/>
              <w:left w:val="nil"/>
              <w:right w:val="nil"/>
            </w:tcBorders>
            <w:vAlign w:val="center"/>
          </w:tcPr>
          <w:p w14:paraId="4D168EEE" w14:textId="4C3FCF6C" w:rsidR="00D1581D" w:rsidRPr="006D56BD" w:rsidRDefault="00D1581D" w:rsidP="00D1581D">
            <w:pPr>
              <w:ind w:right="130"/>
              <w:jc w:val="right"/>
              <w:rPr>
                <w:sz w:val="22"/>
                <w:szCs w:val="22"/>
              </w:rPr>
            </w:pPr>
            <w:r>
              <w:rPr>
                <w:sz w:val="22"/>
                <w:szCs w:val="22"/>
              </w:rPr>
              <w:t>(</w:t>
            </w:r>
            <w:r w:rsidR="00E00EA4">
              <w:rPr>
                <w:sz w:val="22"/>
                <w:szCs w:val="22"/>
              </w:rPr>
              <w:t>2,602,993</w:t>
            </w:r>
            <w:r>
              <w:rPr>
                <w:sz w:val="22"/>
                <w:szCs w:val="22"/>
              </w:rPr>
              <w:t>)</w:t>
            </w:r>
          </w:p>
        </w:tc>
        <w:tc>
          <w:tcPr>
            <w:tcW w:w="1453" w:type="dxa"/>
            <w:tcBorders>
              <w:top w:val="nil"/>
              <w:left w:val="nil"/>
              <w:right w:val="nil"/>
            </w:tcBorders>
            <w:noWrap/>
            <w:tcMar>
              <w:top w:w="15" w:type="dxa"/>
              <w:left w:w="15" w:type="dxa"/>
              <w:bottom w:w="0" w:type="dxa"/>
              <w:right w:w="15" w:type="dxa"/>
            </w:tcMar>
            <w:vAlign w:val="center"/>
          </w:tcPr>
          <w:p w14:paraId="757628AF" w14:textId="01FC0ED8" w:rsidR="00D1581D" w:rsidRPr="00C40661" w:rsidRDefault="00D1581D" w:rsidP="00D1581D">
            <w:pPr>
              <w:ind w:right="130"/>
              <w:jc w:val="right"/>
              <w:rPr>
                <w:rFonts w:eastAsia="Arial Unicode MS"/>
                <w:sz w:val="22"/>
                <w:szCs w:val="22"/>
              </w:rPr>
            </w:pPr>
            <w:r w:rsidRPr="006D56BD">
              <w:rPr>
                <w:sz w:val="22"/>
                <w:szCs w:val="22"/>
              </w:rPr>
              <w:t>(</w:t>
            </w:r>
            <w:r>
              <w:rPr>
                <w:sz w:val="22"/>
                <w:szCs w:val="22"/>
              </w:rPr>
              <w:t>1,792,760</w:t>
            </w:r>
            <w:r w:rsidRPr="006D56BD">
              <w:rPr>
                <w:sz w:val="22"/>
                <w:szCs w:val="22"/>
              </w:rPr>
              <w:t>)</w:t>
            </w:r>
          </w:p>
        </w:tc>
      </w:tr>
      <w:tr w:rsidR="00D1581D" w:rsidRPr="00C40661" w14:paraId="47E2BDC0" w14:textId="77777777" w:rsidTr="00A806B9">
        <w:trPr>
          <w:trHeight w:val="312"/>
        </w:trPr>
        <w:tc>
          <w:tcPr>
            <w:tcW w:w="5775" w:type="dxa"/>
            <w:tcBorders>
              <w:top w:val="nil"/>
              <w:left w:val="nil"/>
              <w:bottom w:val="nil"/>
              <w:right w:val="nil"/>
            </w:tcBorders>
            <w:noWrap/>
            <w:tcMar>
              <w:top w:w="15" w:type="dxa"/>
              <w:left w:w="15" w:type="dxa"/>
              <w:bottom w:w="0" w:type="dxa"/>
              <w:right w:w="15" w:type="dxa"/>
            </w:tcMar>
            <w:vAlign w:val="bottom"/>
          </w:tcPr>
          <w:p w14:paraId="46CC4FC5" w14:textId="77777777" w:rsidR="00D1581D" w:rsidRPr="00C40661" w:rsidRDefault="00D1581D" w:rsidP="00D1581D">
            <w:pPr>
              <w:rPr>
                <w:rFonts w:eastAsia="Arial Unicode MS"/>
                <w:b/>
                <w:bCs/>
                <w:sz w:val="22"/>
                <w:szCs w:val="22"/>
              </w:rPr>
            </w:pPr>
            <w:r w:rsidRPr="00C40661">
              <w:rPr>
                <w:b/>
                <w:bCs/>
                <w:sz w:val="22"/>
                <w:szCs w:val="22"/>
              </w:rPr>
              <w:t xml:space="preserve">Equity </w:t>
            </w:r>
            <w:r>
              <w:rPr>
                <w:b/>
                <w:bCs/>
                <w:sz w:val="22"/>
                <w:szCs w:val="22"/>
              </w:rPr>
              <w:t>shareholders’ funds</w:t>
            </w:r>
          </w:p>
        </w:tc>
        <w:tc>
          <w:tcPr>
            <w:tcW w:w="1171" w:type="dxa"/>
            <w:tcBorders>
              <w:top w:val="nil"/>
              <w:left w:val="nil"/>
              <w:bottom w:val="nil"/>
              <w:right w:val="nil"/>
            </w:tcBorders>
            <w:noWrap/>
            <w:tcMar>
              <w:top w:w="15" w:type="dxa"/>
              <w:left w:w="15" w:type="dxa"/>
              <w:bottom w:w="0" w:type="dxa"/>
              <w:right w:w="15" w:type="dxa"/>
            </w:tcMar>
            <w:vAlign w:val="bottom"/>
          </w:tcPr>
          <w:p w14:paraId="271D207E" w14:textId="77777777" w:rsidR="00D1581D" w:rsidRPr="00C40661" w:rsidRDefault="00D1581D" w:rsidP="00D1581D">
            <w:pPr>
              <w:jc w:val="center"/>
              <w:rPr>
                <w:rFonts w:eastAsia="Arial Unicode MS"/>
                <w:b/>
                <w:bCs/>
                <w:sz w:val="22"/>
                <w:szCs w:val="22"/>
              </w:rPr>
            </w:pPr>
          </w:p>
        </w:tc>
        <w:tc>
          <w:tcPr>
            <w:tcW w:w="1382" w:type="dxa"/>
            <w:tcBorders>
              <w:top w:val="single" w:sz="4" w:space="0" w:color="auto"/>
              <w:left w:val="nil"/>
              <w:bottom w:val="double" w:sz="4" w:space="0" w:color="auto"/>
              <w:right w:val="nil"/>
            </w:tcBorders>
            <w:vAlign w:val="center"/>
          </w:tcPr>
          <w:p w14:paraId="23745924" w14:textId="2FC50D4A" w:rsidR="00D1581D" w:rsidRPr="006D56BD" w:rsidRDefault="00E00EA4" w:rsidP="00D1581D">
            <w:pPr>
              <w:ind w:right="130"/>
              <w:jc w:val="right"/>
              <w:rPr>
                <w:sz w:val="22"/>
                <w:szCs w:val="22"/>
              </w:rPr>
            </w:pPr>
            <w:r>
              <w:rPr>
                <w:sz w:val="22"/>
                <w:szCs w:val="22"/>
              </w:rPr>
              <w:t>154,092</w:t>
            </w:r>
          </w:p>
        </w:tc>
        <w:tc>
          <w:tcPr>
            <w:tcW w:w="1453" w:type="dxa"/>
            <w:tcBorders>
              <w:top w:val="single" w:sz="4" w:space="0" w:color="auto"/>
              <w:left w:val="nil"/>
              <w:bottom w:val="double" w:sz="4" w:space="0" w:color="auto"/>
              <w:right w:val="nil"/>
            </w:tcBorders>
            <w:noWrap/>
            <w:tcMar>
              <w:top w:w="15" w:type="dxa"/>
              <w:left w:w="15" w:type="dxa"/>
              <w:bottom w:w="0" w:type="dxa"/>
              <w:right w:w="15" w:type="dxa"/>
            </w:tcMar>
            <w:vAlign w:val="center"/>
          </w:tcPr>
          <w:p w14:paraId="418C8BFA" w14:textId="3DD21C8E" w:rsidR="00D1581D" w:rsidRPr="00C40661" w:rsidRDefault="00D1581D" w:rsidP="00D1581D">
            <w:pPr>
              <w:ind w:right="130"/>
              <w:jc w:val="right"/>
              <w:rPr>
                <w:rFonts w:eastAsia="Arial Unicode MS"/>
                <w:sz w:val="22"/>
                <w:szCs w:val="22"/>
              </w:rPr>
            </w:pPr>
            <w:r>
              <w:rPr>
                <w:sz w:val="22"/>
                <w:szCs w:val="22"/>
              </w:rPr>
              <w:t>894,325</w:t>
            </w:r>
          </w:p>
        </w:tc>
      </w:tr>
    </w:tbl>
    <w:p w14:paraId="609656F9" w14:textId="77777777" w:rsidR="00A12B6A" w:rsidRDefault="00A12B6A" w:rsidP="00A12B6A">
      <w:pPr>
        <w:jc w:val="both"/>
        <w:rPr>
          <w:sz w:val="22"/>
          <w:szCs w:val="22"/>
        </w:rPr>
      </w:pPr>
    </w:p>
    <w:p w14:paraId="521D6EDC" w14:textId="77777777" w:rsidR="00346F33" w:rsidRDefault="00346F33" w:rsidP="00A12B6A">
      <w:pPr>
        <w:jc w:val="both"/>
        <w:rPr>
          <w:sz w:val="22"/>
          <w:szCs w:val="22"/>
        </w:rPr>
      </w:pPr>
    </w:p>
    <w:p w14:paraId="0C6B7DEC" w14:textId="3B6FEA2C" w:rsidR="00346F33" w:rsidRDefault="00346F33" w:rsidP="00346F33">
      <w:pPr>
        <w:pStyle w:val="BodyText2"/>
        <w:rPr>
          <w:sz w:val="22"/>
          <w:szCs w:val="22"/>
        </w:rPr>
      </w:pPr>
      <w:r>
        <w:rPr>
          <w:sz w:val="22"/>
          <w:szCs w:val="22"/>
        </w:rPr>
        <w:t xml:space="preserve">The loss of the parent company for the </w:t>
      </w:r>
      <w:r w:rsidR="00FA128B">
        <w:rPr>
          <w:sz w:val="22"/>
          <w:szCs w:val="22"/>
        </w:rPr>
        <w:t xml:space="preserve">year </w:t>
      </w:r>
      <w:r>
        <w:rPr>
          <w:sz w:val="22"/>
          <w:szCs w:val="22"/>
        </w:rPr>
        <w:t>was £</w:t>
      </w:r>
      <w:r w:rsidR="00B552B8">
        <w:rPr>
          <w:sz w:val="22"/>
          <w:szCs w:val="22"/>
        </w:rPr>
        <w:t>810,233</w:t>
      </w:r>
      <w:r>
        <w:rPr>
          <w:sz w:val="22"/>
          <w:szCs w:val="22"/>
        </w:rPr>
        <w:t xml:space="preserve"> (</w:t>
      </w:r>
      <w:r w:rsidR="00FA128B">
        <w:rPr>
          <w:sz w:val="22"/>
          <w:szCs w:val="22"/>
        </w:rPr>
        <w:t>10-Month period</w:t>
      </w:r>
      <w:r w:rsidR="00A94AC9">
        <w:rPr>
          <w:sz w:val="22"/>
          <w:szCs w:val="22"/>
        </w:rPr>
        <w:t xml:space="preserve"> to </w:t>
      </w:r>
      <w:r w:rsidR="00FA128B">
        <w:rPr>
          <w:sz w:val="22"/>
          <w:szCs w:val="22"/>
        </w:rPr>
        <w:t>31 December</w:t>
      </w:r>
      <w:r w:rsidR="00796B15">
        <w:rPr>
          <w:sz w:val="22"/>
          <w:szCs w:val="22"/>
        </w:rPr>
        <w:t xml:space="preserve"> 2019</w:t>
      </w:r>
      <w:r>
        <w:rPr>
          <w:sz w:val="22"/>
          <w:szCs w:val="22"/>
        </w:rPr>
        <w:t xml:space="preserve"> - £</w:t>
      </w:r>
      <w:r w:rsidR="00FA128B">
        <w:rPr>
          <w:sz w:val="22"/>
          <w:szCs w:val="22"/>
        </w:rPr>
        <w:t>591,347</w:t>
      </w:r>
      <w:r>
        <w:rPr>
          <w:sz w:val="22"/>
          <w:szCs w:val="22"/>
        </w:rPr>
        <w:t xml:space="preserve">). </w:t>
      </w:r>
    </w:p>
    <w:p w14:paraId="4E32C2E4" w14:textId="77777777" w:rsidR="00346F33" w:rsidRPr="00C40661" w:rsidRDefault="00346F33" w:rsidP="00A12B6A">
      <w:pPr>
        <w:jc w:val="both"/>
        <w:rPr>
          <w:sz w:val="22"/>
          <w:szCs w:val="22"/>
        </w:rPr>
      </w:pPr>
    </w:p>
    <w:p w14:paraId="029381B3" w14:textId="73456D68" w:rsidR="00A12B6A" w:rsidRPr="00C40661" w:rsidRDefault="00A12B6A" w:rsidP="00A12B6A">
      <w:pPr>
        <w:pStyle w:val="BodyText2"/>
        <w:rPr>
          <w:sz w:val="22"/>
          <w:szCs w:val="22"/>
        </w:rPr>
      </w:pPr>
      <w:r w:rsidRPr="00C40661">
        <w:rPr>
          <w:sz w:val="22"/>
          <w:szCs w:val="22"/>
        </w:rPr>
        <w:t xml:space="preserve">These financial statements were approved and authorised for issue by the Board of </w:t>
      </w:r>
      <w:r w:rsidRPr="00E43ECC">
        <w:rPr>
          <w:sz w:val="22"/>
          <w:szCs w:val="22"/>
        </w:rPr>
        <w:t xml:space="preserve">Directors </w:t>
      </w:r>
      <w:r w:rsidRPr="00D80E25">
        <w:rPr>
          <w:sz w:val="22"/>
          <w:szCs w:val="22"/>
        </w:rPr>
        <w:t xml:space="preserve">on </w:t>
      </w:r>
      <w:r w:rsidR="006B7D04" w:rsidRPr="00D80E25">
        <w:rPr>
          <w:sz w:val="22"/>
          <w:szCs w:val="22"/>
        </w:rPr>
        <w:t>28</w:t>
      </w:r>
      <w:r w:rsidR="00FA128B" w:rsidRPr="00D80E25">
        <w:rPr>
          <w:sz w:val="22"/>
          <w:szCs w:val="22"/>
        </w:rPr>
        <w:t xml:space="preserve"> </w:t>
      </w:r>
      <w:r w:rsidR="007D061B" w:rsidRPr="00D80E25">
        <w:rPr>
          <w:sz w:val="22"/>
          <w:szCs w:val="22"/>
        </w:rPr>
        <w:t>April</w:t>
      </w:r>
      <w:r w:rsidR="00BF56B7" w:rsidRPr="00D80E25">
        <w:rPr>
          <w:sz w:val="22"/>
          <w:szCs w:val="22"/>
        </w:rPr>
        <w:t xml:space="preserve"> </w:t>
      </w:r>
      <w:r w:rsidR="00BE5BE8" w:rsidRPr="00D80E25">
        <w:rPr>
          <w:sz w:val="22"/>
          <w:szCs w:val="22"/>
        </w:rPr>
        <w:t>202</w:t>
      </w:r>
      <w:r w:rsidR="00FA128B" w:rsidRPr="00D80E25">
        <w:rPr>
          <w:sz w:val="22"/>
          <w:szCs w:val="22"/>
        </w:rPr>
        <w:t>1</w:t>
      </w:r>
      <w:r w:rsidRPr="00D80E25">
        <w:rPr>
          <w:sz w:val="22"/>
          <w:szCs w:val="22"/>
        </w:rPr>
        <w:t>.</w:t>
      </w:r>
    </w:p>
    <w:p w14:paraId="6FE37170" w14:textId="77777777" w:rsidR="00A12B6A" w:rsidRDefault="00A12B6A" w:rsidP="00A12B6A">
      <w:pPr>
        <w:pStyle w:val="BodyText2"/>
        <w:rPr>
          <w:sz w:val="22"/>
          <w:szCs w:val="22"/>
        </w:rPr>
      </w:pPr>
    </w:p>
    <w:p w14:paraId="0383C57D" w14:textId="795CCF71" w:rsidR="0088485F" w:rsidRDefault="0088485F" w:rsidP="00A12B6A">
      <w:pPr>
        <w:pStyle w:val="BodyText2"/>
        <w:rPr>
          <w:sz w:val="22"/>
          <w:szCs w:val="22"/>
        </w:rPr>
      </w:pPr>
    </w:p>
    <w:p w14:paraId="788F1A75" w14:textId="77777777" w:rsidR="005817CF" w:rsidRPr="00C40661" w:rsidRDefault="005817CF" w:rsidP="00A12B6A">
      <w:pPr>
        <w:pStyle w:val="BodyText2"/>
        <w:rPr>
          <w:sz w:val="22"/>
          <w:szCs w:val="22"/>
        </w:rPr>
      </w:pPr>
    </w:p>
    <w:p w14:paraId="713BF0E6" w14:textId="77777777" w:rsidR="00A12B6A" w:rsidRPr="00C40661" w:rsidRDefault="00A12B6A" w:rsidP="00A12B6A">
      <w:pPr>
        <w:pStyle w:val="BodyText2"/>
        <w:rPr>
          <w:sz w:val="22"/>
          <w:szCs w:val="22"/>
        </w:rPr>
      </w:pPr>
    </w:p>
    <w:p w14:paraId="23959301" w14:textId="77777777" w:rsidR="00A12B6A" w:rsidRPr="00F55F6F" w:rsidRDefault="00A12B6A" w:rsidP="00A12B6A">
      <w:pPr>
        <w:pStyle w:val="Heading7"/>
        <w:rPr>
          <w:sz w:val="22"/>
          <w:szCs w:val="22"/>
        </w:rPr>
      </w:pPr>
      <w:r w:rsidRPr="00F55F6F">
        <w:rPr>
          <w:sz w:val="22"/>
          <w:szCs w:val="22"/>
        </w:rPr>
        <w:t>Signed on behalf of the Board of Directors</w:t>
      </w:r>
    </w:p>
    <w:p w14:paraId="3C35531F" w14:textId="39EE00B4" w:rsidR="00A12B6A" w:rsidRPr="00F55F6F" w:rsidRDefault="003103D0" w:rsidP="00A12B6A">
      <w:pPr>
        <w:jc w:val="both"/>
        <w:rPr>
          <w:b/>
          <w:sz w:val="22"/>
          <w:szCs w:val="22"/>
        </w:rPr>
      </w:pPr>
      <w:r>
        <w:rPr>
          <w:b/>
          <w:sz w:val="22"/>
          <w:szCs w:val="22"/>
        </w:rPr>
        <w:t>Rolf Gerritsen</w:t>
      </w:r>
    </w:p>
    <w:p w14:paraId="64C2AA38" w14:textId="77777777" w:rsidR="00A12B6A" w:rsidRPr="00C40661" w:rsidRDefault="00A12B6A" w:rsidP="00A12B6A">
      <w:pPr>
        <w:pStyle w:val="Heading7"/>
        <w:rPr>
          <w:sz w:val="22"/>
          <w:szCs w:val="22"/>
        </w:rPr>
      </w:pPr>
      <w:r w:rsidRPr="00F55F6F">
        <w:rPr>
          <w:sz w:val="22"/>
          <w:szCs w:val="22"/>
        </w:rPr>
        <w:t>Director</w:t>
      </w:r>
    </w:p>
    <w:p w14:paraId="1B091E02" w14:textId="77777777" w:rsidR="00A12B6A" w:rsidRPr="00C40661" w:rsidRDefault="00A12B6A" w:rsidP="00A12B6A">
      <w:pPr>
        <w:jc w:val="both"/>
        <w:rPr>
          <w:sz w:val="22"/>
          <w:szCs w:val="22"/>
        </w:rPr>
      </w:pPr>
    </w:p>
    <w:p w14:paraId="47D0E946" w14:textId="77777777" w:rsidR="00A12B6A" w:rsidRPr="00C40661" w:rsidRDefault="00A12B6A" w:rsidP="00A12B6A">
      <w:pPr>
        <w:pStyle w:val="Heading7"/>
        <w:rPr>
          <w:sz w:val="22"/>
          <w:szCs w:val="22"/>
        </w:rPr>
      </w:pPr>
      <w:r w:rsidRPr="00C40661">
        <w:rPr>
          <w:sz w:val="22"/>
          <w:szCs w:val="22"/>
        </w:rPr>
        <w:t>Company No. 5285814</w:t>
      </w:r>
    </w:p>
    <w:p w14:paraId="34920543" w14:textId="77777777" w:rsidR="0077396B" w:rsidRPr="0077396B" w:rsidRDefault="0077396B" w:rsidP="0077396B">
      <w:pPr>
        <w:rPr>
          <w:sz w:val="22"/>
          <w:szCs w:val="22"/>
        </w:rPr>
        <w:sectPr w:rsidR="0077396B" w:rsidRPr="0077396B" w:rsidSect="002E4AA5">
          <w:headerReference w:type="first" r:id="rId27"/>
          <w:pgSz w:w="11909" w:h="16834" w:code="9"/>
          <w:pgMar w:top="567" w:right="936" w:bottom="720" w:left="936" w:header="706" w:footer="706" w:gutter="0"/>
          <w:cols w:space="720"/>
          <w:titlePg/>
        </w:sectPr>
      </w:pPr>
    </w:p>
    <w:p w14:paraId="252F32EE" w14:textId="10C1E337" w:rsidR="007623F0" w:rsidRPr="0077396B" w:rsidRDefault="00575FE8">
      <w:pPr>
        <w:jc w:val="center"/>
        <w:rPr>
          <w:b/>
          <w:sz w:val="32"/>
          <w:szCs w:val="32"/>
        </w:rPr>
      </w:pPr>
      <w:r>
        <w:rPr>
          <w:b/>
          <w:sz w:val="32"/>
          <w:szCs w:val="32"/>
        </w:rPr>
        <w:t>MetalNRG</w:t>
      </w:r>
      <w:r w:rsidR="007623F0" w:rsidRPr="0077396B">
        <w:rPr>
          <w:b/>
          <w:sz w:val="32"/>
          <w:szCs w:val="32"/>
        </w:rPr>
        <w:t xml:space="preserve"> plc</w:t>
      </w:r>
    </w:p>
    <w:p w14:paraId="1EC1A948" w14:textId="77777777" w:rsidR="007623F0" w:rsidRPr="0077396B" w:rsidRDefault="007623F0">
      <w:pPr>
        <w:pStyle w:val="xl25"/>
        <w:overflowPunct w:val="0"/>
        <w:autoSpaceDE w:val="0"/>
        <w:autoSpaceDN w:val="0"/>
        <w:adjustRightInd w:val="0"/>
        <w:spacing w:before="0" w:beforeAutospacing="0" w:after="0" w:afterAutospacing="0"/>
        <w:textAlignment w:val="baseline"/>
        <w:rPr>
          <w:rFonts w:eastAsia="Times New Roman"/>
          <w:bCs w:val="0"/>
          <w:sz w:val="22"/>
          <w:szCs w:val="22"/>
          <w:lang w:val="en-GB"/>
        </w:rPr>
      </w:pPr>
    </w:p>
    <w:p w14:paraId="0687FA50" w14:textId="77777777" w:rsidR="007623F0" w:rsidRPr="00C40661" w:rsidRDefault="007623F0">
      <w:pPr>
        <w:pStyle w:val="Heading2"/>
        <w:rPr>
          <w:sz w:val="22"/>
          <w:szCs w:val="22"/>
        </w:rPr>
      </w:pPr>
      <w:r w:rsidRPr="00C40661">
        <w:rPr>
          <w:sz w:val="22"/>
          <w:szCs w:val="22"/>
        </w:rPr>
        <w:t>CONSOLIDATED STATEMENT OF CHANGES IN EQUITY</w:t>
      </w:r>
    </w:p>
    <w:p w14:paraId="299A89A8" w14:textId="77777777" w:rsidR="007623F0" w:rsidRPr="00C40661" w:rsidRDefault="007623F0">
      <w:pPr>
        <w:jc w:val="center"/>
        <w:rPr>
          <w:b/>
          <w:sz w:val="22"/>
          <w:szCs w:val="22"/>
        </w:rPr>
      </w:pPr>
    </w:p>
    <w:p w14:paraId="289FCD85" w14:textId="26F421DB" w:rsidR="007623F0" w:rsidRPr="00C40661" w:rsidRDefault="007623F0">
      <w:pPr>
        <w:jc w:val="center"/>
        <w:rPr>
          <w:b/>
          <w:sz w:val="22"/>
          <w:szCs w:val="22"/>
        </w:rPr>
      </w:pPr>
      <w:r w:rsidRPr="00C40661">
        <w:rPr>
          <w:b/>
          <w:sz w:val="22"/>
          <w:szCs w:val="22"/>
        </w:rPr>
        <w:t xml:space="preserve">FOR THE </w:t>
      </w:r>
      <w:r w:rsidR="008154F8">
        <w:rPr>
          <w:b/>
          <w:sz w:val="22"/>
          <w:szCs w:val="22"/>
        </w:rPr>
        <w:t>YEAR</w:t>
      </w:r>
      <w:r w:rsidRPr="00C40661">
        <w:rPr>
          <w:b/>
          <w:sz w:val="22"/>
          <w:szCs w:val="22"/>
        </w:rPr>
        <w:t xml:space="preserve"> ENDED </w:t>
      </w:r>
      <w:r w:rsidR="0019593F">
        <w:rPr>
          <w:b/>
          <w:sz w:val="22"/>
          <w:szCs w:val="22"/>
        </w:rPr>
        <w:t xml:space="preserve">31 DECEMBER </w:t>
      </w:r>
      <w:r w:rsidR="008154F8">
        <w:rPr>
          <w:b/>
          <w:sz w:val="22"/>
          <w:szCs w:val="22"/>
        </w:rPr>
        <w:t>2020</w:t>
      </w:r>
    </w:p>
    <w:p w14:paraId="159C38D7" w14:textId="77777777" w:rsidR="007623F0" w:rsidRPr="00C40661" w:rsidRDefault="007623F0">
      <w:pPr>
        <w:jc w:val="center"/>
        <w:rPr>
          <w:sz w:val="22"/>
          <w:szCs w:val="22"/>
        </w:rPr>
      </w:pPr>
      <w:r w:rsidRPr="00C40661">
        <w:rPr>
          <w:sz w:val="22"/>
          <w:szCs w:val="22"/>
        </w:rPr>
        <w:t xml:space="preserve"> </w:t>
      </w:r>
    </w:p>
    <w:tbl>
      <w:tblPr>
        <w:tblW w:w="5051" w:type="pct"/>
        <w:tblLayout w:type="fixed"/>
        <w:tblCellMar>
          <w:left w:w="0" w:type="dxa"/>
          <w:right w:w="0" w:type="dxa"/>
        </w:tblCellMar>
        <w:tblLook w:val="0000" w:firstRow="0" w:lastRow="0" w:firstColumn="0" w:lastColumn="0" w:noHBand="0" w:noVBand="0"/>
      </w:tblPr>
      <w:tblGrid>
        <w:gridCol w:w="2405"/>
        <w:gridCol w:w="1830"/>
        <w:gridCol w:w="1172"/>
        <w:gridCol w:w="1975"/>
        <w:gridCol w:w="1550"/>
        <w:gridCol w:w="1133"/>
      </w:tblGrid>
      <w:tr w:rsidR="0050377A" w:rsidRPr="00C40661" w14:paraId="6D91B3EA"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253D5B8F" w14:textId="77777777" w:rsidR="006033E7" w:rsidRPr="00C40661" w:rsidRDefault="006033E7">
            <w:pPr>
              <w:rPr>
                <w:rFonts w:eastAsia="Arial Unicode MS"/>
                <w:sz w:val="22"/>
                <w:szCs w:val="22"/>
              </w:rPr>
            </w:pPr>
          </w:p>
        </w:tc>
        <w:tc>
          <w:tcPr>
            <w:tcW w:w="909" w:type="pct"/>
            <w:tcBorders>
              <w:top w:val="nil"/>
              <w:left w:val="nil"/>
              <w:bottom w:val="nil"/>
              <w:right w:val="nil"/>
            </w:tcBorders>
            <w:noWrap/>
            <w:tcMar>
              <w:top w:w="15" w:type="dxa"/>
              <w:left w:w="15" w:type="dxa"/>
              <w:bottom w:w="0" w:type="dxa"/>
              <w:right w:w="15" w:type="dxa"/>
            </w:tcMar>
            <w:vAlign w:val="bottom"/>
          </w:tcPr>
          <w:p w14:paraId="3DEE536B" w14:textId="77777777" w:rsidR="006033E7" w:rsidRPr="00C40661" w:rsidRDefault="006033E7" w:rsidP="00656716">
            <w:pPr>
              <w:jc w:val="right"/>
              <w:rPr>
                <w:rFonts w:eastAsia="Arial Unicode MS"/>
                <w:b/>
                <w:bCs/>
                <w:sz w:val="22"/>
                <w:szCs w:val="22"/>
              </w:rPr>
            </w:pPr>
            <w:r w:rsidRPr="00C40661">
              <w:rPr>
                <w:b/>
                <w:bCs/>
                <w:sz w:val="22"/>
                <w:szCs w:val="22"/>
              </w:rPr>
              <w:t>Share</w:t>
            </w:r>
          </w:p>
        </w:tc>
        <w:tc>
          <w:tcPr>
            <w:tcW w:w="582" w:type="pct"/>
            <w:tcBorders>
              <w:top w:val="nil"/>
              <w:left w:val="nil"/>
              <w:bottom w:val="nil"/>
              <w:right w:val="nil"/>
            </w:tcBorders>
            <w:noWrap/>
            <w:tcMar>
              <w:top w:w="15" w:type="dxa"/>
              <w:left w:w="15" w:type="dxa"/>
              <w:bottom w:w="0" w:type="dxa"/>
              <w:right w:w="15" w:type="dxa"/>
            </w:tcMar>
            <w:vAlign w:val="bottom"/>
          </w:tcPr>
          <w:p w14:paraId="7B02FADF" w14:textId="77777777" w:rsidR="006033E7" w:rsidRPr="00C40661" w:rsidRDefault="006033E7" w:rsidP="00656716">
            <w:pPr>
              <w:jc w:val="right"/>
              <w:rPr>
                <w:rFonts w:eastAsia="Arial Unicode MS"/>
                <w:b/>
                <w:bCs/>
                <w:sz w:val="22"/>
                <w:szCs w:val="22"/>
              </w:rPr>
            </w:pPr>
            <w:r w:rsidRPr="00C40661">
              <w:rPr>
                <w:b/>
                <w:bCs/>
                <w:sz w:val="22"/>
                <w:szCs w:val="22"/>
              </w:rPr>
              <w:t>Share</w:t>
            </w:r>
          </w:p>
        </w:tc>
        <w:tc>
          <w:tcPr>
            <w:tcW w:w="981" w:type="pct"/>
            <w:tcBorders>
              <w:top w:val="nil"/>
              <w:left w:val="nil"/>
              <w:bottom w:val="nil"/>
              <w:right w:val="nil"/>
            </w:tcBorders>
            <w:noWrap/>
            <w:tcMar>
              <w:top w:w="15" w:type="dxa"/>
              <w:left w:w="15" w:type="dxa"/>
              <w:bottom w:w="0" w:type="dxa"/>
              <w:right w:w="15" w:type="dxa"/>
            </w:tcMar>
            <w:vAlign w:val="bottom"/>
          </w:tcPr>
          <w:p w14:paraId="2BB6A46C" w14:textId="7A9F7AC9" w:rsidR="006033E7" w:rsidRPr="00C40661" w:rsidRDefault="006033E7" w:rsidP="00656716">
            <w:pPr>
              <w:jc w:val="right"/>
              <w:rPr>
                <w:rFonts w:eastAsia="Arial Unicode MS"/>
                <w:b/>
                <w:bCs/>
                <w:sz w:val="22"/>
                <w:szCs w:val="22"/>
              </w:rPr>
            </w:pPr>
            <w:r w:rsidRPr="00C40661">
              <w:rPr>
                <w:b/>
                <w:bCs/>
                <w:sz w:val="22"/>
                <w:szCs w:val="22"/>
              </w:rPr>
              <w:t>Profit and</w:t>
            </w:r>
          </w:p>
        </w:tc>
        <w:tc>
          <w:tcPr>
            <w:tcW w:w="770" w:type="pct"/>
            <w:tcBorders>
              <w:top w:val="nil"/>
              <w:left w:val="nil"/>
              <w:bottom w:val="nil"/>
              <w:right w:val="nil"/>
            </w:tcBorders>
            <w:noWrap/>
            <w:tcMar>
              <w:top w:w="15" w:type="dxa"/>
              <w:left w:w="15" w:type="dxa"/>
              <w:bottom w:w="0" w:type="dxa"/>
              <w:right w:w="15" w:type="dxa"/>
            </w:tcMar>
            <w:vAlign w:val="bottom"/>
          </w:tcPr>
          <w:p w14:paraId="4810E339" w14:textId="77777777" w:rsidR="006033E7" w:rsidRPr="00C40661" w:rsidRDefault="006033E7" w:rsidP="00656716">
            <w:pPr>
              <w:jc w:val="right"/>
              <w:rPr>
                <w:rFonts w:eastAsia="Arial Unicode MS"/>
                <w:b/>
                <w:bCs/>
                <w:sz w:val="22"/>
                <w:szCs w:val="22"/>
              </w:rPr>
            </w:pPr>
            <w:r w:rsidRPr="00C40661">
              <w:rPr>
                <w:b/>
                <w:bCs/>
                <w:sz w:val="22"/>
                <w:szCs w:val="22"/>
              </w:rPr>
              <w:t>Foreign</w:t>
            </w:r>
          </w:p>
        </w:tc>
        <w:tc>
          <w:tcPr>
            <w:tcW w:w="563" w:type="pct"/>
            <w:tcBorders>
              <w:top w:val="nil"/>
              <w:left w:val="nil"/>
              <w:bottom w:val="nil"/>
              <w:right w:val="nil"/>
            </w:tcBorders>
            <w:noWrap/>
            <w:tcMar>
              <w:top w:w="15" w:type="dxa"/>
              <w:left w:w="15" w:type="dxa"/>
              <w:bottom w:w="0" w:type="dxa"/>
              <w:right w:w="15" w:type="dxa"/>
            </w:tcMar>
            <w:vAlign w:val="bottom"/>
          </w:tcPr>
          <w:p w14:paraId="540F648F" w14:textId="77777777" w:rsidR="006033E7" w:rsidRPr="00C40661" w:rsidRDefault="006033E7" w:rsidP="00656716">
            <w:pPr>
              <w:jc w:val="right"/>
              <w:rPr>
                <w:rFonts w:eastAsia="Arial Unicode MS"/>
                <w:b/>
                <w:bCs/>
                <w:sz w:val="22"/>
                <w:szCs w:val="22"/>
              </w:rPr>
            </w:pPr>
            <w:r w:rsidRPr="00C40661">
              <w:rPr>
                <w:b/>
                <w:bCs/>
                <w:sz w:val="22"/>
                <w:szCs w:val="22"/>
              </w:rPr>
              <w:t>Total</w:t>
            </w:r>
          </w:p>
        </w:tc>
      </w:tr>
      <w:tr w:rsidR="0050377A" w:rsidRPr="00C40661" w14:paraId="0AAF08BB"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09AFFC6A" w14:textId="77777777" w:rsidR="006033E7" w:rsidRPr="00C40661" w:rsidRDefault="006033E7">
            <w:pPr>
              <w:rPr>
                <w:rFonts w:eastAsia="Arial Unicode MS"/>
                <w:sz w:val="22"/>
                <w:szCs w:val="22"/>
              </w:rPr>
            </w:pPr>
            <w:r w:rsidRPr="00C40661">
              <w:rPr>
                <w:b/>
                <w:bCs/>
                <w:sz w:val="22"/>
                <w:szCs w:val="22"/>
              </w:rPr>
              <w:t xml:space="preserve"> </w:t>
            </w:r>
          </w:p>
        </w:tc>
        <w:tc>
          <w:tcPr>
            <w:tcW w:w="909" w:type="pct"/>
            <w:tcBorders>
              <w:top w:val="nil"/>
              <w:left w:val="nil"/>
              <w:bottom w:val="nil"/>
              <w:right w:val="nil"/>
            </w:tcBorders>
            <w:noWrap/>
            <w:tcMar>
              <w:top w:w="15" w:type="dxa"/>
              <w:left w:w="15" w:type="dxa"/>
              <w:bottom w:w="0" w:type="dxa"/>
              <w:right w:w="15" w:type="dxa"/>
            </w:tcMar>
            <w:vAlign w:val="bottom"/>
          </w:tcPr>
          <w:p w14:paraId="3F733145" w14:textId="77777777" w:rsidR="006033E7" w:rsidRPr="00C40661" w:rsidRDefault="006033E7" w:rsidP="00656716">
            <w:pPr>
              <w:jc w:val="right"/>
              <w:rPr>
                <w:rFonts w:eastAsia="Arial Unicode MS"/>
                <w:b/>
                <w:bCs/>
                <w:sz w:val="22"/>
                <w:szCs w:val="22"/>
              </w:rPr>
            </w:pPr>
            <w:r w:rsidRPr="00C40661">
              <w:rPr>
                <w:b/>
                <w:bCs/>
                <w:sz w:val="22"/>
                <w:szCs w:val="22"/>
              </w:rPr>
              <w:t>capital</w:t>
            </w:r>
          </w:p>
        </w:tc>
        <w:tc>
          <w:tcPr>
            <w:tcW w:w="582" w:type="pct"/>
            <w:tcBorders>
              <w:top w:val="nil"/>
              <w:left w:val="nil"/>
              <w:bottom w:val="nil"/>
              <w:right w:val="nil"/>
            </w:tcBorders>
            <w:noWrap/>
            <w:tcMar>
              <w:top w:w="15" w:type="dxa"/>
              <w:left w:w="15" w:type="dxa"/>
              <w:bottom w:w="0" w:type="dxa"/>
              <w:right w:w="15" w:type="dxa"/>
            </w:tcMar>
            <w:vAlign w:val="bottom"/>
          </w:tcPr>
          <w:p w14:paraId="4135F7D6" w14:textId="77777777" w:rsidR="006033E7" w:rsidRPr="00C40661" w:rsidRDefault="006033E7" w:rsidP="00656716">
            <w:pPr>
              <w:jc w:val="right"/>
              <w:rPr>
                <w:rFonts w:eastAsia="Arial Unicode MS"/>
                <w:b/>
                <w:bCs/>
                <w:sz w:val="22"/>
                <w:szCs w:val="22"/>
              </w:rPr>
            </w:pPr>
            <w:r w:rsidRPr="00C40661">
              <w:rPr>
                <w:b/>
                <w:bCs/>
                <w:sz w:val="22"/>
                <w:szCs w:val="22"/>
              </w:rPr>
              <w:t>premium</w:t>
            </w:r>
          </w:p>
        </w:tc>
        <w:tc>
          <w:tcPr>
            <w:tcW w:w="981" w:type="pct"/>
            <w:tcBorders>
              <w:top w:val="nil"/>
              <w:left w:val="nil"/>
              <w:bottom w:val="nil"/>
              <w:right w:val="nil"/>
            </w:tcBorders>
            <w:noWrap/>
            <w:tcMar>
              <w:top w:w="15" w:type="dxa"/>
              <w:left w:w="15" w:type="dxa"/>
              <w:bottom w:w="0" w:type="dxa"/>
              <w:right w:w="15" w:type="dxa"/>
            </w:tcMar>
            <w:vAlign w:val="bottom"/>
          </w:tcPr>
          <w:p w14:paraId="797DAEE2" w14:textId="6B9F5E12" w:rsidR="006033E7" w:rsidRPr="00C40661" w:rsidRDefault="006033E7" w:rsidP="00656716">
            <w:pPr>
              <w:jc w:val="right"/>
              <w:rPr>
                <w:rFonts w:eastAsia="Arial Unicode MS"/>
                <w:b/>
                <w:bCs/>
                <w:sz w:val="22"/>
                <w:szCs w:val="22"/>
              </w:rPr>
            </w:pPr>
            <w:r w:rsidRPr="00C40661">
              <w:rPr>
                <w:b/>
                <w:bCs/>
                <w:sz w:val="22"/>
                <w:szCs w:val="22"/>
              </w:rPr>
              <w:t>loss</w:t>
            </w:r>
          </w:p>
        </w:tc>
        <w:tc>
          <w:tcPr>
            <w:tcW w:w="770" w:type="pct"/>
            <w:tcBorders>
              <w:top w:val="nil"/>
              <w:left w:val="nil"/>
              <w:bottom w:val="nil"/>
              <w:right w:val="nil"/>
            </w:tcBorders>
            <w:noWrap/>
            <w:tcMar>
              <w:top w:w="15" w:type="dxa"/>
              <w:left w:w="15" w:type="dxa"/>
              <w:bottom w:w="0" w:type="dxa"/>
              <w:right w:w="15" w:type="dxa"/>
            </w:tcMar>
            <w:vAlign w:val="bottom"/>
          </w:tcPr>
          <w:p w14:paraId="6EACCC4A" w14:textId="77777777" w:rsidR="006033E7" w:rsidRPr="00C40661" w:rsidRDefault="006033E7" w:rsidP="00656716">
            <w:pPr>
              <w:jc w:val="right"/>
              <w:rPr>
                <w:rFonts w:eastAsia="Arial Unicode MS"/>
                <w:b/>
                <w:bCs/>
                <w:sz w:val="22"/>
                <w:szCs w:val="22"/>
              </w:rPr>
            </w:pPr>
            <w:r w:rsidRPr="00C40661">
              <w:rPr>
                <w:b/>
                <w:bCs/>
                <w:sz w:val="22"/>
                <w:szCs w:val="22"/>
              </w:rPr>
              <w:t>currency</w:t>
            </w:r>
          </w:p>
        </w:tc>
        <w:tc>
          <w:tcPr>
            <w:tcW w:w="563" w:type="pct"/>
            <w:tcBorders>
              <w:top w:val="nil"/>
              <w:left w:val="nil"/>
              <w:bottom w:val="nil"/>
              <w:right w:val="nil"/>
            </w:tcBorders>
            <w:noWrap/>
            <w:tcMar>
              <w:top w:w="15" w:type="dxa"/>
              <w:left w:w="15" w:type="dxa"/>
              <w:bottom w:w="0" w:type="dxa"/>
              <w:right w:w="15" w:type="dxa"/>
            </w:tcMar>
            <w:vAlign w:val="bottom"/>
          </w:tcPr>
          <w:p w14:paraId="3C14F2AF" w14:textId="77777777" w:rsidR="006033E7" w:rsidRPr="00C40661" w:rsidRDefault="006033E7" w:rsidP="00656716">
            <w:pPr>
              <w:jc w:val="right"/>
              <w:rPr>
                <w:rFonts w:eastAsia="Arial Unicode MS"/>
                <w:b/>
                <w:bCs/>
                <w:sz w:val="22"/>
                <w:szCs w:val="22"/>
              </w:rPr>
            </w:pPr>
          </w:p>
        </w:tc>
      </w:tr>
      <w:tr w:rsidR="0050377A" w:rsidRPr="00C40661" w14:paraId="1688AB7D"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77EEA9A6" w14:textId="77777777" w:rsidR="006033E7" w:rsidRPr="00C40661" w:rsidRDefault="006033E7">
            <w:pPr>
              <w:rPr>
                <w:rFonts w:eastAsia="Arial Unicode MS"/>
                <w:sz w:val="22"/>
                <w:szCs w:val="22"/>
              </w:rPr>
            </w:pPr>
          </w:p>
        </w:tc>
        <w:tc>
          <w:tcPr>
            <w:tcW w:w="909" w:type="pct"/>
            <w:tcBorders>
              <w:top w:val="nil"/>
              <w:left w:val="nil"/>
              <w:bottom w:val="nil"/>
              <w:right w:val="nil"/>
            </w:tcBorders>
            <w:noWrap/>
            <w:tcMar>
              <w:top w:w="15" w:type="dxa"/>
              <w:left w:w="15" w:type="dxa"/>
              <w:bottom w:w="0" w:type="dxa"/>
              <w:right w:w="15" w:type="dxa"/>
            </w:tcMar>
            <w:vAlign w:val="bottom"/>
          </w:tcPr>
          <w:p w14:paraId="19EF3C98" w14:textId="77777777" w:rsidR="006033E7" w:rsidRPr="00C40661" w:rsidRDefault="006033E7" w:rsidP="00656716">
            <w:pPr>
              <w:jc w:val="right"/>
              <w:rPr>
                <w:rFonts w:eastAsia="Arial Unicode MS"/>
                <w:b/>
                <w:bCs/>
                <w:sz w:val="22"/>
                <w:szCs w:val="22"/>
              </w:rPr>
            </w:pPr>
          </w:p>
        </w:tc>
        <w:tc>
          <w:tcPr>
            <w:tcW w:w="582" w:type="pct"/>
            <w:tcBorders>
              <w:top w:val="nil"/>
              <w:left w:val="nil"/>
              <w:bottom w:val="nil"/>
              <w:right w:val="nil"/>
            </w:tcBorders>
            <w:noWrap/>
            <w:tcMar>
              <w:top w:w="15" w:type="dxa"/>
              <w:left w:w="15" w:type="dxa"/>
              <w:bottom w:w="0" w:type="dxa"/>
              <w:right w:w="15" w:type="dxa"/>
            </w:tcMar>
            <w:vAlign w:val="bottom"/>
          </w:tcPr>
          <w:p w14:paraId="09F44D4B" w14:textId="77777777" w:rsidR="006033E7" w:rsidRPr="00C40661" w:rsidRDefault="006033E7" w:rsidP="00656716">
            <w:pPr>
              <w:jc w:val="right"/>
              <w:rPr>
                <w:rFonts w:eastAsia="Arial Unicode MS"/>
                <w:b/>
                <w:bCs/>
                <w:sz w:val="22"/>
                <w:szCs w:val="22"/>
              </w:rPr>
            </w:pPr>
          </w:p>
        </w:tc>
        <w:tc>
          <w:tcPr>
            <w:tcW w:w="981" w:type="pct"/>
            <w:tcBorders>
              <w:top w:val="nil"/>
              <w:left w:val="nil"/>
              <w:bottom w:val="nil"/>
              <w:right w:val="nil"/>
            </w:tcBorders>
            <w:noWrap/>
            <w:tcMar>
              <w:top w:w="15" w:type="dxa"/>
              <w:left w:w="15" w:type="dxa"/>
              <w:bottom w:w="0" w:type="dxa"/>
              <w:right w:w="15" w:type="dxa"/>
            </w:tcMar>
            <w:vAlign w:val="bottom"/>
          </w:tcPr>
          <w:p w14:paraId="1FD3DF03" w14:textId="0D2EF59A" w:rsidR="006033E7" w:rsidRPr="00C40661" w:rsidRDefault="006033E7" w:rsidP="00656716">
            <w:pPr>
              <w:jc w:val="right"/>
              <w:rPr>
                <w:rFonts w:eastAsia="Arial Unicode MS"/>
                <w:b/>
                <w:bCs/>
                <w:sz w:val="22"/>
                <w:szCs w:val="22"/>
              </w:rPr>
            </w:pPr>
          </w:p>
        </w:tc>
        <w:tc>
          <w:tcPr>
            <w:tcW w:w="770" w:type="pct"/>
            <w:tcBorders>
              <w:top w:val="nil"/>
              <w:left w:val="nil"/>
              <w:bottom w:val="nil"/>
              <w:right w:val="nil"/>
            </w:tcBorders>
            <w:noWrap/>
            <w:tcMar>
              <w:top w:w="15" w:type="dxa"/>
              <w:left w:w="15" w:type="dxa"/>
              <w:bottom w:w="0" w:type="dxa"/>
              <w:right w:w="15" w:type="dxa"/>
            </w:tcMar>
            <w:vAlign w:val="bottom"/>
          </w:tcPr>
          <w:p w14:paraId="2FC08C5D" w14:textId="77777777" w:rsidR="006033E7" w:rsidRPr="00C40661" w:rsidRDefault="006033E7" w:rsidP="00656716">
            <w:pPr>
              <w:jc w:val="right"/>
              <w:rPr>
                <w:rFonts w:eastAsia="Arial Unicode MS"/>
                <w:b/>
                <w:bCs/>
                <w:sz w:val="22"/>
                <w:szCs w:val="22"/>
              </w:rPr>
            </w:pPr>
            <w:r w:rsidRPr="00C40661">
              <w:rPr>
                <w:b/>
                <w:bCs/>
                <w:sz w:val="22"/>
                <w:szCs w:val="22"/>
              </w:rPr>
              <w:t>reserve</w:t>
            </w:r>
          </w:p>
        </w:tc>
        <w:tc>
          <w:tcPr>
            <w:tcW w:w="563" w:type="pct"/>
            <w:tcBorders>
              <w:top w:val="nil"/>
              <w:left w:val="nil"/>
              <w:bottom w:val="nil"/>
              <w:right w:val="nil"/>
            </w:tcBorders>
            <w:noWrap/>
            <w:tcMar>
              <w:top w:w="15" w:type="dxa"/>
              <w:left w:w="15" w:type="dxa"/>
              <w:bottom w:w="0" w:type="dxa"/>
              <w:right w:w="15" w:type="dxa"/>
            </w:tcMar>
            <w:vAlign w:val="bottom"/>
          </w:tcPr>
          <w:p w14:paraId="3BCF309C" w14:textId="77777777" w:rsidR="006033E7" w:rsidRPr="00C40661" w:rsidRDefault="006033E7" w:rsidP="00656716">
            <w:pPr>
              <w:jc w:val="right"/>
              <w:rPr>
                <w:rFonts w:eastAsia="Arial Unicode MS"/>
                <w:b/>
                <w:bCs/>
                <w:sz w:val="22"/>
                <w:szCs w:val="22"/>
              </w:rPr>
            </w:pPr>
          </w:p>
        </w:tc>
      </w:tr>
      <w:tr w:rsidR="0050377A" w:rsidRPr="00C40661" w14:paraId="56251F4B"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1427AA96" w14:textId="77777777" w:rsidR="006033E7" w:rsidRPr="00C40661" w:rsidRDefault="006033E7">
            <w:pPr>
              <w:rPr>
                <w:rFonts w:eastAsia="Arial Unicode MS"/>
                <w:sz w:val="22"/>
                <w:szCs w:val="22"/>
              </w:rPr>
            </w:pPr>
          </w:p>
        </w:tc>
        <w:tc>
          <w:tcPr>
            <w:tcW w:w="909" w:type="pct"/>
            <w:tcBorders>
              <w:top w:val="nil"/>
              <w:left w:val="nil"/>
              <w:bottom w:val="nil"/>
              <w:right w:val="nil"/>
            </w:tcBorders>
            <w:noWrap/>
            <w:tcMar>
              <w:top w:w="15" w:type="dxa"/>
              <w:left w:w="15" w:type="dxa"/>
              <w:bottom w:w="0" w:type="dxa"/>
              <w:right w:w="15" w:type="dxa"/>
            </w:tcMar>
            <w:vAlign w:val="bottom"/>
          </w:tcPr>
          <w:p w14:paraId="50C7FD9B" w14:textId="77777777" w:rsidR="006033E7" w:rsidRPr="00C40661" w:rsidRDefault="006033E7" w:rsidP="00656716">
            <w:pPr>
              <w:jc w:val="right"/>
              <w:rPr>
                <w:rFonts w:eastAsia="Arial Unicode MS"/>
                <w:b/>
                <w:bCs/>
                <w:sz w:val="22"/>
                <w:szCs w:val="22"/>
              </w:rPr>
            </w:pPr>
          </w:p>
        </w:tc>
        <w:tc>
          <w:tcPr>
            <w:tcW w:w="582" w:type="pct"/>
            <w:tcBorders>
              <w:top w:val="nil"/>
              <w:left w:val="nil"/>
              <w:bottom w:val="nil"/>
              <w:right w:val="nil"/>
            </w:tcBorders>
            <w:noWrap/>
            <w:tcMar>
              <w:top w:w="15" w:type="dxa"/>
              <w:left w:w="15" w:type="dxa"/>
              <w:bottom w:w="0" w:type="dxa"/>
              <w:right w:w="15" w:type="dxa"/>
            </w:tcMar>
            <w:vAlign w:val="bottom"/>
          </w:tcPr>
          <w:p w14:paraId="2358F73B" w14:textId="77777777" w:rsidR="006033E7" w:rsidRPr="00C40661" w:rsidRDefault="006033E7" w:rsidP="00656716">
            <w:pPr>
              <w:jc w:val="right"/>
              <w:rPr>
                <w:rFonts w:eastAsia="Arial Unicode MS"/>
                <w:b/>
                <w:bCs/>
                <w:sz w:val="22"/>
                <w:szCs w:val="22"/>
              </w:rPr>
            </w:pPr>
          </w:p>
        </w:tc>
        <w:tc>
          <w:tcPr>
            <w:tcW w:w="981" w:type="pct"/>
            <w:tcBorders>
              <w:top w:val="nil"/>
              <w:left w:val="nil"/>
              <w:bottom w:val="nil"/>
              <w:right w:val="nil"/>
            </w:tcBorders>
            <w:noWrap/>
            <w:tcMar>
              <w:top w:w="15" w:type="dxa"/>
              <w:left w:w="15" w:type="dxa"/>
              <w:bottom w:w="0" w:type="dxa"/>
              <w:right w:w="15" w:type="dxa"/>
            </w:tcMar>
            <w:vAlign w:val="bottom"/>
          </w:tcPr>
          <w:p w14:paraId="5F37B059" w14:textId="15FB4DB2" w:rsidR="006033E7" w:rsidRPr="00C40661" w:rsidRDefault="006033E7" w:rsidP="00656716">
            <w:pPr>
              <w:jc w:val="right"/>
              <w:rPr>
                <w:rFonts w:eastAsia="Arial Unicode MS"/>
                <w:b/>
                <w:bCs/>
                <w:sz w:val="22"/>
                <w:szCs w:val="22"/>
              </w:rPr>
            </w:pPr>
          </w:p>
        </w:tc>
        <w:tc>
          <w:tcPr>
            <w:tcW w:w="770" w:type="pct"/>
            <w:tcBorders>
              <w:top w:val="nil"/>
              <w:left w:val="nil"/>
              <w:bottom w:val="nil"/>
              <w:right w:val="nil"/>
            </w:tcBorders>
            <w:noWrap/>
            <w:tcMar>
              <w:top w:w="15" w:type="dxa"/>
              <w:left w:w="15" w:type="dxa"/>
              <w:bottom w:w="0" w:type="dxa"/>
              <w:right w:w="15" w:type="dxa"/>
            </w:tcMar>
            <w:vAlign w:val="bottom"/>
          </w:tcPr>
          <w:p w14:paraId="05F2CE93" w14:textId="77777777" w:rsidR="006033E7" w:rsidRPr="00C40661" w:rsidRDefault="006033E7" w:rsidP="00656716">
            <w:pPr>
              <w:jc w:val="right"/>
              <w:rPr>
                <w:rFonts w:eastAsia="Arial Unicode MS"/>
                <w:b/>
                <w:bCs/>
                <w:sz w:val="22"/>
                <w:szCs w:val="22"/>
              </w:rPr>
            </w:pPr>
          </w:p>
        </w:tc>
        <w:tc>
          <w:tcPr>
            <w:tcW w:w="563" w:type="pct"/>
            <w:tcBorders>
              <w:top w:val="nil"/>
              <w:left w:val="nil"/>
              <w:bottom w:val="nil"/>
              <w:right w:val="nil"/>
            </w:tcBorders>
            <w:noWrap/>
            <w:tcMar>
              <w:top w:w="15" w:type="dxa"/>
              <w:left w:w="15" w:type="dxa"/>
              <w:bottom w:w="0" w:type="dxa"/>
              <w:right w:w="15" w:type="dxa"/>
            </w:tcMar>
            <w:vAlign w:val="bottom"/>
          </w:tcPr>
          <w:p w14:paraId="35854E99" w14:textId="77777777" w:rsidR="006033E7" w:rsidRPr="00C40661" w:rsidRDefault="006033E7" w:rsidP="00656716">
            <w:pPr>
              <w:jc w:val="right"/>
              <w:rPr>
                <w:rFonts w:eastAsia="Arial Unicode MS"/>
                <w:b/>
                <w:bCs/>
                <w:sz w:val="22"/>
                <w:szCs w:val="22"/>
              </w:rPr>
            </w:pPr>
          </w:p>
        </w:tc>
      </w:tr>
      <w:tr w:rsidR="0050377A" w:rsidRPr="00C40661" w14:paraId="70EB88E4"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692E66AC" w14:textId="77777777" w:rsidR="006033E7" w:rsidRPr="00C40661" w:rsidRDefault="006033E7">
            <w:pPr>
              <w:rPr>
                <w:rFonts w:eastAsia="Arial Unicode MS"/>
                <w:sz w:val="22"/>
                <w:szCs w:val="22"/>
              </w:rPr>
            </w:pPr>
          </w:p>
        </w:tc>
        <w:tc>
          <w:tcPr>
            <w:tcW w:w="909" w:type="pct"/>
            <w:tcBorders>
              <w:top w:val="nil"/>
              <w:left w:val="nil"/>
              <w:right w:val="nil"/>
            </w:tcBorders>
            <w:noWrap/>
            <w:tcMar>
              <w:top w:w="15" w:type="dxa"/>
              <w:left w:w="15" w:type="dxa"/>
              <w:bottom w:w="0" w:type="dxa"/>
              <w:right w:w="15" w:type="dxa"/>
            </w:tcMar>
            <w:vAlign w:val="bottom"/>
          </w:tcPr>
          <w:p w14:paraId="3425B9F0" w14:textId="77777777" w:rsidR="006033E7" w:rsidRPr="00C40661" w:rsidRDefault="006033E7" w:rsidP="00656716">
            <w:pPr>
              <w:jc w:val="right"/>
              <w:rPr>
                <w:rFonts w:eastAsia="Arial Unicode MS"/>
                <w:b/>
                <w:bCs/>
                <w:sz w:val="22"/>
                <w:szCs w:val="22"/>
              </w:rPr>
            </w:pPr>
            <w:r w:rsidRPr="00C40661">
              <w:rPr>
                <w:b/>
                <w:bCs/>
                <w:sz w:val="22"/>
                <w:szCs w:val="22"/>
              </w:rPr>
              <w:t>£</w:t>
            </w:r>
          </w:p>
        </w:tc>
        <w:tc>
          <w:tcPr>
            <w:tcW w:w="582" w:type="pct"/>
            <w:tcBorders>
              <w:top w:val="nil"/>
              <w:left w:val="nil"/>
              <w:right w:val="nil"/>
            </w:tcBorders>
            <w:noWrap/>
            <w:tcMar>
              <w:top w:w="15" w:type="dxa"/>
              <w:left w:w="15" w:type="dxa"/>
              <w:bottom w:w="0" w:type="dxa"/>
              <w:right w:w="15" w:type="dxa"/>
            </w:tcMar>
            <w:vAlign w:val="bottom"/>
          </w:tcPr>
          <w:p w14:paraId="265B03C8" w14:textId="77777777" w:rsidR="006033E7" w:rsidRPr="00C40661" w:rsidRDefault="006033E7" w:rsidP="00656716">
            <w:pPr>
              <w:jc w:val="right"/>
              <w:rPr>
                <w:rFonts w:eastAsia="Arial Unicode MS"/>
                <w:b/>
                <w:bCs/>
                <w:sz w:val="22"/>
                <w:szCs w:val="22"/>
              </w:rPr>
            </w:pPr>
            <w:r w:rsidRPr="00C40661">
              <w:rPr>
                <w:b/>
                <w:bCs/>
                <w:sz w:val="22"/>
                <w:szCs w:val="22"/>
              </w:rPr>
              <w:t>£</w:t>
            </w:r>
          </w:p>
        </w:tc>
        <w:tc>
          <w:tcPr>
            <w:tcW w:w="981" w:type="pct"/>
            <w:tcBorders>
              <w:top w:val="nil"/>
              <w:left w:val="nil"/>
              <w:right w:val="nil"/>
            </w:tcBorders>
            <w:noWrap/>
            <w:tcMar>
              <w:top w:w="15" w:type="dxa"/>
              <w:left w:w="15" w:type="dxa"/>
              <w:bottom w:w="0" w:type="dxa"/>
              <w:right w:w="15" w:type="dxa"/>
            </w:tcMar>
            <w:vAlign w:val="bottom"/>
          </w:tcPr>
          <w:p w14:paraId="5CB80AA6" w14:textId="0D91EE36" w:rsidR="006033E7" w:rsidRPr="00C40661" w:rsidRDefault="006033E7" w:rsidP="00656716">
            <w:pPr>
              <w:jc w:val="right"/>
              <w:rPr>
                <w:rFonts w:eastAsia="Arial Unicode MS"/>
                <w:b/>
                <w:bCs/>
                <w:sz w:val="22"/>
                <w:szCs w:val="22"/>
              </w:rPr>
            </w:pPr>
            <w:r w:rsidRPr="00C40661">
              <w:rPr>
                <w:b/>
                <w:bCs/>
                <w:sz w:val="22"/>
                <w:szCs w:val="22"/>
              </w:rPr>
              <w:t>£</w:t>
            </w:r>
          </w:p>
        </w:tc>
        <w:tc>
          <w:tcPr>
            <w:tcW w:w="770" w:type="pct"/>
            <w:tcBorders>
              <w:top w:val="nil"/>
              <w:left w:val="nil"/>
              <w:right w:val="nil"/>
            </w:tcBorders>
            <w:noWrap/>
            <w:tcMar>
              <w:top w:w="15" w:type="dxa"/>
              <w:left w:w="15" w:type="dxa"/>
              <w:bottom w:w="0" w:type="dxa"/>
              <w:right w:w="15" w:type="dxa"/>
            </w:tcMar>
            <w:vAlign w:val="bottom"/>
          </w:tcPr>
          <w:p w14:paraId="3597CE58" w14:textId="77777777" w:rsidR="006033E7" w:rsidRPr="00C40661" w:rsidRDefault="006033E7" w:rsidP="00656716">
            <w:pPr>
              <w:jc w:val="right"/>
              <w:rPr>
                <w:rFonts w:eastAsia="Arial Unicode MS"/>
                <w:b/>
                <w:bCs/>
                <w:sz w:val="22"/>
                <w:szCs w:val="22"/>
              </w:rPr>
            </w:pPr>
            <w:r w:rsidRPr="00C40661">
              <w:rPr>
                <w:b/>
                <w:bCs/>
                <w:sz w:val="22"/>
                <w:szCs w:val="22"/>
              </w:rPr>
              <w:t>£</w:t>
            </w:r>
          </w:p>
        </w:tc>
        <w:tc>
          <w:tcPr>
            <w:tcW w:w="563" w:type="pct"/>
            <w:tcBorders>
              <w:top w:val="nil"/>
              <w:left w:val="nil"/>
              <w:right w:val="nil"/>
            </w:tcBorders>
            <w:noWrap/>
            <w:tcMar>
              <w:top w:w="15" w:type="dxa"/>
              <w:left w:w="15" w:type="dxa"/>
              <w:bottom w:w="0" w:type="dxa"/>
              <w:right w:w="15" w:type="dxa"/>
            </w:tcMar>
            <w:vAlign w:val="bottom"/>
          </w:tcPr>
          <w:p w14:paraId="6CED9149" w14:textId="77777777" w:rsidR="006033E7" w:rsidRPr="00C40661" w:rsidRDefault="006033E7" w:rsidP="00656716">
            <w:pPr>
              <w:jc w:val="right"/>
              <w:rPr>
                <w:rFonts w:eastAsia="Arial Unicode MS"/>
                <w:b/>
                <w:bCs/>
                <w:sz w:val="22"/>
                <w:szCs w:val="22"/>
              </w:rPr>
            </w:pPr>
            <w:r w:rsidRPr="00C40661">
              <w:rPr>
                <w:b/>
                <w:bCs/>
                <w:sz w:val="22"/>
                <w:szCs w:val="22"/>
              </w:rPr>
              <w:t>£</w:t>
            </w:r>
          </w:p>
        </w:tc>
      </w:tr>
      <w:tr w:rsidR="0050377A" w:rsidRPr="00C40661" w14:paraId="67772171"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16EF77E9" w14:textId="23EBBBAE" w:rsidR="006033E7" w:rsidRPr="00C40661" w:rsidRDefault="006033E7" w:rsidP="00F955A0">
            <w:pPr>
              <w:ind w:right="-34"/>
              <w:rPr>
                <w:rFonts w:eastAsia="Arial Unicode MS"/>
                <w:sz w:val="22"/>
                <w:szCs w:val="22"/>
              </w:rPr>
            </w:pPr>
            <w:r w:rsidRPr="00C40661">
              <w:rPr>
                <w:sz w:val="22"/>
                <w:szCs w:val="22"/>
              </w:rPr>
              <w:t xml:space="preserve">At 1 </w:t>
            </w:r>
            <w:r>
              <w:rPr>
                <w:sz w:val="22"/>
                <w:szCs w:val="22"/>
              </w:rPr>
              <w:t>March 201</w:t>
            </w:r>
            <w:r w:rsidR="00712D2F">
              <w:rPr>
                <w:sz w:val="22"/>
                <w:szCs w:val="22"/>
              </w:rPr>
              <w:t>9</w:t>
            </w:r>
          </w:p>
        </w:tc>
        <w:tc>
          <w:tcPr>
            <w:tcW w:w="909" w:type="pct"/>
            <w:tcBorders>
              <w:left w:val="nil"/>
              <w:bottom w:val="single" w:sz="4" w:space="0" w:color="auto"/>
              <w:right w:val="nil"/>
            </w:tcBorders>
            <w:noWrap/>
            <w:tcMar>
              <w:top w:w="15" w:type="dxa"/>
              <w:left w:w="15" w:type="dxa"/>
              <w:bottom w:w="0" w:type="dxa"/>
              <w:right w:w="15" w:type="dxa"/>
            </w:tcMar>
            <w:vAlign w:val="center"/>
          </w:tcPr>
          <w:p w14:paraId="7BD7DA77" w14:textId="0BA69CED" w:rsidR="006033E7" w:rsidRPr="00F37531" w:rsidRDefault="00712D2F" w:rsidP="00656716">
            <w:pPr>
              <w:ind w:right="85"/>
              <w:jc w:val="right"/>
              <w:rPr>
                <w:rFonts w:eastAsia="Arial Unicode MS"/>
                <w:sz w:val="22"/>
                <w:szCs w:val="22"/>
              </w:rPr>
            </w:pPr>
            <w:r>
              <w:rPr>
                <w:sz w:val="22"/>
                <w:szCs w:val="22"/>
              </w:rPr>
              <w:t>257,114</w:t>
            </w:r>
          </w:p>
        </w:tc>
        <w:tc>
          <w:tcPr>
            <w:tcW w:w="582" w:type="pct"/>
            <w:tcBorders>
              <w:left w:val="nil"/>
              <w:bottom w:val="single" w:sz="4" w:space="0" w:color="auto"/>
              <w:right w:val="nil"/>
            </w:tcBorders>
            <w:noWrap/>
            <w:tcMar>
              <w:top w:w="15" w:type="dxa"/>
              <w:left w:w="15" w:type="dxa"/>
              <w:bottom w:w="0" w:type="dxa"/>
              <w:right w:w="15" w:type="dxa"/>
            </w:tcMar>
            <w:vAlign w:val="center"/>
          </w:tcPr>
          <w:p w14:paraId="22E5099C" w14:textId="11DEE85F" w:rsidR="006033E7" w:rsidRPr="00F37531" w:rsidRDefault="00712D2F" w:rsidP="00656716">
            <w:pPr>
              <w:ind w:right="85"/>
              <w:jc w:val="right"/>
              <w:rPr>
                <w:rFonts w:eastAsia="Arial Unicode MS"/>
                <w:sz w:val="22"/>
                <w:szCs w:val="22"/>
              </w:rPr>
            </w:pPr>
            <w:r>
              <w:rPr>
                <w:sz w:val="22"/>
                <w:szCs w:val="22"/>
              </w:rPr>
              <w:t>1,886,524</w:t>
            </w:r>
          </w:p>
        </w:tc>
        <w:tc>
          <w:tcPr>
            <w:tcW w:w="981" w:type="pct"/>
            <w:tcBorders>
              <w:left w:val="nil"/>
              <w:bottom w:val="single" w:sz="4" w:space="0" w:color="auto"/>
              <w:right w:val="nil"/>
            </w:tcBorders>
            <w:noWrap/>
            <w:tcMar>
              <w:top w:w="15" w:type="dxa"/>
              <w:left w:w="15" w:type="dxa"/>
              <w:bottom w:w="0" w:type="dxa"/>
              <w:right w:w="15" w:type="dxa"/>
            </w:tcMar>
            <w:vAlign w:val="center"/>
          </w:tcPr>
          <w:p w14:paraId="06EF54DC" w14:textId="2F8547CC" w:rsidR="006033E7" w:rsidRPr="00F37531" w:rsidRDefault="006033E7" w:rsidP="00656716">
            <w:pPr>
              <w:ind w:right="85"/>
              <w:jc w:val="right"/>
              <w:rPr>
                <w:rFonts w:eastAsia="Arial Unicode MS"/>
                <w:sz w:val="22"/>
                <w:szCs w:val="22"/>
              </w:rPr>
            </w:pPr>
            <w:r w:rsidRPr="00F37531">
              <w:rPr>
                <w:rFonts w:eastAsia="Arial Unicode MS"/>
                <w:sz w:val="22"/>
                <w:szCs w:val="22"/>
              </w:rPr>
              <w:t>(</w:t>
            </w:r>
            <w:r w:rsidR="00712D2F">
              <w:rPr>
                <w:rFonts w:eastAsia="Arial Unicode MS"/>
                <w:sz w:val="22"/>
                <w:szCs w:val="22"/>
              </w:rPr>
              <w:t>1,210,550</w:t>
            </w:r>
            <w:r w:rsidRPr="00F37531">
              <w:rPr>
                <w:rFonts w:eastAsia="Arial Unicode MS"/>
                <w:sz w:val="22"/>
                <w:szCs w:val="22"/>
              </w:rPr>
              <w:t>)</w:t>
            </w:r>
          </w:p>
        </w:tc>
        <w:tc>
          <w:tcPr>
            <w:tcW w:w="770" w:type="pct"/>
            <w:tcBorders>
              <w:left w:val="nil"/>
              <w:bottom w:val="single" w:sz="4" w:space="0" w:color="auto"/>
              <w:right w:val="nil"/>
            </w:tcBorders>
            <w:noWrap/>
            <w:tcMar>
              <w:top w:w="15" w:type="dxa"/>
              <w:left w:w="15" w:type="dxa"/>
              <w:bottom w:w="0" w:type="dxa"/>
              <w:right w:w="15" w:type="dxa"/>
            </w:tcMar>
            <w:vAlign w:val="center"/>
          </w:tcPr>
          <w:p w14:paraId="10E56F06" w14:textId="5D10664F" w:rsidR="006033E7" w:rsidRPr="00F37531" w:rsidRDefault="00712D2F" w:rsidP="00656716">
            <w:pPr>
              <w:ind w:right="85"/>
              <w:jc w:val="right"/>
              <w:rPr>
                <w:rFonts w:eastAsia="Arial Unicode MS"/>
                <w:sz w:val="22"/>
                <w:szCs w:val="22"/>
              </w:rPr>
            </w:pPr>
            <w:r>
              <w:rPr>
                <w:sz w:val="22"/>
                <w:szCs w:val="22"/>
              </w:rPr>
              <w:t>1,127</w:t>
            </w:r>
          </w:p>
        </w:tc>
        <w:tc>
          <w:tcPr>
            <w:tcW w:w="563" w:type="pct"/>
            <w:tcBorders>
              <w:left w:val="nil"/>
              <w:bottom w:val="single" w:sz="4" w:space="0" w:color="auto"/>
              <w:right w:val="nil"/>
            </w:tcBorders>
            <w:noWrap/>
            <w:tcMar>
              <w:top w:w="15" w:type="dxa"/>
              <w:left w:w="15" w:type="dxa"/>
              <w:bottom w:w="0" w:type="dxa"/>
              <w:right w:w="15" w:type="dxa"/>
            </w:tcMar>
            <w:vAlign w:val="center"/>
          </w:tcPr>
          <w:p w14:paraId="634BA148" w14:textId="280DBB7D" w:rsidR="006033E7" w:rsidRPr="00F37531" w:rsidRDefault="00712D2F" w:rsidP="00656716">
            <w:pPr>
              <w:ind w:right="85"/>
              <w:jc w:val="right"/>
              <w:rPr>
                <w:rFonts w:eastAsia="Arial Unicode MS"/>
                <w:sz w:val="22"/>
                <w:szCs w:val="22"/>
              </w:rPr>
            </w:pPr>
            <w:r>
              <w:rPr>
                <w:sz w:val="22"/>
                <w:szCs w:val="22"/>
              </w:rPr>
              <w:t>934,215</w:t>
            </w:r>
          </w:p>
        </w:tc>
      </w:tr>
      <w:tr w:rsidR="0050377A" w:rsidRPr="00C40661" w14:paraId="0A33CC02"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604AE788" w14:textId="77777777" w:rsidR="006033E7" w:rsidRPr="00C40661" w:rsidRDefault="006033E7">
            <w:pPr>
              <w:rPr>
                <w:rFonts w:eastAsia="Arial Unicode MS"/>
                <w:sz w:val="22"/>
                <w:szCs w:val="22"/>
              </w:rPr>
            </w:pPr>
          </w:p>
        </w:tc>
        <w:tc>
          <w:tcPr>
            <w:tcW w:w="909" w:type="pct"/>
            <w:tcBorders>
              <w:top w:val="single" w:sz="4" w:space="0" w:color="auto"/>
              <w:left w:val="nil"/>
              <w:bottom w:val="nil"/>
              <w:right w:val="nil"/>
            </w:tcBorders>
            <w:noWrap/>
            <w:tcMar>
              <w:top w:w="15" w:type="dxa"/>
              <w:left w:w="15" w:type="dxa"/>
              <w:bottom w:w="0" w:type="dxa"/>
              <w:right w:w="15" w:type="dxa"/>
            </w:tcMar>
            <w:vAlign w:val="center"/>
          </w:tcPr>
          <w:p w14:paraId="34A1336F" w14:textId="77777777" w:rsidR="006033E7" w:rsidRPr="00F37531" w:rsidRDefault="006033E7" w:rsidP="00656716">
            <w:pPr>
              <w:ind w:right="85"/>
              <w:jc w:val="right"/>
              <w:rPr>
                <w:rFonts w:eastAsia="Arial Unicode MS"/>
                <w:sz w:val="22"/>
                <w:szCs w:val="22"/>
              </w:rPr>
            </w:pPr>
          </w:p>
        </w:tc>
        <w:tc>
          <w:tcPr>
            <w:tcW w:w="582" w:type="pct"/>
            <w:tcBorders>
              <w:top w:val="single" w:sz="4" w:space="0" w:color="auto"/>
              <w:left w:val="nil"/>
              <w:bottom w:val="nil"/>
              <w:right w:val="nil"/>
            </w:tcBorders>
            <w:noWrap/>
            <w:tcMar>
              <w:top w:w="15" w:type="dxa"/>
              <w:left w:w="15" w:type="dxa"/>
              <w:bottom w:w="0" w:type="dxa"/>
              <w:right w:w="15" w:type="dxa"/>
            </w:tcMar>
            <w:vAlign w:val="center"/>
          </w:tcPr>
          <w:p w14:paraId="273EF9CD" w14:textId="77777777" w:rsidR="006033E7" w:rsidRPr="00F37531" w:rsidRDefault="006033E7" w:rsidP="00656716">
            <w:pPr>
              <w:ind w:right="85"/>
              <w:jc w:val="right"/>
              <w:rPr>
                <w:rFonts w:eastAsia="Arial Unicode MS"/>
                <w:sz w:val="22"/>
                <w:szCs w:val="22"/>
              </w:rPr>
            </w:pPr>
          </w:p>
        </w:tc>
        <w:tc>
          <w:tcPr>
            <w:tcW w:w="981" w:type="pct"/>
            <w:tcBorders>
              <w:top w:val="single" w:sz="4" w:space="0" w:color="auto"/>
              <w:left w:val="nil"/>
              <w:bottom w:val="nil"/>
              <w:right w:val="nil"/>
            </w:tcBorders>
            <w:noWrap/>
            <w:tcMar>
              <w:top w:w="15" w:type="dxa"/>
              <w:left w:w="15" w:type="dxa"/>
              <w:bottom w:w="0" w:type="dxa"/>
              <w:right w:w="15" w:type="dxa"/>
            </w:tcMar>
            <w:vAlign w:val="center"/>
          </w:tcPr>
          <w:p w14:paraId="01985686" w14:textId="5D65F41C" w:rsidR="006033E7" w:rsidRPr="00F37531" w:rsidRDefault="006033E7" w:rsidP="00656716">
            <w:pPr>
              <w:ind w:right="85"/>
              <w:jc w:val="right"/>
              <w:rPr>
                <w:rFonts w:eastAsia="Arial Unicode MS"/>
                <w:sz w:val="22"/>
                <w:szCs w:val="22"/>
              </w:rPr>
            </w:pPr>
          </w:p>
        </w:tc>
        <w:tc>
          <w:tcPr>
            <w:tcW w:w="770" w:type="pct"/>
            <w:tcBorders>
              <w:top w:val="single" w:sz="4" w:space="0" w:color="auto"/>
              <w:left w:val="nil"/>
              <w:bottom w:val="nil"/>
              <w:right w:val="nil"/>
            </w:tcBorders>
            <w:noWrap/>
            <w:tcMar>
              <w:top w:w="15" w:type="dxa"/>
              <w:left w:w="15" w:type="dxa"/>
              <w:bottom w:w="0" w:type="dxa"/>
              <w:right w:w="15" w:type="dxa"/>
            </w:tcMar>
            <w:vAlign w:val="center"/>
          </w:tcPr>
          <w:p w14:paraId="32C2A0DD" w14:textId="77777777" w:rsidR="006033E7" w:rsidRPr="00F37531" w:rsidRDefault="006033E7" w:rsidP="00656716">
            <w:pPr>
              <w:ind w:right="85"/>
              <w:jc w:val="right"/>
              <w:rPr>
                <w:rFonts w:eastAsia="Arial Unicode MS"/>
                <w:sz w:val="22"/>
                <w:szCs w:val="22"/>
              </w:rPr>
            </w:pPr>
          </w:p>
        </w:tc>
        <w:tc>
          <w:tcPr>
            <w:tcW w:w="563" w:type="pct"/>
            <w:tcBorders>
              <w:top w:val="single" w:sz="4" w:space="0" w:color="auto"/>
              <w:left w:val="nil"/>
              <w:bottom w:val="nil"/>
              <w:right w:val="nil"/>
            </w:tcBorders>
            <w:noWrap/>
            <w:tcMar>
              <w:top w:w="15" w:type="dxa"/>
              <w:left w:w="15" w:type="dxa"/>
              <w:bottom w:w="0" w:type="dxa"/>
              <w:right w:w="15" w:type="dxa"/>
            </w:tcMar>
            <w:vAlign w:val="center"/>
          </w:tcPr>
          <w:p w14:paraId="14833FD0" w14:textId="77777777" w:rsidR="006033E7" w:rsidRPr="00F37531" w:rsidRDefault="006033E7" w:rsidP="00656716">
            <w:pPr>
              <w:ind w:right="85"/>
              <w:jc w:val="right"/>
              <w:rPr>
                <w:rFonts w:eastAsia="Arial Unicode MS"/>
                <w:sz w:val="22"/>
                <w:szCs w:val="22"/>
              </w:rPr>
            </w:pPr>
          </w:p>
        </w:tc>
      </w:tr>
      <w:tr w:rsidR="0050377A" w:rsidRPr="00C40661" w14:paraId="4E747036"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00261A1C" w14:textId="77777777" w:rsidR="006033E7" w:rsidRPr="00C40661" w:rsidRDefault="006033E7" w:rsidP="00F955A0">
            <w:pPr>
              <w:rPr>
                <w:rFonts w:eastAsia="Arial Unicode MS"/>
                <w:sz w:val="22"/>
                <w:szCs w:val="22"/>
              </w:rPr>
            </w:pPr>
            <w:r w:rsidRPr="00C40661">
              <w:rPr>
                <w:sz w:val="22"/>
                <w:szCs w:val="22"/>
              </w:rPr>
              <w:t xml:space="preserve">Loss for the period </w:t>
            </w:r>
          </w:p>
        </w:tc>
        <w:tc>
          <w:tcPr>
            <w:tcW w:w="909" w:type="pct"/>
            <w:tcBorders>
              <w:left w:val="nil"/>
              <w:right w:val="nil"/>
            </w:tcBorders>
            <w:noWrap/>
            <w:tcMar>
              <w:top w:w="15" w:type="dxa"/>
              <w:left w:w="15" w:type="dxa"/>
              <w:bottom w:w="0" w:type="dxa"/>
              <w:right w:w="15" w:type="dxa"/>
            </w:tcMar>
            <w:vAlign w:val="center"/>
          </w:tcPr>
          <w:p w14:paraId="50C44C2F" w14:textId="6C40AF6D"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82" w:type="pct"/>
            <w:tcBorders>
              <w:left w:val="nil"/>
              <w:right w:val="nil"/>
            </w:tcBorders>
            <w:noWrap/>
            <w:tcMar>
              <w:top w:w="15" w:type="dxa"/>
              <w:left w:w="15" w:type="dxa"/>
              <w:bottom w:w="0" w:type="dxa"/>
              <w:right w:w="15" w:type="dxa"/>
            </w:tcMar>
            <w:vAlign w:val="center"/>
          </w:tcPr>
          <w:p w14:paraId="15AB80C5" w14:textId="1CAADD79"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981" w:type="pct"/>
            <w:tcBorders>
              <w:left w:val="nil"/>
              <w:right w:val="nil"/>
            </w:tcBorders>
            <w:vAlign w:val="center"/>
          </w:tcPr>
          <w:p w14:paraId="5DDA99FD" w14:textId="27203B4C" w:rsidR="006033E7" w:rsidRPr="00F37531" w:rsidRDefault="006033E7" w:rsidP="00656716">
            <w:pPr>
              <w:ind w:right="85"/>
              <w:jc w:val="right"/>
              <w:rPr>
                <w:sz w:val="22"/>
                <w:szCs w:val="22"/>
              </w:rPr>
            </w:pPr>
            <w:r w:rsidRPr="00F37531">
              <w:rPr>
                <w:rFonts w:eastAsia="Arial Unicode MS"/>
                <w:sz w:val="22"/>
                <w:szCs w:val="22"/>
              </w:rPr>
              <w:t>(</w:t>
            </w:r>
            <w:r w:rsidR="00712D2F">
              <w:rPr>
                <w:rFonts w:eastAsia="Arial Unicode MS"/>
                <w:sz w:val="22"/>
                <w:szCs w:val="22"/>
              </w:rPr>
              <w:t>584,855</w:t>
            </w:r>
            <w:r w:rsidRPr="00F37531">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40740BCD" w14:textId="4CF62583"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3CDB91C8" w14:textId="31DE708B" w:rsidR="006033E7" w:rsidRPr="00F37531" w:rsidRDefault="006033E7" w:rsidP="00656716">
            <w:pPr>
              <w:ind w:right="85"/>
              <w:jc w:val="right"/>
              <w:rPr>
                <w:rFonts w:eastAsia="Arial Unicode MS"/>
                <w:sz w:val="22"/>
                <w:szCs w:val="22"/>
              </w:rPr>
            </w:pPr>
            <w:r w:rsidRPr="00F37531">
              <w:rPr>
                <w:rFonts w:eastAsia="Arial Unicode MS"/>
                <w:sz w:val="22"/>
                <w:szCs w:val="22"/>
              </w:rPr>
              <w:t>(</w:t>
            </w:r>
            <w:r w:rsidR="00712D2F">
              <w:rPr>
                <w:rFonts w:eastAsia="Arial Unicode MS"/>
                <w:sz w:val="22"/>
                <w:szCs w:val="22"/>
              </w:rPr>
              <w:t>584,855</w:t>
            </w:r>
            <w:r w:rsidRPr="00F37531">
              <w:rPr>
                <w:rFonts w:eastAsia="Arial Unicode MS"/>
                <w:sz w:val="22"/>
                <w:szCs w:val="22"/>
              </w:rPr>
              <w:t>)</w:t>
            </w:r>
          </w:p>
        </w:tc>
      </w:tr>
      <w:tr w:rsidR="0050377A" w:rsidRPr="00C40661" w14:paraId="77006947"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64019730" w14:textId="77777777" w:rsidR="006033E7" w:rsidRPr="00C40661" w:rsidRDefault="006033E7" w:rsidP="00F955A0">
            <w:pPr>
              <w:rPr>
                <w:rFonts w:eastAsia="Arial Unicode MS"/>
                <w:sz w:val="22"/>
                <w:szCs w:val="22"/>
              </w:rPr>
            </w:pPr>
            <w:r w:rsidRPr="00C40661">
              <w:rPr>
                <w:sz w:val="22"/>
                <w:szCs w:val="22"/>
              </w:rPr>
              <w:t>Translation differences</w:t>
            </w:r>
          </w:p>
        </w:tc>
        <w:tc>
          <w:tcPr>
            <w:tcW w:w="909" w:type="pct"/>
            <w:tcBorders>
              <w:left w:val="nil"/>
              <w:bottom w:val="single" w:sz="4" w:space="0" w:color="auto"/>
              <w:right w:val="nil"/>
            </w:tcBorders>
            <w:noWrap/>
            <w:tcMar>
              <w:top w:w="15" w:type="dxa"/>
              <w:left w:w="15" w:type="dxa"/>
              <w:bottom w:w="0" w:type="dxa"/>
              <w:right w:w="15" w:type="dxa"/>
            </w:tcMar>
            <w:vAlign w:val="center"/>
          </w:tcPr>
          <w:p w14:paraId="2C1208E5" w14:textId="44874B32"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82" w:type="pct"/>
            <w:tcBorders>
              <w:left w:val="nil"/>
              <w:bottom w:val="single" w:sz="4" w:space="0" w:color="auto"/>
              <w:right w:val="nil"/>
            </w:tcBorders>
            <w:noWrap/>
            <w:tcMar>
              <w:top w:w="15" w:type="dxa"/>
              <w:left w:w="15" w:type="dxa"/>
              <w:bottom w:w="0" w:type="dxa"/>
              <w:right w:w="15" w:type="dxa"/>
            </w:tcMar>
            <w:vAlign w:val="center"/>
          </w:tcPr>
          <w:p w14:paraId="4AEC07B7" w14:textId="1CDA6A5F"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981" w:type="pct"/>
            <w:tcBorders>
              <w:left w:val="nil"/>
              <w:bottom w:val="single" w:sz="4" w:space="0" w:color="auto"/>
              <w:right w:val="nil"/>
            </w:tcBorders>
            <w:noWrap/>
            <w:tcMar>
              <w:top w:w="15" w:type="dxa"/>
              <w:left w:w="15" w:type="dxa"/>
              <w:bottom w:w="0" w:type="dxa"/>
              <w:right w:w="15" w:type="dxa"/>
            </w:tcMar>
            <w:vAlign w:val="center"/>
          </w:tcPr>
          <w:p w14:paraId="42ABF0AA" w14:textId="2ED30E39"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770" w:type="pct"/>
            <w:tcBorders>
              <w:left w:val="nil"/>
              <w:bottom w:val="single" w:sz="4" w:space="0" w:color="auto"/>
              <w:right w:val="nil"/>
            </w:tcBorders>
            <w:noWrap/>
            <w:tcMar>
              <w:top w:w="15" w:type="dxa"/>
              <w:left w:w="15" w:type="dxa"/>
              <w:bottom w:w="0" w:type="dxa"/>
              <w:right w:w="15" w:type="dxa"/>
            </w:tcMar>
            <w:vAlign w:val="center"/>
          </w:tcPr>
          <w:p w14:paraId="02D90784" w14:textId="10F21654" w:rsidR="006033E7" w:rsidRPr="00F37531" w:rsidRDefault="00712D2F" w:rsidP="00656716">
            <w:pPr>
              <w:ind w:right="85"/>
              <w:jc w:val="right"/>
              <w:rPr>
                <w:rFonts w:eastAsia="Arial Unicode MS"/>
                <w:sz w:val="22"/>
                <w:szCs w:val="22"/>
              </w:rPr>
            </w:pPr>
            <w:r>
              <w:rPr>
                <w:rFonts w:eastAsia="Arial Unicode MS"/>
                <w:sz w:val="22"/>
                <w:szCs w:val="22"/>
              </w:rPr>
              <w:t>(2,067)</w:t>
            </w:r>
          </w:p>
        </w:tc>
        <w:tc>
          <w:tcPr>
            <w:tcW w:w="563" w:type="pct"/>
            <w:tcBorders>
              <w:left w:val="nil"/>
              <w:bottom w:val="single" w:sz="4" w:space="0" w:color="auto"/>
              <w:right w:val="nil"/>
            </w:tcBorders>
            <w:noWrap/>
            <w:tcMar>
              <w:top w:w="15" w:type="dxa"/>
              <w:left w:w="15" w:type="dxa"/>
              <w:bottom w:w="0" w:type="dxa"/>
              <w:right w:w="15" w:type="dxa"/>
            </w:tcMar>
            <w:vAlign w:val="center"/>
          </w:tcPr>
          <w:p w14:paraId="5EEE4CAD" w14:textId="3D905EEF" w:rsidR="006033E7" w:rsidRPr="00F37531" w:rsidRDefault="00712D2F" w:rsidP="00656716">
            <w:pPr>
              <w:ind w:right="85"/>
              <w:jc w:val="right"/>
              <w:rPr>
                <w:rFonts w:eastAsia="Arial Unicode MS"/>
                <w:sz w:val="22"/>
                <w:szCs w:val="22"/>
              </w:rPr>
            </w:pPr>
            <w:r>
              <w:rPr>
                <w:rFonts w:eastAsia="Arial Unicode MS"/>
                <w:sz w:val="22"/>
                <w:szCs w:val="22"/>
              </w:rPr>
              <w:t>(2,067)</w:t>
            </w:r>
          </w:p>
        </w:tc>
      </w:tr>
      <w:tr w:rsidR="0050377A" w:rsidRPr="00C40661" w14:paraId="2FDFDB3B"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65D3C03A" w14:textId="497E6630" w:rsidR="006033E7" w:rsidRPr="00C40661" w:rsidRDefault="006033E7" w:rsidP="00F955A0">
            <w:pPr>
              <w:rPr>
                <w:rFonts w:eastAsia="Arial Unicode MS"/>
                <w:sz w:val="22"/>
                <w:szCs w:val="22"/>
              </w:rPr>
            </w:pPr>
            <w:r>
              <w:rPr>
                <w:sz w:val="22"/>
                <w:szCs w:val="22"/>
              </w:rPr>
              <w:t xml:space="preserve">Comprehensive loss for the period </w:t>
            </w:r>
          </w:p>
        </w:tc>
        <w:tc>
          <w:tcPr>
            <w:tcW w:w="909"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07825F98" w14:textId="0E4C35FC"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82"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F99FAA0" w14:textId="015437BF"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9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E90321C" w14:textId="1A8F9273" w:rsidR="006033E7" w:rsidRPr="00F37531" w:rsidRDefault="006033E7" w:rsidP="00656716">
            <w:pPr>
              <w:ind w:right="85"/>
              <w:jc w:val="right"/>
              <w:rPr>
                <w:rFonts w:eastAsia="Arial Unicode MS"/>
                <w:sz w:val="22"/>
                <w:szCs w:val="22"/>
              </w:rPr>
            </w:pPr>
            <w:r w:rsidRPr="00F37531">
              <w:rPr>
                <w:rFonts w:eastAsia="Arial Unicode MS"/>
                <w:sz w:val="22"/>
                <w:szCs w:val="22"/>
              </w:rPr>
              <w:t>(</w:t>
            </w:r>
            <w:r w:rsidR="00712D2F">
              <w:rPr>
                <w:rFonts w:eastAsia="Arial Unicode MS"/>
                <w:sz w:val="22"/>
                <w:szCs w:val="22"/>
              </w:rPr>
              <w:t>584,855</w:t>
            </w:r>
            <w:r>
              <w:rPr>
                <w:rFonts w:eastAsia="Arial Unicode MS"/>
                <w:sz w:val="22"/>
                <w:szCs w:val="22"/>
              </w:rPr>
              <w:t>)</w:t>
            </w:r>
          </w:p>
        </w:tc>
        <w:tc>
          <w:tcPr>
            <w:tcW w:w="770"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19C8CF7" w14:textId="324F521C" w:rsidR="006033E7" w:rsidRPr="00F37531" w:rsidRDefault="00712D2F" w:rsidP="00656716">
            <w:pPr>
              <w:ind w:right="85"/>
              <w:jc w:val="right"/>
              <w:rPr>
                <w:rFonts w:eastAsia="Arial Unicode MS"/>
                <w:sz w:val="22"/>
                <w:szCs w:val="22"/>
              </w:rPr>
            </w:pPr>
            <w:r>
              <w:rPr>
                <w:rFonts w:eastAsia="Arial Unicode MS"/>
                <w:sz w:val="22"/>
                <w:szCs w:val="22"/>
              </w:rPr>
              <w:t>(940)</w:t>
            </w:r>
          </w:p>
        </w:tc>
        <w:tc>
          <w:tcPr>
            <w:tcW w:w="563"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0DEBF342" w14:textId="08AFD87A" w:rsidR="006033E7" w:rsidRPr="00F37531" w:rsidRDefault="006033E7" w:rsidP="00656716">
            <w:pPr>
              <w:ind w:right="85"/>
              <w:jc w:val="right"/>
              <w:rPr>
                <w:rFonts w:eastAsia="Arial Unicode MS"/>
                <w:sz w:val="22"/>
                <w:szCs w:val="22"/>
              </w:rPr>
            </w:pPr>
            <w:r w:rsidRPr="00F37531">
              <w:rPr>
                <w:rFonts w:eastAsia="Arial Unicode MS"/>
                <w:sz w:val="22"/>
                <w:szCs w:val="22"/>
              </w:rPr>
              <w:t>(</w:t>
            </w:r>
            <w:r w:rsidR="00712D2F">
              <w:rPr>
                <w:rFonts w:eastAsia="Arial Unicode MS"/>
                <w:sz w:val="22"/>
                <w:szCs w:val="22"/>
              </w:rPr>
              <w:t>586,922</w:t>
            </w:r>
            <w:r w:rsidRPr="00F37531">
              <w:rPr>
                <w:rFonts w:eastAsia="Arial Unicode MS"/>
                <w:sz w:val="22"/>
                <w:szCs w:val="22"/>
              </w:rPr>
              <w:t>)</w:t>
            </w:r>
          </w:p>
        </w:tc>
      </w:tr>
      <w:tr w:rsidR="0050377A" w:rsidRPr="00C40661" w14:paraId="55E1ED79"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39EA3F60" w14:textId="77777777" w:rsidR="006033E7" w:rsidRPr="00C40661" w:rsidRDefault="006033E7">
            <w:pPr>
              <w:rPr>
                <w:rFonts w:eastAsia="Arial Unicode MS"/>
                <w:sz w:val="22"/>
                <w:szCs w:val="22"/>
              </w:rPr>
            </w:pPr>
          </w:p>
        </w:tc>
        <w:tc>
          <w:tcPr>
            <w:tcW w:w="909" w:type="pct"/>
            <w:tcBorders>
              <w:top w:val="nil"/>
              <w:left w:val="nil"/>
              <w:bottom w:val="nil"/>
              <w:right w:val="nil"/>
            </w:tcBorders>
            <w:noWrap/>
            <w:tcMar>
              <w:top w:w="15" w:type="dxa"/>
              <w:left w:w="15" w:type="dxa"/>
              <w:bottom w:w="0" w:type="dxa"/>
              <w:right w:w="15" w:type="dxa"/>
            </w:tcMar>
            <w:vAlign w:val="center"/>
          </w:tcPr>
          <w:p w14:paraId="6A8E10A7" w14:textId="77777777" w:rsidR="006033E7" w:rsidRPr="00F37531" w:rsidRDefault="006033E7" w:rsidP="00656716">
            <w:pPr>
              <w:ind w:right="85"/>
              <w:jc w:val="right"/>
              <w:rPr>
                <w:rFonts w:eastAsia="Arial Unicode MS"/>
                <w:sz w:val="22"/>
                <w:szCs w:val="22"/>
              </w:rPr>
            </w:pPr>
          </w:p>
        </w:tc>
        <w:tc>
          <w:tcPr>
            <w:tcW w:w="582" w:type="pct"/>
            <w:tcBorders>
              <w:top w:val="nil"/>
              <w:left w:val="nil"/>
              <w:bottom w:val="nil"/>
              <w:right w:val="nil"/>
            </w:tcBorders>
            <w:noWrap/>
            <w:tcMar>
              <w:top w:w="15" w:type="dxa"/>
              <w:left w:w="15" w:type="dxa"/>
              <w:bottom w:w="0" w:type="dxa"/>
              <w:right w:w="15" w:type="dxa"/>
            </w:tcMar>
            <w:vAlign w:val="center"/>
          </w:tcPr>
          <w:p w14:paraId="6721BB25" w14:textId="77777777" w:rsidR="006033E7" w:rsidRPr="00F37531" w:rsidRDefault="006033E7" w:rsidP="00656716">
            <w:pPr>
              <w:ind w:right="85"/>
              <w:jc w:val="right"/>
              <w:rPr>
                <w:rFonts w:eastAsia="Arial Unicode MS"/>
                <w:sz w:val="22"/>
                <w:szCs w:val="22"/>
              </w:rPr>
            </w:pPr>
          </w:p>
        </w:tc>
        <w:tc>
          <w:tcPr>
            <w:tcW w:w="981" w:type="pct"/>
            <w:tcBorders>
              <w:top w:val="nil"/>
              <w:left w:val="nil"/>
              <w:bottom w:val="nil"/>
              <w:right w:val="nil"/>
            </w:tcBorders>
            <w:noWrap/>
            <w:tcMar>
              <w:top w:w="15" w:type="dxa"/>
              <w:left w:w="15" w:type="dxa"/>
              <w:bottom w:w="0" w:type="dxa"/>
              <w:right w:w="15" w:type="dxa"/>
            </w:tcMar>
            <w:vAlign w:val="center"/>
          </w:tcPr>
          <w:p w14:paraId="14A4D96C" w14:textId="5191E773" w:rsidR="006033E7" w:rsidRPr="00F37531" w:rsidRDefault="006033E7" w:rsidP="00656716">
            <w:pPr>
              <w:ind w:right="85"/>
              <w:jc w:val="right"/>
              <w:rPr>
                <w:rFonts w:eastAsia="Arial Unicode MS"/>
                <w:sz w:val="22"/>
                <w:szCs w:val="22"/>
              </w:rPr>
            </w:pPr>
          </w:p>
        </w:tc>
        <w:tc>
          <w:tcPr>
            <w:tcW w:w="770" w:type="pct"/>
            <w:tcBorders>
              <w:top w:val="nil"/>
              <w:left w:val="nil"/>
              <w:bottom w:val="nil"/>
              <w:right w:val="nil"/>
            </w:tcBorders>
            <w:noWrap/>
            <w:tcMar>
              <w:top w:w="15" w:type="dxa"/>
              <w:left w:w="15" w:type="dxa"/>
              <w:bottom w:w="0" w:type="dxa"/>
              <w:right w:w="15" w:type="dxa"/>
            </w:tcMar>
            <w:vAlign w:val="center"/>
          </w:tcPr>
          <w:p w14:paraId="0F512D3B" w14:textId="77777777" w:rsidR="006033E7" w:rsidRPr="00F37531" w:rsidRDefault="006033E7" w:rsidP="00656716">
            <w:pPr>
              <w:ind w:right="85"/>
              <w:jc w:val="right"/>
              <w:rPr>
                <w:rFonts w:eastAsia="Arial Unicode MS"/>
                <w:sz w:val="22"/>
                <w:szCs w:val="22"/>
              </w:rPr>
            </w:pPr>
          </w:p>
        </w:tc>
        <w:tc>
          <w:tcPr>
            <w:tcW w:w="563" w:type="pct"/>
            <w:tcBorders>
              <w:top w:val="nil"/>
              <w:left w:val="nil"/>
              <w:bottom w:val="nil"/>
              <w:right w:val="nil"/>
            </w:tcBorders>
            <w:noWrap/>
            <w:tcMar>
              <w:top w:w="15" w:type="dxa"/>
              <w:left w:w="15" w:type="dxa"/>
              <w:bottom w:w="0" w:type="dxa"/>
              <w:right w:w="15" w:type="dxa"/>
            </w:tcMar>
            <w:vAlign w:val="center"/>
          </w:tcPr>
          <w:p w14:paraId="6ADDB126" w14:textId="77777777" w:rsidR="006033E7" w:rsidRPr="00F37531" w:rsidRDefault="006033E7" w:rsidP="00656716">
            <w:pPr>
              <w:ind w:right="85"/>
              <w:jc w:val="right"/>
              <w:rPr>
                <w:rFonts w:eastAsia="Arial Unicode MS"/>
                <w:sz w:val="22"/>
                <w:szCs w:val="22"/>
              </w:rPr>
            </w:pPr>
          </w:p>
        </w:tc>
      </w:tr>
      <w:tr w:rsidR="0050377A" w:rsidRPr="00C40661" w14:paraId="6F323967"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57601FBC" w14:textId="33688074" w:rsidR="006033E7" w:rsidRPr="00C40661" w:rsidRDefault="006033E7" w:rsidP="005A5093">
            <w:pPr>
              <w:rPr>
                <w:rFonts w:eastAsia="Arial Unicode MS"/>
                <w:sz w:val="22"/>
                <w:szCs w:val="22"/>
              </w:rPr>
            </w:pPr>
            <w:r w:rsidRPr="00C40661">
              <w:rPr>
                <w:sz w:val="22"/>
                <w:szCs w:val="22"/>
              </w:rPr>
              <w:t xml:space="preserve">Shares and warrants issued </w:t>
            </w:r>
          </w:p>
        </w:tc>
        <w:tc>
          <w:tcPr>
            <w:tcW w:w="909" w:type="pct"/>
            <w:tcBorders>
              <w:left w:val="nil"/>
              <w:right w:val="nil"/>
            </w:tcBorders>
            <w:noWrap/>
            <w:tcMar>
              <w:top w:w="15" w:type="dxa"/>
              <w:left w:w="15" w:type="dxa"/>
              <w:bottom w:w="0" w:type="dxa"/>
              <w:right w:w="15" w:type="dxa"/>
            </w:tcMar>
            <w:vAlign w:val="center"/>
          </w:tcPr>
          <w:p w14:paraId="1DAE54E7" w14:textId="22F4C5C6" w:rsidR="006033E7" w:rsidRPr="00F37531" w:rsidRDefault="00712D2F" w:rsidP="00656716">
            <w:pPr>
              <w:ind w:right="85"/>
              <w:jc w:val="right"/>
              <w:rPr>
                <w:rFonts w:eastAsia="Arial Unicode MS"/>
                <w:sz w:val="22"/>
                <w:szCs w:val="22"/>
              </w:rPr>
            </w:pPr>
            <w:r>
              <w:rPr>
                <w:rFonts w:eastAsia="Arial Unicode MS"/>
                <w:sz w:val="22"/>
                <w:szCs w:val="22"/>
              </w:rPr>
              <w:t>15,687</w:t>
            </w:r>
          </w:p>
        </w:tc>
        <w:tc>
          <w:tcPr>
            <w:tcW w:w="582" w:type="pct"/>
            <w:tcBorders>
              <w:left w:val="nil"/>
              <w:right w:val="nil"/>
            </w:tcBorders>
            <w:noWrap/>
            <w:tcMar>
              <w:top w:w="15" w:type="dxa"/>
              <w:left w:w="15" w:type="dxa"/>
              <w:bottom w:w="0" w:type="dxa"/>
              <w:right w:w="15" w:type="dxa"/>
            </w:tcMar>
            <w:vAlign w:val="center"/>
          </w:tcPr>
          <w:p w14:paraId="43FBE115" w14:textId="2353F667" w:rsidR="006033E7" w:rsidRPr="00F37531" w:rsidRDefault="00712D2F" w:rsidP="00656716">
            <w:pPr>
              <w:ind w:right="85"/>
              <w:jc w:val="right"/>
              <w:rPr>
                <w:rFonts w:eastAsia="Arial Unicode MS"/>
                <w:sz w:val="22"/>
                <w:szCs w:val="22"/>
              </w:rPr>
            </w:pPr>
            <w:r>
              <w:rPr>
                <w:rFonts w:eastAsia="Arial Unicode MS"/>
                <w:sz w:val="22"/>
                <w:szCs w:val="22"/>
              </w:rPr>
              <w:t>527,760</w:t>
            </w:r>
          </w:p>
        </w:tc>
        <w:tc>
          <w:tcPr>
            <w:tcW w:w="981" w:type="pct"/>
            <w:tcBorders>
              <w:left w:val="nil"/>
              <w:right w:val="nil"/>
            </w:tcBorders>
            <w:noWrap/>
            <w:tcMar>
              <w:top w:w="15" w:type="dxa"/>
              <w:left w:w="15" w:type="dxa"/>
              <w:bottom w:w="0" w:type="dxa"/>
              <w:right w:w="15" w:type="dxa"/>
            </w:tcMar>
            <w:vAlign w:val="center"/>
          </w:tcPr>
          <w:p w14:paraId="055E311F" w14:textId="082700A0"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54EC66B8" w14:textId="38A8FCD2"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418039B2" w14:textId="026B8B0B" w:rsidR="006033E7" w:rsidRPr="00F37531" w:rsidRDefault="00A9320C" w:rsidP="00656716">
            <w:pPr>
              <w:ind w:right="85"/>
              <w:jc w:val="right"/>
              <w:rPr>
                <w:rFonts w:eastAsia="Arial Unicode MS"/>
                <w:sz w:val="22"/>
                <w:szCs w:val="22"/>
              </w:rPr>
            </w:pPr>
            <w:r>
              <w:rPr>
                <w:rFonts w:eastAsia="Arial Unicode MS"/>
                <w:sz w:val="22"/>
                <w:szCs w:val="22"/>
              </w:rPr>
              <w:t>543,447</w:t>
            </w:r>
          </w:p>
        </w:tc>
      </w:tr>
      <w:tr w:rsidR="0050377A" w:rsidRPr="00C40661" w14:paraId="325374A1"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7FFDE277" w14:textId="568FDEA8" w:rsidR="006033E7" w:rsidRPr="00C40661" w:rsidRDefault="006033E7" w:rsidP="00F955A0">
            <w:pPr>
              <w:rPr>
                <w:rFonts w:eastAsia="Arial Unicode MS"/>
                <w:sz w:val="22"/>
                <w:szCs w:val="22"/>
              </w:rPr>
            </w:pPr>
            <w:r w:rsidRPr="00AD79CB">
              <w:rPr>
                <w:sz w:val="22"/>
                <w:szCs w:val="22"/>
              </w:rPr>
              <w:t>Equity settled share</w:t>
            </w:r>
            <w:r w:rsidR="00B15D76">
              <w:rPr>
                <w:sz w:val="22"/>
                <w:szCs w:val="22"/>
              </w:rPr>
              <w:t>-</w:t>
            </w:r>
            <w:r w:rsidRPr="00AD79CB">
              <w:rPr>
                <w:sz w:val="22"/>
                <w:szCs w:val="22"/>
              </w:rPr>
              <w:t>based payments</w:t>
            </w:r>
          </w:p>
        </w:tc>
        <w:tc>
          <w:tcPr>
            <w:tcW w:w="909" w:type="pct"/>
            <w:tcBorders>
              <w:left w:val="nil"/>
              <w:right w:val="nil"/>
            </w:tcBorders>
            <w:noWrap/>
            <w:tcMar>
              <w:top w:w="15" w:type="dxa"/>
              <w:left w:w="15" w:type="dxa"/>
              <w:bottom w:w="0" w:type="dxa"/>
              <w:right w:w="15" w:type="dxa"/>
            </w:tcMar>
            <w:vAlign w:val="center"/>
          </w:tcPr>
          <w:p w14:paraId="49E5DDE6" w14:textId="24E3A830"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82" w:type="pct"/>
            <w:tcBorders>
              <w:left w:val="nil"/>
              <w:right w:val="nil"/>
            </w:tcBorders>
            <w:noWrap/>
            <w:tcMar>
              <w:top w:w="15" w:type="dxa"/>
              <w:left w:w="15" w:type="dxa"/>
              <w:bottom w:w="0" w:type="dxa"/>
              <w:right w:w="15" w:type="dxa"/>
            </w:tcMar>
            <w:vAlign w:val="center"/>
          </w:tcPr>
          <w:p w14:paraId="127EA556" w14:textId="4CB80E68"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981" w:type="pct"/>
            <w:tcBorders>
              <w:left w:val="nil"/>
              <w:right w:val="nil"/>
            </w:tcBorders>
            <w:noWrap/>
            <w:tcMar>
              <w:top w:w="15" w:type="dxa"/>
              <w:left w:w="15" w:type="dxa"/>
              <w:bottom w:w="0" w:type="dxa"/>
              <w:right w:w="15" w:type="dxa"/>
            </w:tcMar>
            <w:vAlign w:val="center"/>
          </w:tcPr>
          <w:p w14:paraId="61BBBB36" w14:textId="1C5BEC41"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68A9D207" w14:textId="57E6EDAD" w:rsidR="006033E7" w:rsidRPr="00F37531" w:rsidRDefault="006033E7" w:rsidP="00656716">
            <w:pPr>
              <w:ind w:right="85"/>
              <w:jc w:val="right"/>
              <w:rPr>
                <w:rFonts w:eastAsia="Arial Unicode MS"/>
                <w:sz w:val="22"/>
                <w:szCs w:val="22"/>
              </w:rPr>
            </w:pPr>
            <w:r w:rsidRPr="00F37531">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0CAF0B5C" w14:textId="2742AA91" w:rsidR="006033E7" w:rsidRPr="00F37531" w:rsidRDefault="006033E7" w:rsidP="00656716">
            <w:pPr>
              <w:ind w:right="85"/>
              <w:jc w:val="right"/>
              <w:rPr>
                <w:rFonts w:eastAsia="Arial Unicode MS"/>
                <w:sz w:val="22"/>
                <w:szCs w:val="22"/>
              </w:rPr>
            </w:pPr>
            <w:r>
              <w:rPr>
                <w:rFonts w:eastAsia="Arial Unicode MS"/>
                <w:sz w:val="22"/>
                <w:szCs w:val="22"/>
              </w:rPr>
              <w:t>-</w:t>
            </w:r>
          </w:p>
        </w:tc>
      </w:tr>
      <w:tr w:rsidR="0050377A" w:rsidRPr="00C40661" w14:paraId="600FBC49"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3E738003" w14:textId="359EB0A7" w:rsidR="006033E7" w:rsidRPr="00C40661" w:rsidRDefault="006033E7" w:rsidP="00F955A0">
            <w:pPr>
              <w:rPr>
                <w:rFonts w:eastAsia="Arial Unicode MS"/>
                <w:sz w:val="22"/>
                <w:szCs w:val="22"/>
              </w:rPr>
            </w:pPr>
            <w:r w:rsidRPr="00C40661">
              <w:rPr>
                <w:sz w:val="22"/>
                <w:szCs w:val="22"/>
              </w:rPr>
              <w:t xml:space="preserve">At </w:t>
            </w:r>
            <w:r w:rsidR="00712D2F">
              <w:rPr>
                <w:sz w:val="22"/>
                <w:szCs w:val="22"/>
              </w:rPr>
              <w:t>31 December 2019</w:t>
            </w:r>
          </w:p>
        </w:tc>
        <w:tc>
          <w:tcPr>
            <w:tcW w:w="909"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002C3DC" w14:textId="258BC0DA" w:rsidR="006033E7" w:rsidRPr="00F37531" w:rsidRDefault="00712D2F" w:rsidP="00656716">
            <w:pPr>
              <w:ind w:right="85"/>
              <w:jc w:val="right"/>
              <w:rPr>
                <w:rFonts w:eastAsia="Arial Unicode MS"/>
                <w:sz w:val="22"/>
                <w:szCs w:val="22"/>
              </w:rPr>
            </w:pPr>
            <w:r>
              <w:rPr>
                <w:rFonts w:eastAsia="Arial Unicode MS"/>
                <w:sz w:val="22"/>
                <w:szCs w:val="22"/>
              </w:rPr>
              <w:t>272,801</w:t>
            </w:r>
          </w:p>
        </w:tc>
        <w:tc>
          <w:tcPr>
            <w:tcW w:w="582"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520C7C8" w14:textId="67208D1B" w:rsidR="006033E7" w:rsidRPr="00F37531" w:rsidRDefault="00712D2F" w:rsidP="00656716">
            <w:pPr>
              <w:ind w:right="85"/>
              <w:jc w:val="right"/>
              <w:rPr>
                <w:rFonts w:eastAsia="Arial Unicode MS"/>
                <w:sz w:val="22"/>
                <w:szCs w:val="22"/>
              </w:rPr>
            </w:pPr>
            <w:r>
              <w:rPr>
                <w:rFonts w:eastAsia="Arial Unicode MS"/>
                <w:sz w:val="22"/>
                <w:szCs w:val="22"/>
              </w:rPr>
              <w:t>2,414,284</w:t>
            </w:r>
          </w:p>
        </w:tc>
        <w:tc>
          <w:tcPr>
            <w:tcW w:w="9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7702396" w14:textId="66D22DC8" w:rsidR="006033E7" w:rsidRPr="00F37531" w:rsidRDefault="006033E7" w:rsidP="00656716">
            <w:pPr>
              <w:ind w:right="85"/>
              <w:jc w:val="right"/>
              <w:rPr>
                <w:rFonts w:eastAsia="Arial Unicode MS"/>
                <w:sz w:val="22"/>
                <w:szCs w:val="22"/>
              </w:rPr>
            </w:pPr>
            <w:r w:rsidRPr="00F37531">
              <w:rPr>
                <w:rFonts w:eastAsia="Arial Unicode MS"/>
                <w:sz w:val="22"/>
                <w:szCs w:val="22"/>
              </w:rPr>
              <w:t>(</w:t>
            </w:r>
            <w:r w:rsidR="00712D2F">
              <w:rPr>
                <w:rFonts w:eastAsia="Arial Unicode MS"/>
                <w:sz w:val="22"/>
                <w:szCs w:val="22"/>
              </w:rPr>
              <w:t>1,795,405</w:t>
            </w:r>
            <w:r w:rsidRPr="00F37531">
              <w:rPr>
                <w:rFonts w:eastAsia="Arial Unicode MS"/>
                <w:sz w:val="22"/>
                <w:szCs w:val="22"/>
              </w:rPr>
              <w:t>)</w:t>
            </w:r>
          </w:p>
        </w:tc>
        <w:tc>
          <w:tcPr>
            <w:tcW w:w="770"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12D25DE" w14:textId="28333DDB" w:rsidR="006033E7" w:rsidRPr="00F37531" w:rsidRDefault="00712D2F" w:rsidP="00656716">
            <w:pPr>
              <w:ind w:right="85"/>
              <w:jc w:val="right"/>
              <w:rPr>
                <w:rFonts w:eastAsia="Arial Unicode MS"/>
                <w:sz w:val="22"/>
                <w:szCs w:val="22"/>
              </w:rPr>
            </w:pPr>
            <w:r>
              <w:rPr>
                <w:rFonts w:eastAsia="Arial Unicode MS"/>
                <w:sz w:val="22"/>
                <w:szCs w:val="22"/>
              </w:rPr>
              <w:t>(940)</w:t>
            </w:r>
          </w:p>
        </w:tc>
        <w:tc>
          <w:tcPr>
            <w:tcW w:w="563"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4A098B9" w14:textId="2542CDCE" w:rsidR="006033E7" w:rsidRPr="00F37531" w:rsidRDefault="00712D2F" w:rsidP="00656716">
            <w:pPr>
              <w:ind w:right="85"/>
              <w:jc w:val="right"/>
              <w:rPr>
                <w:rFonts w:eastAsia="Arial Unicode MS"/>
                <w:sz w:val="22"/>
                <w:szCs w:val="22"/>
              </w:rPr>
            </w:pPr>
            <w:r>
              <w:rPr>
                <w:rFonts w:eastAsia="Arial Unicode MS"/>
                <w:sz w:val="22"/>
                <w:szCs w:val="22"/>
              </w:rPr>
              <w:t>890,740</w:t>
            </w:r>
          </w:p>
        </w:tc>
      </w:tr>
      <w:tr w:rsidR="0050377A" w:rsidRPr="00C40661" w14:paraId="0727DCC4"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56B71682" w14:textId="77777777" w:rsidR="006033E7" w:rsidRPr="00C40661" w:rsidRDefault="006033E7">
            <w:pPr>
              <w:rPr>
                <w:sz w:val="22"/>
                <w:szCs w:val="22"/>
              </w:rPr>
            </w:pPr>
          </w:p>
        </w:tc>
        <w:tc>
          <w:tcPr>
            <w:tcW w:w="909" w:type="pct"/>
            <w:tcBorders>
              <w:top w:val="single" w:sz="4" w:space="0" w:color="auto"/>
              <w:left w:val="nil"/>
              <w:right w:val="nil"/>
            </w:tcBorders>
            <w:noWrap/>
            <w:tcMar>
              <w:top w:w="15" w:type="dxa"/>
              <w:left w:w="15" w:type="dxa"/>
              <w:bottom w:w="0" w:type="dxa"/>
              <w:right w:w="15" w:type="dxa"/>
            </w:tcMar>
            <w:vAlign w:val="center"/>
          </w:tcPr>
          <w:p w14:paraId="48E758D6" w14:textId="77777777" w:rsidR="006033E7" w:rsidRPr="00F37531" w:rsidRDefault="006033E7" w:rsidP="00656716">
            <w:pPr>
              <w:ind w:right="85"/>
              <w:jc w:val="right"/>
              <w:rPr>
                <w:sz w:val="22"/>
                <w:szCs w:val="22"/>
              </w:rPr>
            </w:pPr>
          </w:p>
        </w:tc>
        <w:tc>
          <w:tcPr>
            <w:tcW w:w="582" w:type="pct"/>
            <w:tcBorders>
              <w:top w:val="single" w:sz="4" w:space="0" w:color="auto"/>
              <w:left w:val="nil"/>
              <w:right w:val="nil"/>
            </w:tcBorders>
            <w:noWrap/>
            <w:tcMar>
              <w:top w:w="15" w:type="dxa"/>
              <w:left w:w="15" w:type="dxa"/>
              <w:bottom w:w="0" w:type="dxa"/>
              <w:right w:w="15" w:type="dxa"/>
            </w:tcMar>
            <w:vAlign w:val="center"/>
          </w:tcPr>
          <w:p w14:paraId="6E47DAE3" w14:textId="77777777" w:rsidR="006033E7" w:rsidRPr="00F37531" w:rsidRDefault="006033E7" w:rsidP="00656716">
            <w:pPr>
              <w:ind w:right="85"/>
              <w:jc w:val="right"/>
              <w:rPr>
                <w:sz w:val="22"/>
                <w:szCs w:val="22"/>
              </w:rPr>
            </w:pPr>
          </w:p>
        </w:tc>
        <w:tc>
          <w:tcPr>
            <w:tcW w:w="981" w:type="pct"/>
            <w:tcBorders>
              <w:top w:val="single" w:sz="4" w:space="0" w:color="auto"/>
              <w:left w:val="nil"/>
              <w:right w:val="nil"/>
            </w:tcBorders>
            <w:noWrap/>
            <w:tcMar>
              <w:top w:w="15" w:type="dxa"/>
              <w:left w:w="15" w:type="dxa"/>
              <w:bottom w:w="0" w:type="dxa"/>
              <w:right w:w="15" w:type="dxa"/>
            </w:tcMar>
            <w:vAlign w:val="center"/>
          </w:tcPr>
          <w:p w14:paraId="3C8E42B2" w14:textId="0975A856" w:rsidR="006033E7" w:rsidRPr="00F37531" w:rsidRDefault="006033E7" w:rsidP="00656716">
            <w:pPr>
              <w:ind w:right="85"/>
              <w:jc w:val="right"/>
              <w:rPr>
                <w:rFonts w:eastAsia="Arial Unicode MS"/>
                <w:sz w:val="22"/>
                <w:szCs w:val="22"/>
              </w:rPr>
            </w:pPr>
          </w:p>
        </w:tc>
        <w:tc>
          <w:tcPr>
            <w:tcW w:w="770" w:type="pct"/>
            <w:tcBorders>
              <w:top w:val="single" w:sz="4" w:space="0" w:color="auto"/>
              <w:left w:val="nil"/>
              <w:right w:val="nil"/>
            </w:tcBorders>
            <w:noWrap/>
            <w:tcMar>
              <w:top w:w="15" w:type="dxa"/>
              <w:left w:w="15" w:type="dxa"/>
              <w:bottom w:w="0" w:type="dxa"/>
              <w:right w:w="15" w:type="dxa"/>
            </w:tcMar>
            <w:vAlign w:val="center"/>
          </w:tcPr>
          <w:p w14:paraId="26614B52" w14:textId="77777777" w:rsidR="006033E7" w:rsidRPr="00F37531" w:rsidRDefault="006033E7" w:rsidP="00656716">
            <w:pPr>
              <w:ind w:right="85"/>
              <w:jc w:val="right"/>
              <w:rPr>
                <w:sz w:val="22"/>
                <w:szCs w:val="22"/>
              </w:rPr>
            </w:pPr>
          </w:p>
        </w:tc>
        <w:tc>
          <w:tcPr>
            <w:tcW w:w="563" w:type="pct"/>
            <w:tcBorders>
              <w:top w:val="single" w:sz="4" w:space="0" w:color="auto"/>
              <w:left w:val="nil"/>
              <w:right w:val="nil"/>
            </w:tcBorders>
            <w:noWrap/>
            <w:tcMar>
              <w:top w:w="15" w:type="dxa"/>
              <w:left w:w="15" w:type="dxa"/>
              <w:bottom w:w="0" w:type="dxa"/>
              <w:right w:w="15" w:type="dxa"/>
            </w:tcMar>
            <w:vAlign w:val="center"/>
          </w:tcPr>
          <w:p w14:paraId="4A42FE70" w14:textId="77777777" w:rsidR="006033E7" w:rsidRPr="00F37531" w:rsidRDefault="006033E7" w:rsidP="00656716">
            <w:pPr>
              <w:ind w:right="85"/>
              <w:jc w:val="right"/>
              <w:rPr>
                <w:sz w:val="22"/>
                <w:szCs w:val="22"/>
              </w:rPr>
            </w:pPr>
          </w:p>
        </w:tc>
      </w:tr>
      <w:tr w:rsidR="0050377A" w:rsidRPr="00C40661" w14:paraId="4C5B27F5"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1F4D0905" w14:textId="77777777" w:rsidR="006033E7" w:rsidRPr="00C40661" w:rsidRDefault="006033E7" w:rsidP="0077396B">
            <w:pPr>
              <w:rPr>
                <w:rFonts w:eastAsia="Arial Unicode MS"/>
                <w:sz w:val="22"/>
                <w:szCs w:val="22"/>
              </w:rPr>
            </w:pPr>
            <w:r w:rsidRPr="00C40661">
              <w:rPr>
                <w:sz w:val="22"/>
                <w:szCs w:val="22"/>
              </w:rPr>
              <w:t xml:space="preserve">Loss for the period </w:t>
            </w:r>
          </w:p>
        </w:tc>
        <w:tc>
          <w:tcPr>
            <w:tcW w:w="909" w:type="pct"/>
            <w:tcBorders>
              <w:left w:val="nil"/>
              <w:right w:val="nil"/>
            </w:tcBorders>
            <w:noWrap/>
            <w:tcMar>
              <w:top w:w="15" w:type="dxa"/>
              <w:left w:w="15" w:type="dxa"/>
              <w:bottom w:w="0" w:type="dxa"/>
              <w:right w:w="15" w:type="dxa"/>
            </w:tcMar>
            <w:vAlign w:val="center"/>
          </w:tcPr>
          <w:p w14:paraId="695FD909" w14:textId="1EEF4541"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82" w:type="pct"/>
            <w:tcBorders>
              <w:left w:val="nil"/>
              <w:right w:val="nil"/>
            </w:tcBorders>
            <w:noWrap/>
            <w:tcMar>
              <w:top w:w="15" w:type="dxa"/>
              <w:left w:w="15" w:type="dxa"/>
              <w:bottom w:w="0" w:type="dxa"/>
              <w:right w:w="15" w:type="dxa"/>
            </w:tcMar>
            <w:vAlign w:val="center"/>
          </w:tcPr>
          <w:p w14:paraId="1D160E68" w14:textId="5C408516" w:rsidR="006033E7" w:rsidRPr="00F37531" w:rsidRDefault="006033E7" w:rsidP="00656716">
            <w:pPr>
              <w:ind w:right="85"/>
              <w:jc w:val="right"/>
              <w:rPr>
                <w:rFonts w:eastAsia="Arial Unicode MS"/>
                <w:sz w:val="22"/>
                <w:szCs w:val="22"/>
              </w:rPr>
            </w:pPr>
            <w:r>
              <w:rPr>
                <w:rFonts w:eastAsia="Arial Unicode MS"/>
                <w:sz w:val="22"/>
                <w:szCs w:val="22"/>
              </w:rPr>
              <w:t>-</w:t>
            </w:r>
          </w:p>
        </w:tc>
        <w:tc>
          <w:tcPr>
            <w:tcW w:w="981" w:type="pct"/>
            <w:tcBorders>
              <w:left w:val="nil"/>
              <w:right w:val="nil"/>
            </w:tcBorders>
            <w:noWrap/>
            <w:tcMar>
              <w:top w:w="15" w:type="dxa"/>
              <w:left w:w="15" w:type="dxa"/>
              <w:bottom w:w="0" w:type="dxa"/>
              <w:right w:w="15" w:type="dxa"/>
            </w:tcMar>
            <w:vAlign w:val="center"/>
          </w:tcPr>
          <w:p w14:paraId="381C55AD" w14:textId="1743BE59" w:rsidR="006033E7" w:rsidRPr="00F37531" w:rsidRDefault="006033E7" w:rsidP="00656716">
            <w:pPr>
              <w:ind w:right="85"/>
              <w:jc w:val="right"/>
              <w:rPr>
                <w:rFonts w:eastAsia="Arial Unicode MS"/>
                <w:sz w:val="22"/>
                <w:szCs w:val="22"/>
              </w:rPr>
            </w:pPr>
            <w:r>
              <w:rPr>
                <w:rFonts w:eastAsia="Arial Unicode MS"/>
                <w:sz w:val="22"/>
                <w:szCs w:val="22"/>
              </w:rPr>
              <w:t>(</w:t>
            </w:r>
            <w:r w:rsidR="004B6CF2">
              <w:rPr>
                <w:rFonts w:eastAsia="Arial Unicode MS"/>
                <w:sz w:val="22"/>
                <w:szCs w:val="22"/>
              </w:rPr>
              <w:t>810,133</w:t>
            </w:r>
            <w:r>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1ADDBC6D" w14:textId="59F34629"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3B05109D" w14:textId="5A02EEA8" w:rsidR="006033E7" w:rsidRPr="00F37531" w:rsidRDefault="006033E7" w:rsidP="00656716">
            <w:pPr>
              <w:ind w:right="85"/>
              <w:jc w:val="right"/>
              <w:rPr>
                <w:rFonts w:eastAsia="Arial Unicode MS"/>
                <w:sz w:val="22"/>
                <w:szCs w:val="22"/>
              </w:rPr>
            </w:pPr>
            <w:r>
              <w:rPr>
                <w:rFonts w:eastAsia="Arial Unicode MS"/>
                <w:sz w:val="22"/>
                <w:szCs w:val="22"/>
              </w:rPr>
              <w:t>(</w:t>
            </w:r>
            <w:r w:rsidR="004B6CF2">
              <w:rPr>
                <w:rFonts w:eastAsia="Arial Unicode MS"/>
                <w:sz w:val="22"/>
                <w:szCs w:val="22"/>
              </w:rPr>
              <w:t>810,133</w:t>
            </w:r>
            <w:r>
              <w:rPr>
                <w:rFonts w:eastAsia="Arial Unicode MS"/>
                <w:sz w:val="22"/>
                <w:szCs w:val="22"/>
              </w:rPr>
              <w:t>)</w:t>
            </w:r>
          </w:p>
        </w:tc>
      </w:tr>
      <w:tr w:rsidR="0050377A" w:rsidRPr="00C40661" w14:paraId="383EA5B6"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6018C26F" w14:textId="77777777" w:rsidR="006033E7" w:rsidRPr="00C40661" w:rsidRDefault="006033E7" w:rsidP="0077396B">
            <w:pPr>
              <w:rPr>
                <w:rFonts w:eastAsia="Arial Unicode MS"/>
                <w:sz w:val="22"/>
                <w:szCs w:val="22"/>
              </w:rPr>
            </w:pPr>
            <w:r w:rsidRPr="00C40661">
              <w:rPr>
                <w:sz w:val="22"/>
                <w:szCs w:val="22"/>
              </w:rPr>
              <w:t>Translation differences</w:t>
            </w:r>
          </w:p>
        </w:tc>
        <w:tc>
          <w:tcPr>
            <w:tcW w:w="909" w:type="pct"/>
            <w:tcBorders>
              <w:left w:val="nil"/>
              <w:bottom w:val="single" w:sz="4" w:space="0" w:color="auto"/>
              <w:right w:val="nil"/>
            </w:tcBorders>
            <w:noWrap/>
            <w:tcMar>
              <w:top w:w="15" w:type="dxa"/>
              <w:left w:w="15" w:type="dxa"/>
              <w:bottom w:w="0" w:type="dxa"/>
              <w:right w:w="15" w:type="dxa"/>
            </w:tcMar>
            <w:vAlign w:val="center"/>
          </w:tcPr>
          <w:p w14:paraId="30E813C3" w14:textId="64D76B3C"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82" w:type="pct"/>
            <w:tcBorders>
              <w:left w:val="nil"/>
              <w:bottom w:val="single" w:sz="4" w:space="0" w:color="auto"/>
              <w:right w:val="nil"/>
            </w:tcBorders>
            <w:noWrap/>
            <w:tcMar>
              <w:top w:w="15" w:type="dxa"/>
              <w:left w:w="15" w:type="dxa"/>
              <w:bottom w:w="0" w:type="dxa"/>
              <w:right w:w="15" w:type="dxa"/>
            </w:tcMar>
            <w:vAlign w:val="center"/>
          </w:tcPr>
          <w:p w14:paraId="524AE7D8" w14:textId="19581F97" w:rsidR="006033E7" w:rsidRPr="00F37531" w:rsidRDefault="006033E7" w:rsidP="00656716">
            <w:pPr>
              <w:ind w:right="85"/>
              <w:jc w:val="right"/>
              <w:rPr>
                <w:rFonts w:eastAsia="Arial Unicode MS"/>
                <w:sz w:val="22"/>
                <w:szCs w:val="22"/>
              </w:rPr>
            </w:pPr>
            <w:r>
              <w:rPr>
                <w:rFonts w:eastAsia="Arial Unicode MS"/>
                <w:sz w:val="22"/>
                <w:szCs w:val="22"/>
              </w:rPr>
              <w:t>-</w:t>
            </w:r>
          </w:p>
        </w:tc>
        <w:tc>
          <w:tcPr>
            <w:tcW w:w="981" w:type="pct"/>
            <w:tcBorders>
              <w:left w:val="nil"/>
              <w:bottom w:val="single" w:sz="4" w:space="0" w:color="auto"/>
              <w:right w:val="nil"/>
            </w:tcBorders>
            <w:noWrap/>
            <w:tcMar>
              <w:top w:w="15" w:type="dxa"/>
              <w:left w:w="15" w:type="dxa"/>
              <w:bottom w:w="0" w:type="dxa"/>
              <w:right w:w="15" w:type="dxa"/>
            </w:tcMar>
            <w:vAlign w:val="center"/>
          </w:tcPr>
          <w:p w14:paraId="76639A83" w14:textId="514FACD2" w:rsidR="006033E7" w:rsidRPr="00F37531" w:rsidRDefault="006033E7" w:rsidP="00656716">
            <w:pPr>
              <w:ind w:right="85"/>
              <w:jc w:val="right"/>
              <w:rPr>
                <w:rFonts w:eastAsia="Arial Unicode MS"/>
                <w:sz w:val="22"/>
                <w:szCs w:val="22"/>
              </w:rPr>
            </w:pPr>
            <w:r>
              <w:rPr>
                <w:rFonts w:eastAsia="Arial Unicode MS"/>
                <w:sz w:val="22"/>
                <w:szCs w:val="22"/>
              </w:rPr>
              <w:t>-</w:t>
            </w:r>
          </w:p>
        </w:tc>
        <w:tc>
          <w:tcPr>
            <w:tcW w:w="770" w:type="pct"/>
            <w:tcBorders>
              <w:left w:val="nil"/>
              <w:bottom w:val="single" w:sz="4" w:space="0" w:color="auto"/>
              <w:right w:val="nil"/>
            </w:tcBorders>
            <w:noWrap/>
            <w:tcMar>
              <w:top w:w="15" w:type="dxa"/>
              <w:left w:w="15" w:type="dxa"/>
              <w:bottom w:w="0" w:type="dxa"/>
              <w:right w:w="15" w:type="dxa"/>
            </w:tcMar>
            <w:vAlign w:val="center"/>
          </w:tcPr>
          <w:p w14:paraId="2D36EE15" w14:textId="01B2D263" w:rsidR="006033E7" w:rsidRPr="00F37531" w:rsidRDefault="0022492B" w:rsidP="00656716">
            <w:pPr>
              <w:ind w:right="85"/>
              <w:jc w:val="right"/>
              <w:rPr>
                <w:rFonts w:eastAsia="Arial Unicode MS"/>
                <w:sz w:val="22"/>
                <w:szCs w:val="22"/>
              </w:rPr>
            </w:pPr>
            <w:r>
              <w:rPr>
                <w:rFonts w:eastAsia="Arial Unicode MS"/>
                <w:sz w:val="22"/>
                <w:szCs w:val="22"/>
              </w:rPr>
              <w:t>(</w:t>
            </w:r>
            <w:r w:rsidR="00DD6E83">
              <w:rPr>
                <w:rFonts w:eastAsia="Arial Unicode MS"/>
                <w:sz w:val="22"/>
                <w:szCs w:val="22"/>
              </w:rPr>
              <w:t>418</w:t>
            </w:r>
            <w:r>
              <w:rPr>
                <w:rFonts w:eastAsia="Arial Unicode MS"/>
                <w:sz w:val="22"/>
                <w:szCs w:val="22"/>
              </w:rPr>
              <w:t>)</w:t>
            </w:r>
          </w:p>
        </w:tc>
        <w:tc>
          <w:tcPr>
            <w:tcW w:w="563" w:type="pct"/>
            <w:tcBorders>
              <w:left w:val="nil"/>
              <w:bottom w:val="single" w:sz="4" w:space="0" w:color="auto"/>
              <w:right w:val="nil"/>
            </w:tcBorders>
            <w:noWrap/>
            <w:tcMar>
              <w:top w:w="15" w:type="dxa"/>
              <w:left w:w="15" w:type="dxa"/>
              <w:bottom w:w="0" w:type="dxa"/>
              <w:right w:w="15" w:type="dxa"/>
            </w:tcMar>
            <w:vAlign w:val="center"/>
          </w:tcPr>
          <w:p w14:paraId="30293763" w14:textId="7060D377" w:rsidR="006033E7" w:rsidRPr="00F37531" w:rsidRDefault="0022492B" w:rsidP="00656716">
            <w:pPr>
              <w:ind w:right="85"/>
              <w:jc w:val="right"/>
              <w:rPr>
                <w:rFonts w:eastAsia="Arial Unicode MS"/>
                <w:sz w:val="22"/>
                <w:szCs w:val="22"/>
              </w:rPr>
            </w:pPr>
            <w:r>
              <w:rPr>
                <w:rFonts w:eastAsia="Arial Unicode MS"/>
                <w:sz w:val="22"/>
                <w:szCs w:val="22"/>
              </w:rPr>
              <w:t>(</w:t>
            </w:r>
            <w:r w:rsidR="00DD6E83">
              <w:rPr>
                <w:rFonts w:eastAsia="Arial Unicode MS"/>
                <w:sz w:val="22"/>
                <w:szCs w:val="22"/>
              </w:rPr>
              <w:t>418</w:t>
            </w:r>
            <w:r>
              <w:rPr>
                <w:rFonts w:eastAsia="Arial Unicode MS"/>
                <w:sz w:val="22"/>
                <w:szCs w:val="22"/>
              </w:rPr>
              <w:t>)</w:t>
            </w:r>
          </w:p>
        </w:tc>
      </w:tr>
      <w:tr w:rsidR="0050377A" w:rsidRPr="00C40661" w14:paraId="040013B5"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5667FB4D" w14:textId="0C5C55A6" w:rsidR="006033E7" w:rsidRPr="00C40661" w:rsidRDefault="006033E7" w:rsidP="0077396B">
            <w:pPr>
              <w:rPr>
                <w:rFonts w:eastAsia="Arial Unicode MS"/>
                <w:sz w:val="22"/>
                <w:szCs w:val="22"/>
              </w:rPr>
            </w:pPr>
            <w:r>
              <w:rPr>
                <w:sz w:val="22"/>
                <w:szCs w:val="22"/>
              </w:rPr>
              <w:t>Comprehensive loss for the period</w:t>
            </w:r>
          </w:p>
        </w:tc>
        <w:tc>
          <w:tcPr>
            <w:tcW w:w="909"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6E209E0C" w14:textId="4FBEB868"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82"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45C33D5" w14:textId="62B54E10" w:rsidR="006033E7" w:rsidRPr="00F37531" w:rsidRDefault="006033E7" w:rsidP="00656716">
            <w:pPr>
              <w:ind w:right="85"/>
              <w:jc w:val="right"/>
              <w:rPr>
                <w:rFonts w:eastAsia="Arial Unicode MS"/>
                <w:sz w:val="22"/>
                <w:szCs w:val="22"/>
              </w:rPr>
            </w:pPr>
            <w:r>
              <w:rPr>
                <w:rFonts w:eastAsia="Arial Unicode MS"/>
                <w:sz w:val="22"/>
                <w:szCs w:val="22"/>
              </w:rPr>
              <w:t>-</w:t>
            </w:r>
          </w:p>
        </w:tc>
        <w:tc>
          <w:tcPr>
            <w:tcW w:w="9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1FA99828" w14:textId="1CEA0D0A" w:rsidR="006033E7" w:rsidRPr="00F37531" w:rsidRDefault="006033E7" w:rsidP="00656716">
            <w:pPr>
              <w:ind w:right="85"/>
              <w:jc w:val="right"/>
              <w:rPr>
                <w:rFonts w:eastAsia="Arial Unicode MS"/>
                <w:sz w:val="22"/>
                <w:szCs w:val="22"/>
              </w:rPr>
            </w:pPr>
            <w:r>
              <w:rPr>
                <w:rFonts w:eastAsia="Arial Unicode MS"/>
                <w:sz w:val="22"/>
                <w:szCs w:val="22"/>
              </w:rPr>
              <w:t>(</w:t>
            </w:r>
            <w:r w:rsidR="004B6CF2">
              <w:rPr>
                <w:rFonts w:eastAsia="Arial Unicode MS"/>
                <w:sz w:val="22"/>
                <w:szCs w:val="22"/>
              </w:rPr>
              <w:t>810,133</w:t>
            </w:r>
            <w:r>
              <w:rPr>
                <w:rFonts w:eastAsia="Arial Unicode MS"/>
                <w:sz w:val="22"/>
                <w:szCs w:val="22"/>
              </w:rPr>
              <w:t>)</w:t>
            </w:r>
          </w:p>
        </w:tc>
        <w:tc>
          <w:tcPr>
            <w:tcW w:w="770"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0E63D6D" w14:textId="443DC940" w:rsidR="006033E7" w:rsidRPr="00F37531" w:rsidRDefault="0022492B" w:rsidP="00656716">
            <w:pPr>
              <w:ind w:right="85"/>
              <w:jc w:val="right"/>
              <w:rPr>
                <w:rFonts w:eastAsia="Arial Unicode MS"/>
                <w:sz w:val="22"/>
                <w:szCs w:val="22"/>
              </w:rPr>
            </w:pPr>
            <w:r>
              <w:rPr>
                <w:rFonts w:eastAsia="Arial Unicode MS"/>
                <w:sz w:val="22"/>
                <w:szCs w:val="22"/>
              </w:rPr>
              <w:t>(</w:t>
            </w:r>
            <w:r w:rsidR="00DD6E83">
              <w:rPr>
                <w:rFonts w:eastAsia="Arial Unicode MS"/>
                <w:sz w:val="22"/>
                <w:szCs w:val="22"/>
              </w:rPr>
              <w:t>418</w:t>
            </w:r>
            <w:r>
              <w:rPr>
                <w:rFonts w:eastAsia="Arial Unicode MS"/>
                <w:sz w:val="22"/>
                <w:szCs w:val="22"/>
              </w:rPr>
              <w:t>)</w:t>
            </w:r>
          </w:p>
        </w:tc>
        <w:tc>
          <w:tcPr>
            <w:tcW w:w="563"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58B81D1" w14:textId="17216684" w:rsidR="006033E7" w:rsidRPr="00F37531" w:rsidRDefault="006033E7" w:rsidP="00656716">
            <w:pPr>
              <w:ind w:right="85"/>
              <w:jc w:val="right"/>
              <w:rPr>
                <w:rFonts w:eastAsia="Arial Unicode MS"/>
                <w:sz w:val="22"/>
                <w:szCs w:val="22"/>
              </w:rPr>
            </w:pPr>
            <w:r>
              <w:rPr>
                <w:rFonts w:eastAsia="Arial Unicode MS"/>
                <w:sz w:val="22"/>
                <w:szCs w:val="22"/>
              </w:rPr>
              <w:t>(</w:t>
            </w:r>
            <w:r w:rsidR="004B6CF2">
              <w:rPr>
                <w:rFonts w:eastAsia="Arial Unicode MS"/>
                <w:sz w:val="22"/>
                <w:szCs w:val="22"/>
              </w:rPr>
              <w:t>810,551</w:t>
            </w:r>
            <w:r>
              <w:rPr>
                <w:rFonts w:eastAsia="Arial Unicode MS"/>
                <w:sz w:val="22"/>
                <w:szCs w:val="22"/>
              </w:rPr>
              <w:t>)</w:t>
            </w:r>
          </w:p>
        </w:tc>
      </w:tr>
      <w:tr w:rsidR="0050377A" w:rsidRPr="00C40661" w14:paraId="61717CE0"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1200C612" w14:textId="77777777" w:rsidR="006033E7" w:rsidRPr="00C40661" w:rsidRDefault="006033E7" w:rsidP="0077396B">
            <w:pPr>
              <w:rPr>
                <w:rFonts w:eastAsia="Arial Unicode MS"/>
                <w:sz w:val="22"/>
                <w:szCs w:val="22"/>
              </w:rPr>
            </w:pPr>
          </w:p>
        </w:tc>
        <w:tc>
          <w:tcPr>
            <w:tcW w:w="909" w:type="pct"/>
            <w:tcBorders>
              <w:top w:val="single" w:sz="4" w:space="0" w:color="auto"/>
              <w:left w:val="nil"/>
              <w:right w:val="nil"/>
            </w:tcBorders>
            <w:noWrap/>
            <w:tcMar>
              <w:top w:w="15" w:type="dxa"/>
              <w:left w:w="15" w:type="dxa"/>
              <w:bottom w:w="0" w:type="dxa"/>
              <w:right w:w="15" w:type="dxa"/>
            </w:tcMar>
            <w:vAlign w:val="center"/>
          </w:tcPr>
          <w:p w14:paraId="42BB66AC" w14:textId="77777777" w:rsidR="006033E7" w:rsidRPr="00F37531" w:rsidRDefault="006033E7" w:rsidP="00656716">
            <w:pPr>
              <w:ind w:right="85"/>
              <w:jc w:val="right"/>
              <w:rPr>
                <w:rFonts w:eastAsia="Arial Unicode MS"/>
                <w:sz w:val="22"/>
                <w:szCs w:val="22"/>
              </w:rPr>
            </w:pPr>
          </w:p>
        </w:tc>
        <w:tc>
          <w:tcPr>
            <w:tcW w:w="582" w:type="pct"/>
            <w:tcBorders>
              <w:top w:val="single" w:sz="4" w:space="0" w:color="auto"/>
              <w:left w:val="nil"/>
              <w:right w:val="nil"/>
            </w:tcBorders>
            <w:noWrap/>
            <w:tcMar>
              <w:top w:w="15" w:type="dxa"/>
              <w:left w:w="15" w:type="dxa"/>
              <w:bottom w:w="0" w:type="dxa"/>
              <w:right w:w="15" w:type="dxa"/>
            </w:tcMar>
            <w:vAlign w:val="center"/>
          </w:tcPr>
          <w:p w14:paraId="2A5EAEED" w14:textId="77777777" w:rsidR="006033E7" w:rsidRPr="00F37531" w:rsidRDefault="006033E7" w:rsidP="00656716">
            <w:pPr>
              <w:ind w:right="85"/>
              <w:jc w:val="right"/>
              <w:rPr>
                <w:rFonts w:eastAsia="Arial Unicode MS"/>
                <w:sz w:val="22"/>
                <w:szCs w:val="22"/>
              </w:rPr>
            </w:pPr>
          </w:p>
        </w:tc>
        <w:tc>
          <w:tcPr>
            <w:tcW w:w="981" w:type="pct"/>
            <w:tcBorders>
              <w:top w:val="single" w:sz="4" w:space="0" w:color="auto"/>
              <w:left w:val="nil"/>
              <w:right w:val="nil"/>
            </w:tcBorders>
            <w:noWrap/>
            <w:tcMar>
              <w:top w:w="15" w:type="dxa"/>
              <w:left w:w="15" w:type="dxa"/>
              <w:bottom w:w="0" w:type="dxa"/>
              <w:right w:w="15" w:type="dxa"/>
            </w:tcMar>
            <w:vAlign w:val="center"/>
          </w:tcPr>
          <w:p w14:paraId="21FF022B" w14:textId="2BE5199D" w:rsidR="006033E7" w:rsidRPr="00F37531" w:rsidRDefault="006033E7" w:rsidP="00656716">
            <w:pPr>
              <w:ind w:right="85"/>
              <w:jc w:val="right"/>
              <w:rPr>
                <w:rFonts w:eastAsia="Arial Unicode MS"/>
                <w:sz w:val="22"/>
                <w:szCs w:val="22"/>
              </w:rPr>
            </w:pPr>
          </w:p>
        </w:tc>
        <w:tc>
          <w:tcPr>
            <w:tcW w:w="770" w:type="pct"/>
            <w:tcBorders>
              <w:top w:val="single" w:sz="4" w:space="0" w:color="auto"/>
              <w:left w:val="nil"/>
              <w:right w:val="nil"/>
            </w:tcBorders>
            <w:noWrap/>
            <w:tcMar>
              <w:top w:w="15" w:type="dxa"/>
              <w:left w:w="15" w:type="dxa"/>
              <w:bottom w:w="0" w:type="dxa"/>
              <w:right w:w="15" w:type="dxa"/>
            </w:tcMar>
            <w:vAlign w:val="center"/>
          </w:tcPr>
          <w:p w14:paraId="40AAC069" w14:textId="77777777" w:rsidR="006033E7" w:rsidRPr="00F37531" w:rsidRDefault="006033E7" w:rsidP="00656716">
            <w:pPr>
              <w:ind w:right="85"/>
              <w:jc w:val="right"/>
              <w:rPr>
                <w:rFonts w:eastAsia="Arial Unicode MS"/>
                <w:sz w:val="22"/>
                <w:szCs w:val="22"/>
              </w:rPr>
            </w:pPr>
          </w:p>
        </w:tc>
        <w:tc>
          <w:tcPr>
            <w:tcW w:w="563" w:type="pct"/>
            <w:tcBorders>
              <w:top w:val="single" w:sz="4" w:space="0" w:color="auto"/>
              <w:left w:val="nil"/>
              <w:right w:val="nil"/>
            </w:tcBorders>
            <w:noWrap/>
            <w:tcMar>
              <w:top w:w="15" w:type="dxa"/>
              <w:left w:w="15" w:type="dxa"/>
              <w:bottom w:w="0" w:type="dxa"/>
              <w:right w:w="15" w:type="dxa"/>
            </w:tcMar>
            <w:vAlign w:val="center"/>
          </w:tcPr>
          <w:p w14:paraId="587D7EAC" w14:textId="77777777" w:rsidR="006033E7" w:rsidRPr="00F37531" w:rsidRDefault="006033E7" w:rsidP="00656716">
            <w:pPr>
              <w:ind w:right="85"/>
              <w:jc w:val="right"/>
              <w:rPr>
                <w:rFonts w:eastAsia="Arial Unicode MS"/>
                <w:sz w:val="22"/>
                <w:szCs w:val="22"/>
              </w:rPr>
            </w:pPr>
          </w:p>
        </w:tc>
      </w:tr>
      <w:tr w:rsidR="0050377A" w:rsidRPr="00C40661" w14:paraId="514B72D8"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59D088E5" w14:textId="7514E73D" w:rsidR="006033E7" w:rsidRPr="00C40661" w:rsidRDefault="006033E7" w:rsidP="005A5093">
            <w:pPr>
              <w:rPr>
                <w:rFonts w:eastAsia="Arial Unicode MS"/>
                <w:sz w:val="22"/>
                <w:szCs w:val="22"/>
              </w:rPr>
            </w:pPr>
            <w:r w:rsidRPr="00C40661">
              <w:rPr>
                <w:sz w:val="22"/>
                <w:szCs w:val="22"/>
              </w:rPr>
              <w:t xml:space="preserve">Shares issued </w:t>
            </w:r>
          </w:p>
        </w:tc>
        <w:tc>
          <w:tcPr>
            <w:tcW w:w="909" w:type="pct"/>
            <w:tcBorders>
              <w:left w:val="nil"/>
              <w:right w:val="nil"/>
            </w:tcBorders>
            <w:noWrap/>
            <w:tcMar>
              <w:top w:w="15" w:type="dxa"/>
              <w:left w:w="15" w:type="dxa"/>
              <w:bottom w:w="0" w:type="dxa"/>
              <w:right w:w="15" w:type="dxa"/>
            </w:tcMar>
            <w:vAlign w:val="center"/>
          </w:tcPr>
          <w:p w14:paraId="3020AC22" w14:textId="58BE7DE7" w:rsidR="006033E7" w:rsidRPr="00F37531" w:rsidRDefault="00712D2F" w:rsidP="00656716">
            <w:pPr>
              <w:ind w:right="85"/>
              <w:jc w:val="right"/>
              <w:rPr>
                <w:rFonts w:eastAsia="Arial Unicode MS"/>
                <w:sz w:val="22"/>
                <w:szCs w:val="22"/>
              </w:rPr>
            </w:pPr>
            <w:r>
              <w:rPr>
                <w:rFonts w:eastAsia="Arial Unicode MS"/>
                <w:sz w:val="22"/>
                <w:szCs w:val="22"/>
              </w:rPr>
              <w:t>1,167</w:t>
            </w:r>
          </w:p>
        </w:tc>
        <w:tc>
          <w:tcPr>
            <w:tcW w:w="582" w:type="pct"/>
            <w:tcBorders>
              <w:left w:val="nil"/>
              <w:right w:val="nil"/>
            </w:tcBorders>
            <w:noWrap/>
            <w:tcMar>
              <w:top w:w="15" w:type="dxa"/>
              <w:left w:w="15" w:type="dxa"/>
              <w:bottom w:w="0" w:type="dxa"/>
              <w:right w:w="15" w:type="dxa"/>
            </w:tcMar>
            <w:vAlign w:val="center"/>
          </w:tcPr>
          <w:p w14:paraId="70786040" w14:textId="1941ABC8" w:rsidR="006033E7" w:rsidRPr="00F37531" w:rsidRDefault="00712D2F" w:rsidP="00656716">
            <w:pPr>
              <w:ind w:right="85"/>
              <w:jc w:val="right"/>
              <w:rPr>
                <w:rFonts w:eastAsia="Arial Unicode MS"/>
                <w:sz w:val="22"/>
                <w:szCs w:val="22"/>
              </w:rPr>
            </w:pPr>
            <w:r>
              <w:rPr>
                <w:rFonts w:eastAsia="Arial Unicode MS"/>
                <w:sz w:val="22"/>
                <w:szCs w:val="22"/>
              </w:rPr>
              <w:t>68,833</w:t>
            </w:r>
          </w:p>
        </w:tc>
        <w:tc>
          <w:tcPr>
            <w:tcW w:w="981" w:type="pct"/>
            <w:tcBorders>
              <w:left w:val="nil"/>
              <w:right w:val="nil"/>
            </w:tcBorders>
            <w:noWrap/>
            <w:tcMar>
              <w:top w:w="15" w:type="dxa"/>
              <w:left w:w="15" w:type="dxa"/>
              <w:bottom w:w="0" w:type="dxa"/>
              <w:right w:w="15" w:type="dxa"/>
            </w:tcMar>
            <w:vAlign w:val="center"/>
          </w:tcPr>
          <w:p w14:paraId="1A234EB0" w14:textId="0EF5363A" w:rsidR="006033E7" w:rsidRPr="00F37531" w:rsidRDefault="006033E7" w:rsidP="00656716">
            <w:pPr>
              <w:ind w:right="85"/>
              <w:jc w:val="right"/>
              <w:rPr>
                <w:rFonts w:eastAsia="Arial Unicode MS"/>
                <w:sz w:val="22"/>
                <w:szCs w:val="22"/>
              </w:rPr>
            </w:pPr>
            <w:r>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0CBF8112" w14:textId="6BF934D8"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25EEB2BB" w14:textId="5F7480BA" w:rsidR="006033E7" w:rsidRPr="00F37531" w:rsidRDefault="00DD6E83" w:rsidP="00656716">
            <w:pPr>
              <w:ind w:right="85"/>
              <w:jc w:val="right"/>
              <w:rPr>
                <w:rFonts w:eastAsia="Arial Unicode MS"/>
                <w:sz w:val="22"/>
                <w:szCs w:val="22"/>
              </w:rPr>
            </w:pPr>
            <w:r>
              <w:rPr>
                <w:rFonts w:eastAsia="Arial Unicode MS"/>
                <w:sz w:val="22"/>
                <w:szCs w:val="22"/>
              </w:rPr>
              <w:t>70,000</w:t>
            </w:r>
          </w:p>
        </w:tc>
      </w:tr>
      <w:tr w:rsidR="0050377A" w:rsidRPr="00C40661" w14:paraId="452F2C0D"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197DABFF" w14:textId="685DC90B" w:rsidR="006033E7" w:rsidRPr="00C40661" w:rsidRDefault="006033E7" w:rsidP="0077396B">
            <w:pPr>
              <w:rPr>
                <w:sz w:val="22"/>
                <w:szCs w:val="22"/>
              </w:rPr>
            </w:pPr>
            <w:r w:rsidRPr="00AD79CB">
              <w:rPr>
                <w:sz w:val="22"/>
                <w:szCs w:val="22"/>
              </w:rPr>
              <w:t>Equity settled share</w:t>
            </w:r>
            <w:r w:rsidR="00B15D76">
              <w:rPr>
                <w:sz w:val="22"/>
                <w:szCs w:val="22"/>
              </w:rPr>
              <w:t>-</w:t>
            </w:r>
            <w:r w:rsidRPr="00AD79CB">
              <w:rPr>
                <w:sz w:val="22"/>
                <w:szCs w:val="22"/>
              </w:rPr>
              <w:t>based payments</w:t>
            </w:r>
          </w:p>
        </w:tc>
        <w:tc>
          <w:tcPr>
            <w:tcW w:w="909" w:type="pct"/>
            <w:tcBorders>
              <w:left w:val="nil"/>
              <w:right w:val="nil"/>
            </w:tcBorders>
            <w:noWrap/>
            <w:tcMar>
              <w:top w:w="15" w:type="dxa"/>
              <w:left w:w="15" w:type="dxa"/>
              <w:bottom w:w="0" w:type="dxa"/>
              <w:right w:w="15" w:type="dxa"/>
            </w:tcMar>
            <w:vAlign w:val="center"/>
          </w:tcPr>
          <w:p w14:paraId="053C225E" w14:textId="5C31A731"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82" w:type="pct"/>
            <w:tcBorders>
              <w:left w:val="nil"/>
              <w:right w:val="nil"/>
            </w:tcBorders>
            <w:noWrap/>
            <w:tcMar>
              <w:top w:w="15" w:type="dxa"/>
              <w:left w:w="15" w:type="dxa"/>
              <w:bottom w:w="0" w:type="dxa"/>
              <w:right w:w="15" w:type="dxa"/>
            </w:tcMar>
            <w:vAlign w:val="center"/>
          </w:tcPr>
          <w:p w14:paraId="6EFF239F" w14:textId="2B9C8A72" w:rsidR="006033E7" w:rsidRPr="00F37531" w:rsidRDefault="006033E7" w:rsidP="00656716">
            <w:pPr>
              <w:ind w:right="85"/>
              <w:jc w:val="right"/>
              <w:rPr>
                <w:rFonts w:eastAsia="Arial Unicode MS"/>
                <w:sz w:val="22"/>
                <w:szCs w:val="22"/>
              </w:rPr>
            </w:pPr>
            <w:r>
              <w:rPr>
                <w:rFonts w:eastAsia="Arial Unicode MS"/>
                <w:sz w:val="22"/>
                <w:szCs w:val="22"/>
              </w:rPr>
              <w:t>-</w:t>
            </w:r>
          </w:p>
        </w:tc>
        <w:tc>
          <w:tcPr>
            <w:tcW w:w="981" w:type="pct"/>
            <w:tcBorders>
              <w:left w:val="nil"/>
              <w:right w:val="nil"/>
            </w:tcBorders>
            <w:noWrap/>
            <w:tcMar>
              <w:top w:w="15" w:type="dxa"/>
              <w:left w:w="15" w:type="dxa"/>
              <w:bottom w:w="0" w:type="dxa"/>
              <w:right w:w="15" w:type="dxa"/>
            </w:tcMar>
            <w:vAlign w:val="center"/>
          </w:tcPr>
          <w:p w14:paraId="0DD4A581" w14:textId="702E17D3" w:rsidR="006033E7" w:rsidRPr="00F37531" w:rsidRDefault="006033E7" w:rsidP="00656716">
            <w:pPr>
              <w:ind w:right="85"/>
              <w:jc w:val="right"/>
              <w:rPr>
                <w:rFonts w:eastAsia="Arial Unicode MS"/>
                <w:sz w:val="22"/>
                <w:szCs w:val="22"/>
              </w:rPr>
            </w:pPr>
            <w:r>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29F5C453" w14:textId="526D4657"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20DC7988" w14:textId="3021C075" w:rsidR="006033E7" w:rsidRPr="00F37531" w:rsidRDefault="006033E7" w:rsidP="00656716">
            <w:pPr>
              <w:ind w:right="85"/>
              <w:jc w:val="right"/>
              <w:rPr>
                <w:rFonts w:eastAsia="Arial Unicode MS"/>
                <w:sz w:val="22"/>
                <w:szCs w:val="22"/>
              </w:rPr>
            </w:pPr>
            <w:r>
              <w:rPr>
                <w:rFonts w:eastAsia="Arial Unicode MS"/>
                <w:sz w:val="22"/>
                <w:szCs w:val="22"/>
              </w:rPr>
              <w:t>-</w:t>
            </w:r>
          </w:p>
        </w:tc>
      </w:tr>
      <w:tr w:rsidR="0050377A" w:rsidRPr="00C40661" w14:paraId="38D6703E"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7C354B0C" w14:textId="01C755BC" w:rsidR="006033E7" w:rsidRPr="00C40661" w:rsidRDefault="006033E7" w:rsidP="00C04C69">
            <w:pPr>
              <w:rPr>
                <w:rFonts w:eastAsia="Arial Unicode MS"/>
                <w:sz w:val="22"/>
                <w:szCs w:val="22"/>
              </w:rPr>
            </w:pPr>
            <w:r>
              <w:rPr>
                <w:rFonts w:eastAsia="Arial Unicode MS"/>
                <w:sz w:val="22"/>
                <w:szCs w:val="22"/>
              </w:rPr>
              <w:t>Transfer on expiry of warrants</w:t>
            </w:r>
          </w:p>
        </w:tc>
        <w:tc>
          <w:tcPr>
            <w:tcW w:w="909" w:type="pct"/>
            <w:tcBorders>
              <w:left w:val="nil"/>
              <w:right w:val="nil"/>
            </w:tcBorders>
            <w:noWrap/>
            <w:tcMar>
              <w:top w:w="15" w:type="dxa"/>
              <w:left w:w="15" w:type="dxa"/>
              <w:bottom w:w="0" w:type="dxa"/>
              <w:right w:w="15" w:type="dxa"/>
            </w:tcMar>
            <w:vAlign w:val="center"/>
          </w:tcPr>
          <w:p w14:paraId="238D02A6" w14:textId="7F5E355A"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82" w:type="pct"/>
            <w:tcBorders>
              <w:left w:val="nil"/>
              <w:right w:val="nil"/>
            </w:tcBorders>
            <w:noWrap/>
            <w:tcMar>
              <w:top w:w="15" w:type="dxa"/>
              <w:left w:w="15" w:type="dxa"/>
              <w:bottom w:w="0" w:type="dxa"/>
              <w:right w:w="15" w:type="dxa"/>
            </w:tcMar>
            <w:vAlign w:val="center"/>
          </w:tcPr>
          <w:p w14:paraId="73AB545F" w14:textId="2F77FDD9" w:rsidR="006033E7" w:rsidRPr="00F37531" w:rsidRDefault="006033E7" w:rsidP="00656716">
            <w:pPr>
              <w:ind w:right="85"/>
              <w:jc w:val="right"/>
              <w:rPr>
                <w:rFonts w:eastAsia="Arial Unicode MS"/>
                <w:sz w:val="22"/>
                <w:szCs w:val="22"/>
              </w:rPr>
            </w:pPr>
            <w:r>
              <w:rPr>
                <w:rFonts w:eastAsia="Arial Unicode MS"/>
                <w:sz w:val="22"/>
                <w:szCs w:val="22"/>
              </w:rPr>
              <w:t>-</w:t>
            </w:r>
          </w:p>
        </w:tc>
        <w:tc>
          <w:tcPr>
            <w:tcW w:w="981" w:type="pct"/>
            <w:tcBorders>
              <w:left w:val="nil"/>
              <w:right w:val="nil"/>
            </w:tcBorders>
            <w:noWrap/>
            <w:tcMar>
              <w:top w:w="15" w:type="dxa"/>
              <w:left w:w="15" w:type="dxa"/>
              <w:bottom w:w="0" w:type="dxa"/>
              <w:right w:w="15" w:type="dxa"/>
            </w:tcMar>
            <w:vAlign w:val="center"/>
          </w:tcPr>
          <w:p w14:paraId="782DAD6E" w14:textId="2858FDE6" w:rsidR="006033E7" w:rsidRPr="00F37531" w:rsidRDefault="006033E7" w:rsidP="00656716">
            <w:pPr>
              <w:ind w:right="85"/>
              <w:jc w:val="right"/>
              <w:rPr>
                <w:rFonts w:eastAsia="Arial Unicode MS"/>
                <w:sz w:val="22"/>
                <w:szCs w:val="22"/>
              </w:rPr>
            </w:pPr>
            <w:r>
              <w:rPr>
                <w:rFonts w:eastAsia="Arial Unicode MS"/>
                <w:sz w:val="22"/>
                <w:szCs w:val="22"/>
              </w:rPr>
              <w:t>-</w:t>
            </w:r>
          </w:p>
        </w:tc>
        <w:tc>
          <w:tcPr>
            <w:tcW w:w="770" w:type="pct"/>
            <w:tcBorders>
              <w:left w:val="nil"/>
              <w:right w:val="nil"/>
            </w:tcBorders>
            <w:noWrap/>
            <w:tcMar>
              <w:top w:w="15" w:type="dxa"/>
              <w:left w:w="15" w:type="dxa"/>
              <w:bottom w:w="0" w:type="dxa"/>
              <w:right w:w="15" w:type="dxa"/>
            </w:tcMar>
            <w:vAlign w:val="center"/>
          </w:tcPr>
          <w:p w14:paraId="7C512361" w14:textId="45306BD2" w:rsidR="006033E7" w:rsidRPr="00F37531" w:rsidRDefault="006033E7" w:rsidP="00656716">
            <w:pPr>
              <w:ind w:right="85"/>
              <w:jc w:val="right"/>
              <w:rPr>
                <w:rFonts w:eastAsia="Arial Unicode MS"/>
                <w:sz w:val="22"/>
                <w:szCs w:val="22"/>
              </w:rPr>
            </w:pPr>
            <w:r>
              <w:rPr>
                <w:rFonts w:eastAsia="Arial Unicode MS"/>
                <w:sz w:val="22"/>
                <w:szCs w:val="22"/>
              </w:rPr>
              <w:t>-</w:t>
            </w:r>
          </w:p>
        </w:tc>
        <w:tc>
          <w:tcPr>
            <w:tcW w:w="563" w:type="pct"/>
            <w:tcBorders>
              <w:left w:val="nil"/>
              <w:right w:val="nil"/>
            </w:tcBorders>
            <w:noWrap/>
            <w:tcMar>
              <w:top w:w="15" w:type="dxa"/>
              <w:left w:w="15" w:type="dxa"/>
              <w:bottom w:w="0" w:type="dxa"/>
              <w:right w:w="15" w:type="dxa"/>
            </w:tcMar>
            <w:vAlign w:val="center"/>
          </w:tcPr>
          <w:p w14:paraId="04CC9E02" w14:textId="7B3E6336" w:rsidR="006033E7" w:rsidRPr="00F37531" w:rsidRDefault="006033E7" w:rsidP="00656716">
            <w:pPr>
              <w:ind w:right="85"/>
              <w:jc w:val="right"/>
              <w:rPr>
                <w:rFonts w:eastAsia="Arial Unicode MS"/>
                <w:sz w:val="22"/>
                <w:szCs w:val="22"/>
              </w:rPr>
            </w:pPr>
            <w:r>
              <w:rPr>
                <w:rFonts w:eastAsia="Arial Unicode MS"/>
                <w:sz w:val="22"/>
                <w:szCs w:val="22"/>
              </w:rPr>
              <w:t>-</w:t>
            </w:r>
          </w:p>
        </w:tc>
      </w:tr>
      <w:tr w:rsidR="0050377A" w:rsidRPr="002E181C" w14:paraId="6B585D78" w14:textId="77777777" w:rsidTr="0050377A">
        <w:trPr>
          <w:trHeight w:val="20"/>
        </w:trPr>
        <w:tc>
          <w:tcPr>
            <w:tcW w:w="1195" w:type="pct"/>
            <w:tcBorders>
              <w:top w:val="nil"/>
              <w:left w:val="nil"/>
              <w:bottom w:val="nil"/>
              <w:right w:val="nil"/>
            </w:tcBorders>
            <w:noWrap/>
            <w:tcMar>
              <w:top w:w="15" w:type="dxa"/>
              <w:left w:w="15" w:type="dxa"/>
              <w:bottom w:w="0" w:type="dxa"/>
              <w:right w:w="15" w:type="dxa"/>
            </w:tcMar>
            <w:vAlign w:val="bottom"/>
          </w:tcPr>
          <w:p w14:paraId="395312FD" w14:textId="42059F71" w:rsidR="006033E7" w:rsidRPr="00C40661" w:rsidRDefault="006033E7" w:rsidP="0077396B">
            <w:pPr>
              <w:rPr>
                <w:rFonts w:eastAsia="Arial Unicode MS"/>
                <w:sz w:val="22"/>
                <w:szCs w:val="22"/>
              </w:rPr>
            </w:pPr>
            <w:r w:rsidRPr="00C40661">
              <w:rPr>
                <w:sz w:val="22"/>
                <w:szCs w:val="22"/>
              </w:rPr>
              <w:t xml:space="preserve">At </w:t>
            </w:r>
            <w:r w:rsidR="0019593F">
              <w:rPr>
                <w:sz w:val="22"/>
                <w:szCs w:val="22"/>
              </w:rPr>
              <w:t>31 December</w:t>
            </w:r>
            <w:r>
              <w:rPr>
                <w:sz w:val="22"/>
                <w:szCs w:val="22"/>
              </w:rPr>
              <w:t xml:space="preserve"> </w:t>
            </w:r>
            <w:r w:rsidR="00DD6E83">
              <w:rPr>
                <w:sz w:val="22"/>
                <w:szCs w:val="22"/>
              </w:rPr>
              <w:t>2020</w:t>
            </w:r>
          </w:p>
        </w:tc>
        <w:tc>
          <w:tcPr>
            <w:tcW w:w="909"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30C4D99" w14:textId="096811F9" w:rsidR="006033E7" w:rsidRPr="002E181C" w:rsidRDefault="00DD6E83" w:rsidP="00656716">
            <w:pPr>
              <w:ind w:right="85"/>
              <w:jc w:val="right"/>
              <w:rPr>
                <w:rFonts w:eastAsia="Arial Unicode MS"/>
                <w:sz w:val="22"/>
                <w:szCs w:val="22"/>
              </w:rPr>
            </w:pPr>
            <w:r>
              <w:rPr>
                <w:rFonts w:eastAsia="Arial Unicode MS"/>
                <w:sz w:val="22"/>
                <w:szCs w:val="22"/>
              </w:rPr>
              <w:t>273,968</w:t>
            </w:r>
          </w:p>
        </w:tc>
        <w:tc>
          <w:tcPr>
            <w:tcW w:w="582"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A09D0AE" w14:textId="38D6A5D6" w:rsidR="006033E7" w:rsidRPr="002E181C" w:rsidRDefault="00DD6E83" w:rsidP="00656716">
            <w:pPr>
              <w:ind w:right="85"/>
              <w:jc w:val="right"/>
              <w:rPr>
                <w:rFonts w:eastAsia="Arial Unicode MS"/>
                <w:sz w:val="22"/>
                <w:szCs w:val="22"/>
              </w:rPr>
            </w:pPr>
            <w:r>
              <w:rPr>
                <w:rFonts w:eastAsia="Arial Unicode MS"/>
                <w:sz w:val="22"/>
                <w:szCs w:val="22"/>
              </w:rPr>
              <w:t>2,483,117</w:t>
            </w:r>
          </w:p>
        </w:tc>
        <w:tc>
          <w:tcPr>
            <w:tcW w:w="98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50D01FF2" w14:textId="1C538669" w:rsidR="006033E7" w:rsidRPr="002E181C" w:rsidRDefault="006033E7" w:rsidP="00656716">
            <w:pPr>
              <w:ind w:right="85"/>
              <w:jc w:val="right"/>
              <w:rPr>
                <w:rFonts w:eastAsia="Arial Unicode MS"/>
                <w:sz w:val="22"/>
                <w:szCs w:val="22"/>
              </w:rPr>
            </w:pPr>
            <w:r>
              <w:rPr>
                <w:rFonts w:eastAsia="Arial Unicode MS"/>
                <w:sz w:val="22"/>
                <w:szCs w:val="22"/>
              </w:rPr>
              <w:t>(</w:t>
            </w:r>
            <w:r w:rsidR="004B6CF2">
              <w:rPr>
                <w:rFonts w:eastAsia="Arial Unicode MS"/>
                <w:sz w:val="22"/>
                <w:szCs w:val="22"/>
              </w:rPr>
              <w:t>2,605,538</w:t>
            </w:r>
            <w:r>
              <w:rPr>
                <w:rFonts w:eastAsia="Arial Unicode MS"/>
                <w:sz w:val="22"/>
                <w:szCs w:val="22"/>
              </w:rPr>
              <w:t>)</w:t>
            </w:r>
          </w:p>
        </w:tc>
        <w:tc>
          <w:tcPr>
            <w:tcW w:w="770"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009229B0" w14:textId="0503BC4C" w:rsidR="006033E7" w:rsidRPr="002E181C" w:rsidRDefault="0022492B" w:rsidP="00656716">
            <w:pPr>
              <w:ind w:right="85"/>
              <w:jc w:val="right"/>
              <w:rPr>
                <w:rFonts w:eastAsia="Arial Unicode MS"/>
                <w:sz w:val="22"/>
                <w:szCs w:val="22"/>
              </w:rPr>
            </w:pPr>
            <w:r>
              <w:rPr>
                <w:rFonts w:eastAsia="Arial Unicode MS"/>
                <w:sz w:val="22"/>
                <w:szCs w:val="22"/>
              </w:rPr>
              <w:t>(</w:t>
            </w:r>
            <w:r w:rsidR="00DD6E83">
              <w:rPr>
                <w:rFonts w:eastAsia="Arial Unicode MS"/>
                <w:sz w:val="22"/>
                <w:szCs w:val="22"/>
              </w:rPr>
              <w:t>1,358</w:t>
            </w:r>
            <w:r>
              <w:rPr>
                <w:rFonts w:eastAsia="Arial Unicode MS"/>
                <w:sz w:val="22"/>
                <w:szCs w:val="22"/>
              </w:rPr>
              <w:t>)</w:t>
            </w:r>
          </w:p>
        </w:tc>
        <w:tc>
          <w:tcPr>
            <w:tcW w:w="563"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1EA998D1" w14:textId="139647CA" w:rsidR="006033E7" w:rsidRPr="002E181C" w:rsidRDefault="00580D88" w:rsidP="00656716">
            <w:pPr>
              <w:ind w:right="85"/>
              <w:jc w:val="right"/>
              <w:rPr>
                <w:rFonts w:eastAsia="Arial Unicode MS"/>
                <w:sz w:val="22"/>
                <w:szCs w:val="22"/>
              </w:rPr>
            </w:pPr>
            <w:r>
              <w:rPr>
                <w:rFonts w:eastAsia="Arial Unicode MS"/>
                <w:sz w:val="22"/>
                <w:szCs w:val="22"/>
              </w:rPr>
              <w:t>150,189</w:t>
            </w:r>
          </w:p>
        </w:tc>
      </w:tr>
    </w:tbl>
    <w:p w14:paraId="076A678F" w14:textId="77777777" w:rsidR="001E3BD1" w:rsidRDefault="00A12B6A" w:rsidP="00A12B6A">
      <w:pPr>
        <w:jc w:val="center"/>
        <w:rPr>
          <w:sz w:val="24"/>
        </w:rPr>
        <w:sectPr w:rsidR="001E3BD1" w:rsidSect="0050377A">
          <w:headerReference w:type="first" r:id="rId28"/>
          <w:pgSz w:w="11909" w:h="16834" w:code="9"/>
          <w:pgMar w:top="936" w:right="1379" w:bottom="936" w:left="567" w:header="706" w:footer="706" w:gutter="0"/>
          <w:cols w:space="720"/>
          <w:titlePg/>
          <w:docGrid w:linePitch="272"/>
        </w:sectPr>
      </w:pPr>
      <w:r>
        <w:rPr>
          <w:sz w:val="24"/>
        </w:rPr>
        <w:br w:type="page"/>
      </w:r>
    </w:p>
    <w:p w14:paraId="7403D719" w14:textId="274970A1" w:rsidR="00A12B6A" w:rsidRPr="0077396B" w:rsidRDefault="009D769C" w:rsidP="00A12B6A">
      <w:pPr>
        <w:jc w:val="center"/>
        <w:rPr>
          <w:b/>
          <w:sz w:val="32"/>
          <w:szCs w:val="32"/>
        </w:rPr>
      </w:pPr>
      <w:r>
        <w:rPr>
          <w:b/>
          <w:sz w:val="32"/>
          <w:szCs w:val="32"/>
        </w:rPr>
        <w:t>MetalNRG</w:t>
      </w:r>
      <w:r w:rsidR="00A12B6A" w:rsidRPr="0077396B">
        <w:rPr>
          <w:b/>
          <w:sz w:val="32"/>
          <w:szCs w:val="32"/>
        </w:rPr>
        <w:t xml:space="preserve"> plc</w:t>
      </w:r>
    </w:p>
    <w:p w14:paraId="525FBD23" w14:textId="77777777" w:rsidR="00A12B6A" w:rsidRPr="0077396B" w:rsidRDefault="00A12B6A" w:rsidP="00A12B6A">
      <w:pPr>
        <w:pStyle w:val="xl25"/>
        <w:overflowPunct w:val="0"/>
        <w:autoSpaceDE w:val="0"/>
        <w:autoSpaceDN w:val="0"/>
        <w:adjustRightInd w:val="0"/>
        <w:spacing w:before="0" w:beforeAutospacing="0" w:after="0" w:afterAutospacing="0"/>
        <w:textAlignment w:val="baseline"/>
        <w:rPr>
          <w:rFonts w:eastAsia="Times New Roman"/>
          <w:bCs w:val="0"/>
          <w:sz w:val="22"/>
          <w:szCs w:val="22"/>
          <w:lang w:val="en-GB"/>
        </w:rPr>
      </w:pPr>
    </w:p>
    <w:p w14:paraId="3DE7C6A6" w14:textId="77777777" w:rsidR="00A12B6A" w:rsidRPr="00C40661" w:rsidRDefault="00A12B6A" w:rsidP="00A12B6A">
      <w:pPr>
        <w:pStyle w:val="Heading2"/>
        <w:rPr>
          <w:sz w:val="22"/>
          <w:szCs w:val="22"/>
        </w:rPr>
      </w:pPr>
      <w:r w:rsidRPr="00C40661">
        <w:rPr>
          <w:sz w:val="22"/>
          <w:szCs w:val="22"/>
        </w:rPr>
        <w:t>CO</w:t>
      </w:r>
      <w:r>
        <w:rPr>
          <w:sz w:val="22"/>
          <w:szCs w:val="22"/>
        </w:rPr>
        <w:t>MPANY</w:t>
      </w:r>
      <w:r w:rsidRPr="00C40661">
        <w:rPr>
          <w:sz w:val="22"/>
          <w:szCs w:val="22"/>
        </w:rPr>
        <w:t xml:space="preserve"> STATEMENT OF CHANGES IN EQUITY</w:t>
      </w:r>
    </w:p>
    <w:p w14:paraId="7FBCAD76" w14:textId="77777777" w:rsidR="00A12B6A" w:rsidRPr="00C40661" w:rsidRDefault="00A12B6A" w:rsidP="00A12B6A">
      <w:pPr>
        <w:jc w:val="center"/>
        <w:rPr>
          <w:b/>
          <w:sz w:val="22"/>
          <w:szCs w:val="22"/>
        </w:rPr>
      </w:pPr>
    </w:p>
    <w:p w14:paraId="17E0C164" w14:textId="2257764E" w:rsidR="009A0A06" w:rsidRPr="00C40661" w:rsidRDefault="009A0A06" w:rsidP="009A0A06">
      <w:pPr>
        <w:jc w:val="center"/>
        <w:rPr>
          <w:b/>
          <w:sz w:val="22"/>
          <w:szCs w:val="22"/>
        </w:rPr>
      </w:pPr>
      <w:r w:rsidRPr="00C40661">
        <w:rPr>
          <w:b/>
          <w:sz w:val="22"/>
          <w:szCs w:val="22"/>
        </w:rPr>
        <w:t xml:space="preserve">FOR THE </w:t>
      </w:r>
      <w:r w:rsidR="003068BE">
        <w:rPr>
          <w:b/>
          <w:sz w:val="22"/>
          <w:szCs w:val="22"/>
        </w:rPr>
        <w:t>YEAR</w:t>
      </w:r>
      <w:r w:rsidRPr="00C40661">
        <w:rPr>
          <w:b/>
          <w:sz w:val="22"/>
          <w:szCs w:val="22"/>
        </w:rPr>
        <w:t xml:space="preserve"> ENDED </w:t>
      </w:r>
      <w:r>
        <w:rPr>
          <w:b/>
          <w:sz w:val="22"/>
          <w:szCs w:val="22"/>
        </w:rPr>
        <w:t xml:space="preserve">31 DECEMBER </w:t>
      </w:r>
      <w:r w:rsidR="003068BE">
        <w:rPr>
          <w:b/>
          <w:sz w:val="22"/>
          <w:szCs w:val="22"/>
        </w:rPr>
        <w:t>2020</w:t>
      </w:r>
    </w:p>
    <w:p w14:paraId="2B3A413D" w14:textId="77777777" w:rsidR="00A12B6A" w:rsidRPr="00C40661" w:rsidRDefault="00A12B6A" w:rsidP="00A12B6A">
      <w:pPr>
        <w:jc w:val="center"/>
        <w:rPr>
          <w:sz w:val="22"/>
          <w:szCs w:val="22"/>
        </w:rPr>
      </w:pPr>
      <w:r w:rsidRPr="00C40661">
        <w:rPr>
          <w:sz w:val="22"/>
          <w:szCs w:val="22"/>
        </w:rPr>
        <w:t xml:space="preserve"> </w:t>
      </w:r>
    </w:p>
    <w:tbl>
      <w:tblPr>
        <w:tblW w:w="5000" w:type="pct"/>
        <w:tblLayout w:type="fixed"/>
        <w:tblCellMar>
          <w:left w:w="0" w:type="dxa"/>
          <w:right w:w="0" w:type="dxa"/>
        </w:tblCellMar>
        <w:tblLook w:val="0000" w:firstRow="0" w:lastRow="0" w:firstColumn="0" w:lastColumn="0" w:noHBand="0" w:noVBand="0"/>
      </w:tblPr>
      <w:tblGrid>
        <w:gridCol w:w="3336"/>
        <w:gridCol w:w="1249"/>
        <w:gridCol w:w="1668"/>
        <w:gridCol w:w="1668"/>
        <w:gridCol w:w="2042"/>
      </w:tblGrid>
      <w:tr w:rsidR="0050377A" w:rsidRPr="00C40661" w14:paraId="52774373"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74E58A96" w14:textId="77777777" w:rsidR="006033E7" w:rsidRPr="00C40661" w:rsidRDefault="006033E7" w:rsidP="008756DA">
            <w:pPr>
              <w:rPr>
                <w:rFonts w:eastAsia="Arial Unicode MS"/>
                <w:sz w:val="22"/>
                <w:szCs w:val="22"/>
              </w:rPr>
            </w:pPr>
          </w:p>
        </w:tc>
        <w:tc>
          <w:tcPr>
            <w:tcW w:w="627" w:type="pct"/>
            <w:tcBorders>
              <w:top w:val="nil"/>
              <w:left w:val="nil"/>
              <w:bottom w:val="nil"/>
              <w:right w:val="nil"/>
            </w:tcBorders>
            <w:noWrap/>
            <w:tcMar>
              <w:top w:w="15" w:type="dxa"/>
              <w:left w:w="15" w:type="dxa"/>
              <w:bottom w:w="0" w:type="dxa"/>
              <w:right w:w="15" w:type="dxa"/>
            </w:tcMar>
            <w:vAlign w:val="bottom"/>
          </w:tcPr>
          <w:p w14:paraId="25029CFF" w14:textId="77777777" w:rsidR="006033E7" w:rsidRPr="00C40661" w:rsidRDefault="006033E7" w:rsidP="00656716">
            <w:pPr>
              <w:jc w:val="right"/>
              <w:rPr>
                <w:rFonts w:eastAsia="Arial Unicode MS"/>
                <w:b/>
                <w:bCs/>
                <w:sz w:val="22"/>
                <w:szCs w:val="22"/>
              </w:rPr>
            </w:pPr>
            <w:r w:rsidRPr="00C40661">
              <w:rPr>
                <w:b/>
                <w:bCs/>
                <w:sz w:val="22"/>
                <w:szCs w:val="22"/>
              </w:rPr>
              <w:t>Share</w:t>
            </w:r>
          </w:p>
        </w:tc>
        <w:tc>
          <w:tcPr>
            <w:tcW w:w="837" w:type="pct"/>
            <w:tcBorders>
              <w:top w:val="nil"/>
              <w:left w:val="nil"/>
              <w:bottom w:val="nil"/>
              <w:right w:val="nil"/>
            </w:tcBorders>
            <w:noWrap/>
            <w:tcMar>
              <w:top w:w="15" w:type="dxa"/>
              <w:left w:w="15" w:type="dxa"/>
              <w:bottom w:w="0" w:type="dxa"/>
              <w:right w:w="15" w:type="dxa"/>
            </w:tcMar>
            <w:vAlign w:val="bottom"/>
          </w:tcPr>
          <w:p w14:paraId="704DA9E4" w14:textId="77777777" w:rsidR="006033E7" w:rsidRPr="00C40661" w:rsidRDefault="006033E7" w:rsidP="00656716">
            <w:pPr>
              <w:jc w:val="right"/>
              <w:rPr>
                <w:rFonts w:eastAsia="Arial Unicode MS"/>
                <w:b/>
                <w:bCs/>
                <w:sz w:val="22"/>
                <w:szCs w:val="22"/>
              </w:rPr>
            </w:pPr>
            <w:r w:rsidRPr="00C40661">
              <w:rPr>
                <w:b/>
                <w:bCs/>
                <w:sz w:val="22"/>
                <w:szCs w:val="22"/>
              </w:rPr>
              <w:t>Share</w:t>
            </w:r>
          </w:p>
        </w:tc>
        <w:tc>
          <w:tcPr>
            <w:tcW w:w="837" w:type="pct"/>
            <w:tcBorders>
              <w:top w:val="nil"/>
              <w:left w:val="nil"/>
              <w:bottom w:val="nil"/>
              <w:right w:val="nil"/>
            </w:tcBorders>
            <w:noWrap/>
            <w:tcMar>
              <w:top w:w="15" w:type="dxa"/>
              <w:left w:w="15" w:type="dxa"/>
              <w:bottom w:w="0" w:type="dxa"/>
              <w:right w:w="15" w:type="dxa"/>
            </w:tcMar>
            <w:vAlign w:val="bottom"/>
          </w:tcPr>
          <w:p w14:paraId="13D305EE" w14:textId="11D134AF" w:rsidR="006033E7" w:rsidRPr="00C40661" w:rsidRDefault="006033E7" w:rsidP="00656716">
            <w:pPr>
              <w:jc w:val="right"/>
              <w:rPr>
                <w:rFonts w:eastAsia="Arial Unicode MS"/>
                <w:b/>
                <w:bCs/>
                <w:sz w:val="22"/>
                <w:szCs w:val="22"/>
              </w:rPr>
            </w:pPr>
            <w:r w:rsidRPr="00C40661">
              <w:rPr>
                <w:b/>
                <w:bCs/>
                <w:sz w:val="22"/>
                <w:szCs w:val="22"/>
              </w:rPr>
              <w:t>Profit and</w:t>
            </w:r>
          </w:p>
        </w:tc>
        <w:tc>
          <w:tcPr>
            <w:tcW w:w="1025" w:type="pct"/>
            <w:tcBorders>
              <w:top w:val="nil"/>
              <w:left w:val="nil"/>
              <w:bottom w:val="nil"/>
              <w:right w:val="nil"/>
            </w:tcBorders>
            <w:noWrap/>
            <w:tcMar>
              <w:top w:w="15" w:type="dxa"/>
              <w:left w:w="15" w:type="dxa"/>
              <w:bottom w:w="0" w:type="dxa"/>
              <w:right w:w="15" w:type="dxa"/>
            </w:tcMar>
            <w:vAlign w:val="bottom"/>
          </w:tcPr>
          <w:p w14:paraId="21974784" w14:textId="771180CF" w:rsidR="006033E7" w:rsidRPr="00C40661" w:rsidRDefault="006033E7" w:rsidP="00656716">
            <w:pPr>
              <w:jc w:val="right"/>
              <w:rPr>
                <w:rFonts w:eastAsia="Arial Unicode MS"/>
                <w:b/>
                <w:bCs/>
                <w:sz w:val="22"/>
                <w:szCs w:val="22"/>
              </w:rPr>
            </w:pPr>
            <w:r>
              <w:rPr>
                <w:b/>
                <w:bCs/>
                <w:sz w:val="22"/>
                <w:szCs w:val="22"/>
              </w:rPr>
              <w:t>Total</w:t>
            </w:r>
          </w:p>
        </w:tc>
      </w:tr>
      <w:tr w:rsidR="0050377A" w:rsidRPr="00C40661" w14:paraId="4D7D654A"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446368CC" w14:textId="77777777" w:rsidR="006033E7" w:rsidRPr="00C40661" w:rsidRDefault="006033E7" w:rsidP="008756DA">
            <w:pPr>
              <w:rPr>
                <w:rFonts w:eastAsia="Arial Unicode MS"/>
                <w:sz w:val="22"/>
                <w:szCs w:val="22"/>
              </w:rPr>
            </w:pPr>
            <w:r w:rsidRPr="00C40661">
              <w:rPr>
                <w:b/>
                <w:bCs/>
                <w:sz w:val="22"/>
                <w:szCs w:val="22"/>
              </w:rPr>
              <w:t xml:space="preserve"> </w:t>
            </w:r>
          </w:p>
        </w:tc>
        <w:tc>
          <w:tcPr>
            <w:tcW w:w="627" w:type="pct"/>
            <w:tcBorders>
              <w:top w:val="nil"/>
              <w:left w:val="nil"/>
              <w:bottom w:val="nil"/>
              <w:right w:val="nil"/>
            </w:tcBorders>
            <w:noWrap/>
            <w:tcMar>
              <w:top w:w="15" w:type="dxa"/>
              <w:left w:w="15" w:type="dxa"/>
              <w:bottom w:w="0" w:type="dxa"/>
              <w:right w:w="15" w:type="dxa"/>
            </w:tcMar>
            <w:vAlign w:val="bottom"/>
          </w:tcPr>
          <w:p w14:paraId="34B821AB" w14:textId="77777777" w:rsidR="006033E7" w:rsidRPr="00C40661" w:rsidRDefault="006033E7" w:rsidP="00656716">
            <w:pPr>
              <w:jc w:val="right"/>
              <w:rPr>
                <w:rFonts w:eastAsia="Arial Unicode MS"/>
                <w:b/>
                <w:bCs/>
                <w:sz w:val="22"/>
                <w:szCs w:val="22"/>
              </w:rPr>
            </w:pPr>
            <w:r w:rsidRPr="00C40661">
              <w:rPr>
                <w:b/>
                <w:bCs/>
                <w:sz w:val="22"/>
                <w:szCs w:val="22"/>
              </w:rPr>
              <w:t>capital</w:t>
            </w:r>
          </w:p>
        </w:tc>
        <w:tc>
          <w:tcPr>
            <w:tcW w:w="837" w:type="pct"/>
            <w:tcBorders>
              <w:top w:val="nil"/>
              <w:left w:val="nil"/>
              <w:bottom w:val="nil"/>
              <w:right w:val="nil"/>
            </w:tcBorders>
            <w:noWrap/>
            <w:tcMar>
              <w:top w:w="15" w:type="dxa"/>
              <w:left w:w="15" w:type="dxa"/>
              <w:bottom w:w="0" w:type="dxa"/>
              <w:right w:w="15" w:type="dxa"/>
            </w:tcMar>
            <w:vAlign w:val="bottom"/>
          </w:tcPr>
          <w:p w14:paraId="16F06282" w14:textId="77777777" w:rsidR="006033E7" w:rsidRPr="00C40661" w:rsidRDefault="006033E7" w:rsidP="00656716">
            <w:pPr>
              <w:jc w:val="right"/>
              <w:rPr>
                <w:rFonts w:eastAsia="Arial Unicode MS"/>
                <w:b/>
                <w:bCs/>
                <w:sz w:val="22"/>
                <w:szCs w:val="22"/>
              </w:rPr>
            </w:pPr>
            <w:r w:rsidRPr="00C40661">
              <w:rPr>
                <w:b/>
                <w:bCs/>
                <w:sz w:val="22"/>
                <w:szCs w:val="22"/>
              </w:rPr>
              <w:t>premium</w:t>
            </w:r>
          </w:p>
        </w:tc>
        <w:tc>
          <w:tcPr>
            <w:tcW w:w="837" w:type="pct"/>
            <w:tcBorders>
              <w:top w:val="nil"/>
              <w:left w:val="nil"/>
              <w:bottom w:val="nil"/>
              <w:right w:val="nil"/>
            </w:tcBorders>
            <w:noWrap/>
            <w:tcMar>
              <w:top w:w="15" w:type="dxa"/>
              <w:left w:w="15" w:type="dxa"/>
              <w:bottom w:w="0" w:type="dxa"/>
              <w:right w:w="15" w:type="dxa"/>
            </w:tcMar>
            <w:vAlign w:val="bottom"/>
          </w:tcPr>
          <w:p w14:paraId="56E8A5DF" w14:textId="7DE6BBCB" w:rsidR="006033E7" w:rsidRPr="00C40661" w:rsidRDefault="006033E7" w:rsidP="00656716">
            <w:pPr>
              <w:jc w:val="right"/>
              <w:rPr>
                <w:rFonts w:eastAsia="Arial Unicode MS"/>
                <w:b/>
                <w:bCs/>
                <w:sz w:val="22"/>
                <w:szCs w:val="22"/>
              </w:rPr>
            </w:pPr>
            <w:r w:rsidRPr="00C40661">
              <w:rPr>
                <w:b/>
                <w:bCs/>
                <w:sz w:val="22"/>
                <w:szCs w:val="22"/>
              </w:rPr>
              <w:t>loss</w:t>
            </w:r>
          </w:p>
        </w:tc>
        <w:tc>
          <w:tcPr>
            <w:tcW w:w="1025" w:type="pct"/>
            <w:tcBorders>
              <w:top w:val="nil"/>
              <w:left w:val="nil"/>
              <w:bottom w:val="nil"/>
              <w:right w:val="nil"/>
            </w:tcBorders>
            <w:noWrap/>
            <w:tcMar>
              <w:top w:w="15" w:type="dxa"/>
              <w:left w:w="15" w:type="dxa"/>
              <w:bottom w:w="0" w:type="dxa"/>
              <w:right w:w="15" w:type="dxa"/>
            </w:tcMar>
            <w:vAlign w:val="bottom"/>
          </w:tcPr>
          <w:p w14:paraId="3630370D" w14:textId="793C9334" w:rsidR="006033E7" w:rsidRPr="00C40661" w:rsidRDefault="006033E7" w:rsidP="00656716">
            <w:pPr>
              <w:jc w:val="right"/>
              <w:rPr>
                <w:rFonts w:eastAsia="Arial Unicode MS"/>
                <w:b/>
                <w:bCs/>
                <w:sz w:val="22"/>
                <w:szCs w:val="22"/>
              </w:rPr>
            </w:pPr>
          </w:p>
        </w:tc>
      </w:tr>
      <w:tr w:rsidR="0050377A" w:rsidRPr="00C40661" w14:paraId="673C8C45"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5EA39C2D" w14:textId="77777777" w:rsidR="006033E7" w:rsidRPr="00C40661" w:rsidRDefault="006033E7" w:rsidP="008756DA">
            <w:pPr>
              <w:rPr>
                <w:rFonts w:eastAsia="Arial Unicode MS"/>
                <w:sz w:val="22"/>
                <w:szCs w:val="22"/>
              </w:rPr>
            </w:pPr>
          </w:p>
        </w:tc>
        <w:tc>
          <w:tcPr>
            <w:tcW w:w="627" w:type="pct"/>
            <w:tcBorders>
              <w:top w:val="nil"/>
              <w:left w:val="nil"/>
              <w:bottom w:val="nil"/>
              <w:right w:val="nil"/>
            </w:tcBorders>
            <w:noWrap/>
            <w:tcMar>
              <w:top w:w="15" w:type="dxa"/>
              <w:left w:w="15" w:type="dxa"/>
              <w:bottom w:w="0" w:type="dxa"/>
              <w:right w:w="15" w:type="dxa"/>
            </w:tcMar>
            <w:vAlign w:val="bottom"/>
          </w:tcPr>
          <w:p w14:paraId="45AB5173" w14:textId="77777777" w:rsidR="006033E7" w:rsidRPr="00C40661" w:rsidRDefault="006033E7" w:rsidP="00656716">
            <w:pPr>
              <w:jc w:val="right"/>
              <w:rPr>
                <w:rFonts w:eastAsia="Arial Unicode MS"/>
                <w:b/>
                <w:bCs/>
                <w:sz w:val="22"/>
                <w:szCs w:val="22"/>
              </w:rPr>
            </w:pPr>
          </w:p>
        </w:tc>
        <w:tc>
          <w:tcPr>
            <w:tcW w:w="837" w:type="pct"/>
            <w:tcBorders>
              <w:top w:val="nil"/>
              <w:left w:val="nil"/>
              <w:bottom w:val="nil"/>
              <w:right w:val="nil"/>
            </w:tcBorders>
            <w:noWrap/>
            <w:tcMar>
              <w:top w:w="15" w:type="dxa"/>
              <w:left w:w="15" w:type="dxa"/>
              <w:bottom w:w="0" w:type="dxa"/>
              <w:right w:w="15" w:type="dxa"/>
            </w:tcMar>
            <w:vAlign w:val="bottom"/>
          </w:tcPr>
          <w:p w14:paraId="58608038" w14:textId="77777777" w:rsidR="006033E7" w:rsidRPr="00C40661" w:rsidRDefault="006033E7" w:rsidP="00656716">
            <w:pPr>
              <w:jc w:val="right"/>
              <w:rPr>
                <w:rFonts w:eastAsia="Arial Unicode MS"/>
                <w:b/>
                <w:bCs/>
                <w:sz w:val="22"/>
                <w:szCs w:val="22"/>
              </w:rPr>
            </w:pPr>
          </w:p>
        </w:tc>
        <w:tc>
          <w:tcPr>
            <w:tcW w:w="837" w:type="pct"/>
            <w:tcBorders>
              <w:top w:val="nil"/>
              <w:left w:val="nil"/>
              <w:bottom w:val="nil"/>
              <w:right w:val="nil"/>
            </w:tcBorders>
            <w:noWrap/>
            <w:tcMar>
              <w:top w:w="15" w:type="dxa"/>
              <w:left w:w="15" w:type="dxa"/>
              <w:bottom w:w="0" w:type="dxa"/>
              <w:right w:w="15" w:type="dxa"/>
            </w:tcMar>
            <w:vAlign w:val="bottom"/>
          </w:tcPr>
          <w:p w14:paraId="3B1E846E" w14:textId="2358CAB8" w:rsidR="006033E7" w:rsidRPr="00C40661" w:rsidRDefault="006033E7" w:rsidP="00656716">
            <w:pPr>
              <w:jc w:val="right"/>
              <w:rPr>
                <w:rFonts w:eastAsia="Arial Unicode MS"/>
                <w:b/>
                <w:bCs/>
                <w:sz w:val="22"/>
                <w:szCs w:val="22"/>
              </w:rPr>
            </w:pPr>
          </w:p>
        </w:tc>
        <w:tc>
          <w:tcPr>
            <w:tcW w:w="1025" w:type="pct"/>
            <w:tcBorders>
              <w:top w:val="nil"/>
              <w:left w:val="nil"/>
              <w:bottom w:val="nil"/>
              <w:right w:val="nil"/>
            </w:tcBorders>
            <w:noWrap/>
            <w:tcMar>
              <w:top w:w="15" w:type="dxa"/>
              <w:left w:w="15" w:type="dxa"/>
              <w:bottom w:w="0" w:type="dxa"/>
              <w:right w:w="15" w:type="dxa"/>
            </w:tcMar>
            <w:vAlign w:val="bottom"/>
          </w:tcPr>
          <w:p w14:paraId="1CCB3233" w14:textId="77777777" w:rsidR="006033E7" w:rsidRPr="00C40661" w:rsidRDefault="006033E7" w:rsidP="00656716">
            <w:pPr>
              <w:jc w:val="right"/>
              <w:rPr>
                <w:rFonts w:eastAsia="Arial Unicode MS"/>
                <w:b/>
                <w:bCs/>
                <w:sz w:val="22"/>
                <w:szCs w:val="22"/>
              </w:rPr>
            </w:pPr>
          </w:p>
        </w:tc>
      </w:tr>
      <w:tr w:rsidR="0050377A" w:rsidRPr="00C40661" w14:paraId="4A344264"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18DE24BC" w14:textId="77777777" w:rsidR="006033E7" w:rsidRPr="00C40661" w:rsidRDefault="006033E7" w:rsidP="008756DA">
            <w:pPr>
              <w:rPr>
                <w:rFonts w:eastAsia="Arial Unicode MS"/>
                <w:sz w:val="22"/>
                <w:szCs w:val="22"/>
              </w:rPr>
            </w:pPr>
          </w:p>
        </w:tc>
        <w:tc>
          <w:tcPr>
            <w:tcW w:w="627" w:type="pct"/>
            <w:tcBorders>
              <w:top w:val="nil"/>
              <w:left w:val="nil"/>
              <w:right w:val="nil"/>
            </w:tcBorders>
            <w:noWrap/>
            <w:tcMar>
              <w:top w:w="15" w:type="dxa"/>
              <w:left w:w="15" w:type="dxa"/>
              <w:bottom w:w="0" w:type="dxa"/>
              <w:right w:w="15" w:type="dxa"/>
            </w:tcMar>
            <w:vAlign w:val="bottom"/>
          </w:tcPr>
          <w:p w14:paraId="1D3408D4" w14:textId="77777777" w:rsidR="006033E7" w:rsidRPr="00C40661" w:rsidRDefault="006033E7" w:rsidP="00656716">
            <w:pPr>
              <w:jc w:val="right"/>
              <w:rPr>
                <w:rFonts w:eastAsia="Arial Unicode MS"/>
                <w:b/>
                <w:bCs/>
                <w:sz w:val="22"/>
                <w:szCs w:val="22"/>
              </w:rPr>
            </w:pPr>
          </w:p>
        </w:tc>
        <w:tc>
          <w:tcPr>
            <w:tcW w:w="837" w:type="pct"/>
            <w:tcBorders>
              <w:top w:val="nil"/>
              <w:left w:val="nil"/>
              <w:right w:val="nil"/>
            </w:tcBorders>
            <w:noWrap/>
            <w:tcMar>
              <w:top w:w="15" w:type="dxa"/>
              <w:left w:w="15" w:type="dxa"/>
              <w:bottom w:w="0" w:type="dxa"/>
              <w:right w:w="15" w:type="dxa"/>
            </w:tcMar>
            <w:vAlign w:val="bottom"/>
          </w:tcPr>
          <w:p w14:paraId="70438042" w14:textId="77777777" w:rsidR="006033E7" w:rsidRPr="00C40661" w:rsidRDefault="006033E7" w:rsidP="00656716">
            <w:pPr>
              <w:jc w:val="right"/>
              <w:rPr>
                <w:rFonts w:eastAsia="Arial Unicode MS"/>
                <w:b/>
                <w:bCs/>
                <w:sz w:val="22"/>
                <w:szCs w:val="22"/>
              </w:rPr>
            </w:pPr>
          </w:p>
        </w:tc>
        <w:tc>
          <w:tcPr>
            <w:tcW w:w="837" w:type="pct"/>
            <w:tcBorders>
              <w:top w:val="nil"/>
              <w:left w:val="nil"/>
              <w:right w:val="nil"/>
            </w:tcBorders>
            <w:noWrap/>
            <w:tcMar>
              <w:top w:w="15" w:type="dxa"/>
              <w:left w:w="15" w:type="dxa"/>
              <w:bottom w:w="0" w:type="dxa"/>
              <w:right w:w="15" w:type="dxa"/>
            </w:tcMar>
            <w:vAlign w:val="bottom"/>
          </w:tcPr>
          <w:p w14:paraId="5199B798" w14:textId="78B4AF6A" w:rsidR="006033E7" w:rsidRPr="00C40661" w:rsidRDefault="006033E7" w:rsidP="00656716">
            <w:pPr>
              <w:jc w:val="right"/>
              <w:rPr>
                <w:rFonts w:eastAsia="Arial Unicode MS"/>
                <w:b/>
                <w:bCs/>
                <w:sz w:val="22"/>
                <w:szCs w:val="22"/>
              </w:rPr>
            </w:pPr>
          </w:p>
        </w:tc>
        <w:tc>
          <w:tcPr>
            <w:tcW w:w="1025" w:type="pct"/>
            <w:tcBorders>
              <w:top w:val="nil"/>
              <w:left w:val="nil"/>
              <w:right w:val="nil"/>
            </w:tcBorders>
            <w:noWrap/>
            <w:tcMar>
              <w:top w:w="15" w:type="dxa"/>
              <w:left w:w="15" w:type="dxa"/>
              <w:bottom w:w="0" w:type="dxa"/>
              <w:right w:w="15" w:type="dxa"/>
            </w:tcMar>
            <w:vAlign w:val="bottom"/>
          </w:tcPr>
          <w:p w14:paraId="112523C7" w14:textId="77777777" w:rsidR="006033E7" w:rsidRPr="00C40661" w:rsidRDefault="006033E7" w:rsidP="00656716">
            <w:pPr>
              <w:jc w:val="right"/>
              <w:rPr>
                <w:rFonts w:eastAsia="Arial Unicode MS"/>
                <w:b/>
                <w:bCs/>
                <w:sz w:val="22"/>
                <w:szCs w:val="22"/>
              </w:rPr>
            </w:pPr>
          </w:p>
        </w:tc>
      </w:tr>
      <w:tr w:rsidR="0050377A" w:rsidRPr="00C40661" w14:paraId="460ED99F"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51E3C4C7" w14:textId="77777777" w:rsidR="006033E7" w:rsidRPr="00C40661" w:rsidRDefault="006033E7" w:rsidP="008756DA">
            <w:pPr>
              <w:rPr>
                <w:rFonts w:eastAsia="Arial Unicode MS"/>
                <w:sz w:val="22"/>
                <w:szCs w:val="22"/>
              </w:rPr>
            </w:pPr>
          </w:p>
        </w:tc>
        <w:tc>
          <w:tcPr>
            <w:tcW w:w="627" w:type="pct"/>
            <w:tcBorders>
              <w:top w:val="nil"/>
              <w:left w:val="nil"/>
              <w:right w:val="nil"/>
            </w:tcBorders>
            <w:noWrap/>
            <w:tcMar>
              <w:top w:w="15" w:type="dxa"/>
              <w:left w:w="15" w:type="dxa"/>
              <w:bottom w:w="0" w:type="dxa"/>
              <w:right w:w="15" w:type="dxa"/>
            </w:tcMar>
            <w:vAlign w:val="bottom"/>
          </w:tcPr>
          <w:p w14:paraId="2A00E6F4" w14:textId="77777777" w:rsidR="006033E7" w:rsidRPr="00C40661" w:rsidRDefault="006033E7" w:rsidP="00656716">
            <w:pPr>
              <w:jc w:val="right"/>
              <w:rPr>
                <w:rFonts w:eastAsia="Arial Unicode MS"/>
                <w:b/>
                <w:bCs/>
                <w:sz w:val="22"/>
                <w:szCs w:val="22"/>
              </w:rPr>
            </w:pPr>
            <w:r w:rsidRPr="00C40661">
              <w:rPr>
                <w:b/>
                <w:bCs/>
                <w:sz w:val="22"/>
                <w:szCs w:val="22"/>
              </w:rPr>
              <w:t>£</w:t>
            </w:r>
          </w:p>
        </w:tc>
        <w:tc>
          <w:tcPr>
            <w:tcW w:w="837" w:type="pct"/>
            <w:tcBorders>
              <w:top w:val="nil"/>
              <w:left w:val="nil"/>
              <w:right w:val="nil"/>
            </w:tcBorders>
            <w:noWrap/>
            <w:tcMar>
              <w:top w:w="15" w:type="dxa"/>
              <w:left w:w="15" w:type="dxa"/>
              <w:bottom w:w="0" w:type="dxa"/>
              <w:right w:w="15" w:type="dxa"/>
            </w:tcMar>
            <w:vAlign w:val="bottom"/>
          </w:tcPr>
          <w:p w14:paraId="7FA8DE40" w14:textId="77777777" w:rsidR="006033E7" w:rsidRPr="00652CBB" w:rsidRDefault="006033E7" w:rsidP="00656716">
            <w:pPr>
              <w:jc w:val="right"/>
              <w:rPr>
                <w:b/>
                <w:bCs/>
                <w:sz w:val="22"/>
                <w:szCs w:val="22"/>
              </w:rPr>
            </w:pPr>
            <w:r w:rsidRPr="00C40661">
              <w:rPr>
                <w:b/>
                <w:bCs/>
                <w:sz w:val="22"/>
                <w:szCs w:val="22"/>
              </w:rPr>
              <w:t>£</w:t>
            </w:r>
          </w:p>
        </w:tc>
        <w:tc>
          <w:tcPr>
            <w:tcW w:w="837" w:type="pct"/>
            <w:tcBorders>
              <w:top w:val="nil"/>
              <w:left w:val="nil"/>
              <w:right w:val="nil"/>
            </w:tcBorders>
            <w:noWrap/>
            <w:tcMar>
              <w:top w:w="15" w:type="dxa"/>
              <w:left w:w="15" w:type="dxa"/>
              <w:bottom w:w="0" w:type="dxa"/>
              <w:right w:w="15" w:type="dxa"/>
            </w:tcMar>
            <w:vAlign w:val="bottom"/>
          </w:tcPr>
          <w:p w14:paraId="5772AEB7" w14:textId="767424A1" w:rsidR="006033E7" w:rsidRPr="00C40661" w:rsidRDefault="006033E7" w:rsidP="00656716">
            <w:pPr>
              <w:jc w:val="right"/>
              <w:rPr>
                <w:rFonts w:eastAsia="Arial Unicode MS"/>
                <w:b/>
                <w:bCs/>
                <w:sz w:val="22"/>
                <w:szCs w:val="22"/>
              </w:rPr>
            </w:pPr>
            <w:r w:rsidRPr="00C40661">
              <w:rPr>
                <w:b/>
                <w:bCs/>
                <w:sz w:val="22"/>
                <w:szCs w:val="22"/>
              </w:rPr>
              <w:t>£</w:t>
            </w:r>
          </w:p>
        </w:tc>
        <w:tc>
          <w:tcPr>
            <w:tcW w:w="1025" w:type="pct"/>
            <w:tcBorders>
              <w:top w:val="nil"/>
              <w:left w:val="nil"/>
              <w:right w:val="nil"/>
            </w:tcBorders>
            <w:noWrap/>
            <w:tcMar>
              <w:top w:w="15" w:type="dxa"/>
              <w:left w:w="15" w:type="dxa"/>
              <w:bottom w:w="0" w:type="dxa"/>
              <w:right w:w="15" w:type="dxa"/>
            </w:tcMar>
            <w:vAlign w:val="bottom"/>
          </w:tcPr>
          <w:p w14:paraId="65A58708" w14:textId="77777777" w:rsidR="006033E7" w:rsidRPr="00C40661" w:rsidRDefault="006033E7" w:rsidP="00656716">
            <w:pPr>
              <w:jc w:val="right"/>
              <w:rPr>
                <w:rFonts w:eastAsia="Arial Unicode MS"/>
                <w:b/>
                <w:bCs/>
                <w:sz w:val="22"/>
                <w:szCs w:val="22"/>
              </w:rPr>
            </w:pPr>
            <w:r w:rsidRPr="00C40661">
              <w:rPr>
                <w:b/>
                <w:bCs/>
                <w:sz w:val="22"/>
                <w:szCs w:val="22"/>
              </w:rPr>
              <w:t>£</w:t>
            </w:r>
          </w:p>
        </w:tc>
      </w:tr>
      <w:tr w:rsidR="0050377A" w:rsidRPr="00C40661" w14:paraId="76E99616" w14:textId="77777777" w:rsidTr="0050377A">
        <w:trPr>
          <w:trHeight w:val="184"/>
        </w:trPr>
        <w:tc>
          <w:tcPr>
            <w:tcW w:w="1674" w:type="pct"/>
            <w:tcBorders>
              <w:top w:val="nil"/>
              <w:left w:val="nil"/>
              <w:bottom w:val="nil"/>
              <w:right w:val="nil"/>
            </w:tcBorders>
            <w:noWrap/>
            <w:tcMar>
              <w:top w:w="15" w:type="dxa"/>
              <w:left w:w="15" w:type="dxa"/>
              <w:bottom w:w="0" w:type="dxa"/>
              <w:right w:w="15" w:type="dxa"/>
            </w:tcMar>
            <w:vAlign w:val="bottom"/>
          </w:tcPr>
          <w:p w14:paraId="42BF8633" w14:textId="6516849A" w:rsidR="006033E7" w:rsidRPr="00C40661" w:rsidRDefault="006033E7" w:rsidP="00900235">
            <w:pPr>
              <w:ind w:right="-34"/>
              <w:rPr>
                <w:rFonts w:eastAsia="Arial Unicode MS"/>
                <w:sz w:val="22"/>
                <w:szCs w:val="22"/>
              </w:rPr>
            </w:pPr>
            <w:r w:rsidRPr="00C40661">
              <w:rPr>
                <w:sz w:val="22"/>
                <w:szCs w:val="22"/>
              </w:rPr>
              <w:t xml:space="preserve">At </w:t>
            </w:r>
            <w:r>
              <w:rPr>
                <w:sz w:val="22"/>
                <w:szCs w:val="22"/>
              </w:rPr>
              <w:t>1 March 201</w:t>
            </w:r>
            <w:r w:rsidR="003068BE">
              <w:rPr>
                <w:sz w:val="22"/>
                <w:szCs w:val="22"/>
              </w:rPr>
              <w:t>9</w:t>
            </w:r>
          </w:p>
        </w:tc>
        <w:tc>
          <w:tcPr>
            <w:tcW w:w="627" w:type="pct"/>
            <w:tcBorders>
              <w:left w:val="nil"/>
              <w:bottom w:val="single" w:sz="4" w:space="0" w:color="auto"/>
              <w:right w:val="nil"/>
            </w:tcBorders>
            <w:noWrap/>
            <w:tcMar>
              <w:top w:w="15" w:type="dxa"/>
              <w:left w:w="15" w:type="dxa"/>
              <w:bottom w:w="0" w:type="dxa"/>
              <w:right w:w="15" w:type="dxa"/>
            </w:tcMar>
            <w:vAlign w:val="center"/>
          </w:tcPr>
          <w:p w14:paraId="488C1969" w14:textId="78F8D9CB" w:rsidR="006033E7" w:rsidRPr="00C40661" w:rsidRDefault="003068BE" w:rsidP="00656716">
            <w:pPr>
              <w:ind w:right="85"/>
              <w:jc w:val="right"/>
              <w:rPr>
                <w:rFonts w:eastAsia="Arial Unicode MS"/>
                <w:sz w:val="22"/>
                <w:szCs w:val="22"/>
              </w:rPr>
            </w:pPr>
            <w:r>
              <w:rPr>
                <w:sz w:val="22"/>
                <w:szCs w:val="22"/>
              </w:rPr>
              <w:t>257,114</w:t>
            </w:r>
          </w:p>
        </w:tc>
        <w:tc>
          <w:tcPr>
            <w:tcW w:w="837" w:type="pct"/>
            <w:tcBorders>
              <w:left w:val="nil"/>
              <w:bottom w:val="single" w:sz="4" w:space="0" w:color="auto"/>
              <w:right w:val="nil"/>
            </w:tcBorders>
            <w:noWrap/>
            <w:tcMar>
              <w:top w:w="15" w:type="dxa"/>
              <w:left w:w="15" w:type="dxa"/>
              <w:bottom w:w="0" w:type="dxa"/>
              <w:right w:w="15" w:type="dxa"/>
            </w:tcMar>
            <w:vAlign w:val="center"/>
          </w:tcPr>
          <w:p w14:paraId="41B7A48A" w14:textId="7DC83D59" w:rsidR="006033E7" w:rsidRPr="00C40661" w:rsidRDefault="003068BE" w:rsidP="00656716">
            <w:pPr>
              <w:ind w:right="85"/>
              <w:jc w:val="right"/>
              <w:rPr>
                <w:rFonts w:eastAsia="Arial Unicode MS"/>
                <w:sz w:val="22"/>
                <w:szCs w:val="22"/>
              </w:rPr>
            </w:pPr>
            <w:r>
              <w:rPr>
                <w:sz w:val="22"/>
                <w:szCs w:val="22"/>
              </w:rPr>
              <w:t>1,886,524</w:t>
            </w:r>
          </w:p>
        </w:tc>
        <w:tc>
          <w:tcPr>
            <w:tcW w:w="837" w:type="pct"/>
            <w:tcBorders>
              <w:left w:val="nil"/>
              <w:bottom w:val="single" w:sz="4" w:space="0" w:color="auto"/>
              <w:right w:val="nil"/>
            </w:tcBorders>
            <w:noWrap/>
            <w:tcMar>
              <w:top w:w="15" w:type="dxa"/>
              <w:left w:w="15" w:type="dxa"/>
              <w:bottom w:w="0" w:type="dxa"/>
              <w:right w:w="15" w:type="dxa"/>
            </w:tcMar>
            <w:vAlign w:val="center"/>
          </w:tcPr>
          <w:p w14:paraId="7AA24622" w14:textId="05E6823C" w:rsidR="006033E7" w:rsidRPr="00C40661" w:rsidRDefault="006033E7" w:rsidP="00656716">
            <w:pPr>
              <w:ind w:right="85"/>
              <w:jc w:val="right"/>
              <w:rPr>
                <w:rFonts w:eastAsia="Arial Unicode MS"/>
                <w:sz w:val="22"/>
                <w:szCs w:val="22"/>
              </w:rPr>
            </w:pPr>
            <w:r w:rsidRPr="00C40661">
              <w:rPr>
                <w:rFonts w:eastAsia="Arial Unicode MS"/>
                <w:sz w:val="22"/>
                <w:szCs w:val="22"/>
              </w:rPr>
              <w:t>(</w:t>
            </w:r>
            <w:r w:rsidR="003068BE">
              <w:rPr>
                <w:rFonts w:eastAsia="Arial Unicode MS"/>
                <w:sz w:val="22"/>
                <w:szCs w:val="22"/>
              </w:rPr>
              <w:t>1,201,413</w:t>
            </w:r>
            <w:r w:rsidRPr="00C40661">
              <w:rPr>
                <w:rFonts w:eastAsia="Arial Unicode MS"/>
                <w:sz w:val="22"/>
                <w:szCs w:val="22"/>
              </w:rPr>
              <w:t>)</w:t>
            </w:r>
          </w:p>
        </w:tc>
        <w:tc>
          <w:tcPr>
            <w:tcW w:w="1025" w:type="pct"/>
            <w:tcBorders>
              <w:left w:val="nil"/>
              <w:bottom w:val="single" w:sz="4" w:space="0" w:color="auto"/>
              <w:right w:val="nil"/>
            </w:tcBorders>
            <w:vAlign w:val="center"/>
          </w:tcPr>
          <w:p w14:paraId="3E698116" w14:textId="771EF7DC" w:rsidR="006033E7" w:rsidRPr="00C40661" w:rsidRDefault="003068BE" w:rsidP="00656716">
            <w:pPr>
              <w:ind w:right="85"/>
              <w:jc w:val="right"/>
              <w:rPr>
                <w:sz w:val="22"/>
                <w:szCs w:val="22"/>
              </w:rPr>
            </w:pPr>
            <w:r>
              <w:rPr>
                <w:sz w:val="22"/>
                <w:szCs w:val="22"/>
              </w:rPr>
              <w:t>942,225</w:t>
            </w:r>
          </w:p>
        </w:tc>
      </w:tr>
      <w:tr w:rsidR="0050377A" w:rsidRPr="00C40661" w14:paraId="6F80E3EF"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7A2FC180" w14:textId="77777777" w:rsidR="006033E7" w:rsidRPr="00C40661" w:rsidRDefault="006033E7" w:rsidP="008756DA">
            <w:pPr>
              <w:rPr>
                <w:rFonts w:eastAsia="Arial Unicode MS"/>
                <w:sz w:val="22"/>
                <w:szCs w:val="22"/>
              </w:rPr>
            </w:pPr>
          </w:p>
        </w:tc>
        <w:tc>
          <w:tcPr>
            <w:tcW w:w="627" w:type="pct"/>
            <w:tcBorders>
              <w:top w:val="single" w:sz="4" w:space="0" w:color="auto"/>
              <w:left w:val="nil"/>
              <w:bottom w:val="nil"/>
              <w:right w:val="nil"/>
            </w:tcBorders>
            <w:noWrap/>
            <w:tcMar>
              <w:top w:w="15" w:type="dxa"/>
              <w:left w:w="15" w:type="dxa"/>
              <w:bottom w:w="0" w:type="dxa"/>
              <w:right w:w="15" w:type="dxa"/>
            </w:tcMar>
            <w:vAlign w:val="center"/>
          </w:tcPr>
          <w:p w14:paraId="151F40EA" w14:textId="77777777" w:rsidR="006033E7" w:rsidRPr="00C40661" w:rsidRDefault="006033E7" w:rsidP="00656716">
            <w:pPr>
              <w:ind w:right="85"/>
              <w:jc w:val="right"/>
              <w:rPr>
                <w:rFonts w:eastAsia="Arial Unicode MS"/>
                <w:sz w:val="22"/>
                <w:szCs w:val="22"/>
              </w:rPr>
            </w:pPr>
          </w:p>
        </w:tc>
        <w:tc>
          <w:tcPr>
            <w:tcW w:w="837" w:type="pct"/>
            <w:tcBorders>
              <w:top w:val="single" w:sz="4" w:space="0" w:color="auto"/>
              <w:left w:val="nil"/>
              <w:bottom w:val="nil"/>
              <w:right w:val="nil"/>
            </w:tcBorders>
            <w:noWrap/>
            <w:tcMar>
              <w:top w:w="15" w:type="dxa"/>
              <w:left w:w="15" w:type="dxa"/>
              <w:bottom w:w="0" w:type="dxa"/>
              <w:right w:w="15" w:type="dxa"/>
            </w:tcMar>
            <w:vAlign w:val="center"/>
          </w:tcPr>
          <w:p w14:paraId="6B0A1CC2" w14:textId="77777777" w:rsidR="006033E7" w:rsidRPr="00C40661" w:rsidRDefault="006033E7" w:rsidP="00656716">
            <w:pPr>
              <w:ind w:right="85"/>
              <w:jc w:val="right"/>
              <w:rPr>
                <w:rFonts w:eastAsia="Arial Unicode MS"/>
                <w:sz w:val="22"/>
                <w:szCs w:val="22"/>
              </w:rPr>
            </w:pPr>
          </w:p>
        </w:tc>
        <w:tc>
          <w:tcPr>
            <w:tcW w:w="837" w:type="pct"/>
            <w:tcBorders>
              <w:top w:val="single" w:sz="4" w:space="0" w:color="auto"/>
              <w:left w:val="nil"/>
              <w:bottom w:val="nil"/>
              <w:right w:val="nil"/>
            </w:tcBorders>
            <w:noWrap/>
            <w:tcMar>
              <w:top w:w="15" w:type="dxa"/>
              <w:left w:w="15" w:type="dxa"/>
              <w:bottom w:w="0" w:type="dxa"/>
              <w:right w:w="15" w:type="dxa"/>
            </w:tcMar>
            <w:vAlign w:val="center"/>
          </w:tcPr>
          <w:p w14:paraId="1BA3A2F6" w14:textId="7B42D0FE" w:rsidR="006033E7" w:rsidRPr="00C40661" w:rsidRDefault="006033E7" w:rsidP="00656716">
            <w:pPr>
              <w:ind w:right="85"/>
              <w:jc w:val="right"/>
              <w:rPr>
                <w:rFonts w:eastAsia="Arial Unicode MS"/>
                <w:sz w:val="22"/>
                <w:szCs w:val="22"/>
              </w:rPr>
            </w:pPr>
          </w:p>
        </w:tc>
        <w:tc>
          <w:tcPr>
            <w:tcW w:w="1025" w:type="pct"/>
            <w:tcBorders>
              <w:top w:val="single" w:sz="4" w:space="0" w:color="auto"/>
              <w:left w:val="nil"/>
              <w:bottom w:val="nil"/>
              <w:right w:val="nil"/>
            </w:tcBorders>
            <w:noWrap/>
            <w:tcMar>
              <w:top w:w="15" w:type="dxa"/>
              <w:left w:w="15" w:type="dxa"/>
              <w:bottom w:w="0" w:type="dxa"/>
              <w:right w:w="15" w:type="dxa"/>
            </w:tcMar>
            <w:vAlign w:val="center"/>
          </w:tcPr>
          <w:p w14:paraId="6FAF7388" w14:textId="77777777" w:rsidR="006033E7" w:rsidRPr="00C40661" w:rsidRDefault="006033E7" w:rsidP="00656716">
            <w:pPr>
              <w:ind w:right="85"/>
              <w:jc w:val="right"/>
              <w:rPr>
                <w:rFonts w:eastAsia="Arial Unicode MS"/>
                <w:sz w:val="22"/>
                <w:szCs w:val="22"/>
              </w:rPr>
            </w:pPr>
          </w:p>
        </w:tc>
      </w:tr>
      <w:tr w:rsidR="0050377A" w:rsidRPr="00C40661" w14:paraId="7068C60B"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3EB52915" w14:textId="182D0E6C" w:rsidR="006033E7" w:rsidRPr="00C40661" w:rsidRDefault="006033E7" w:rsidP="00900235">
            <w:pPr>
              <w:rPr>
                <w:rFonts w:eastAsia="Arial Unicode MS"/>
                <w:sz w:val="22"/>
                <w:szCs w:val="22"/>
              </w:rPr>
            </w:pPr>
            <w:r w:rsidRPr="00C40661">
              <w:rPr>
                <w:sz w:val="22"/>
                <w:szCs w:val="22"/>
              </w:rPr>
              <w:t xml:space="preserve">Loss for the period </w:t>
            </w:r>
          </w:p>
        </w:tc>
        <w:tc>
          <w:tcPr>
            <w:tcW w:w="627" w:type="pct"/>
            <w:tcBorders>
              <w:left w:val="nil"/>
              <w:right w:val="nil"/>
            </w:tcBorders>
            <w:noWrap/>
            <w:tcMar>
              <w:top w:w="15" w:type="dxa"/>
              <w:left w:w="15" w:type="dxa"/>
              <w:bottom w:w="0" w:type="dxa"/>
              <w:right w:w="15" w:type="dxa"/>
            </w:tcMar>
            <w:vAlign w:val="center"/>
          </w:tcPr>
          <w:p w14:paraId="46F5DBC7" w14:textId="6DC01D1B" w:rsidR="006033E7" w:rsidRPr="00C40661" w:rsidRDefault="006033E7" w:rsidP="00656716">
            <w:pPr>
              <w:ind w:right="85"/>
              <w:jc w:val="right"/>
              <w:rPr>
                <w:rFonts w:eastAsia="Arial Unicode MS"/>
                <w:sz w:val="22"/>
                <w:szCs w:val="22"/>
              </w:rPr>
            </w:pPr>
            <w:r w:rsidRPr="006D56BD">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60FD3044" w14:textId="1C94026C" w:rsidR="006033E7" w:rsidRPr="00C40661" w:rsidRDefault="006033E7" w:rsidP="00656716">
            <w:pPr>
              <w:ind w:right="85"/>
              <w:jc w:val="right"/>
              <w:rPr>
                <w:rFonts w:eastAsia="Arial Unicode MS"/>
                <w:sz w:val="22"/>
                <w:szCs w:val="22"/>
              </w:rPr>
            </w:pPr>
            <w:r w:rsidRPr="006D56BD">
              <w:rPr>
                <w:rFonts w:eastAsia="Arial Unicode MS"/>
                <w:sz w:val="22"/>
                <w:szCs w:val="22"/>
              </w:rPr>
              <w:t>-</w:t>
            </w:r>
          </w:p>
        </w:tc>
        <w:tc>
          <w:tcPr>
            <w:tcW w:w="837" w:type="pct"/>
            <w:tcBorders>
              <w:left w:val="nil"/>
              <w:right w:val="nil"/>
            </w:tcBorders>
            <w:vAlign w:val="center"/>
          </w:tcPr>
          <w:p w14:paraId="43CC1A6C" w14:textId="34D164DD" w:rsidR="006033E7" w:rsidRPr="00C40661" w:rsidRDefault="006033E7" w:rsidP="00656716">
            <w:pPr>
              <w:ind w:right="85"/>
              <w:jc w:val="right"/>
              <w:rPr>
                <w:sz w:val="22"/>
                <w:szCs w:val="22"/>
              </w:rPr>
            </w:pPr>
            <w:r w:rsidRPr="006D56BD">
              <w:rPr>
                <w:rFonts w:eastAsia="Arial Unicode MS"/>
                <w:sz w:val="22"/>
                <w:szCs w:val="22"/>
              </w:rPr>
              <w:t>(</w:t>
            </w:r>
            <w:r w:rsidR="003068BE">
              <w:rPr>
                <w:rFonts w:eastAsia="Arial Unicode MS"/>
                <w:sz w:val="22"/>
                <w:szCs w:val="22"/>
              </w:rPr>
              <w:t>591,347</w:t>
            </w:r>
            <w:r w:rsidRPr="006D56BD">
              <w:rPr>
                <w:rFonts w:eastAsia="Arial Unicode MS"/>
                <w:sz w:val="22"/>
                <w:szCs w:val="22"/>
              </w:rPr>
              <w:t>)</w:t>
            </w:r>
          </w:p>
        </w:tc>
        <w:tc>
          <w:tcPr>
            <w:tcW w:w="1025" w:type="pct"/>
            <w:tcBorders>
              <w:left w:val="nil"/>
              <w:right w:val="nil"/>
            </w:tcBorders>
            <w:noWrap/>
            <w:tcMar>
              <w:top w:w="15" w:type="dxa"/>
              <w:left w:w="15" w:type="dxa"/>
              <w:bottom w:w="0" w:type="dxa"/>
              <w:right w:w="15" w:type="dxa"/>
            </w:tcMar>
            <w:vAlign w:val="center"/>
          </w:tcPr>
          <w:p w14:paraId="081E85DE" w14:textId="767D3F91" w:rsidR="006033E7" w:rsidRPr="00C40661" w:rsidRDefault="006033E7" w:rsidP="00656716">
            <w:pPr>
              <w:ind w:right="85"/>
              <w:jc w:val="right"/>
              <w:rPr>
                <w:rFonts w:eastAsia="Arial Unicode MS"/>
                <w:sz w:val="22"/>
                <w:szCs w:val="22"/>
              </w:rPr>
            </w:pPr>
            <w:r>
              <w:rPr>
                <w:sz w:val="22"/>
                <w:szCs w:val="22"/>
              </w:rPr>
              <w:t>(</w:t>
            </w:r>
            <w:r w:rsidR="003068BE">
              <w:rPr>
                <w:sz w:val="22"/>
                <w:szCs w:val="22"/>
              </w:rPr>
              <w:t>591,347</w:t>
            </w:r>
            <w:r>
              <w:rPr>
                <w:sz w:val="22"/>
                <w:szCs w:val="22"/>
              </w:rPr>
              <w:t>)</w:t>
            </w:r>
          </w:p>
        </w:tc>
      </w:tr>
      <w:tr w:rsidR="0050377A" w:rsidRPr="00C40661" w14:paraId="27744A12"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7E82982B" w14:textId="242E6C1E" w:rsidR="006033E7" w:rsidRPr="00C40661" w:rsidRDefault="006033E7" w:rsidP="00900235">
            <w:pPr>
              <w:rPr>
                <w:rFonts w:eastAsia="Arial Unicode MS"/>
                <w:sz w:val="22"/>
                <w:szCs w:val="22"/>
              </w:rPr>
            </w:pPr>
            <w:r>
              <w:rPr>
                <w:sz w:val="22"/>
                <w:szCs w:val="22"/>
              </w:rPr>
              <w:t>Comprehensive loss for the period</w:t>
            </w:r>
          </w:p>
        </w:tc>
        <w:tc>
          <w:tcPr>
            <w:tcW w:w="62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3149358" w14:textId="417C18F5" w:rsidR="006033E7" w:rsidRPr="00C40661" w:rsidRDefault="006033E7" w:rsidP="00656716">
            <w:pPr>
              <w:ind w:right="85"/>
              <w:jc w:val="right"/>
              <w:rPr>
                <w:rFonts w:eastAsia="Arial Unicode MS"/>
                <w:sz w:val="22"/>
                <w:szCs w:val="22"/>
              </w:rPr>
            </w:pPr>
            <w:r w:rsidRPr="006D56BD">
              <w:rPr>
                <w:rFonts w:eastAsia="Arial Unicode MS"/>
                <w:sz w:val="22"/>
                <w:szCs w:val="22"/>
              </w:rPr>
              <w:t>-</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7657C32" w14:textId="49E2FF0D" w:rsidR="006033E7" w:rsidRPr="00C40661" w:rsidRDefault="006033E7" w:rsidP="00656716">
            <w:pPr>
              <w:ind w:right="85"/>
              <w:jc w:val="right"/>
              <w:rPr>
                <w:rFonts w:eastAsia="Arial Unicode MS"/>
                <w:sz w:val="22"/>
                <w:szCs w:val="22"/>
              </w:rPr>
            </w:pPr>
            <w:r w:rsidRPr="006D56BD">
              <w:rPr>
                <w:rFonts w:eastAsia="Arial Unicode MS"/>
                <w:sz w:val="22"/>
                <w:szCs w:val="22"/>
              </w:rPr>
              <w:t>-</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805B1BB" w14:textId="60173C9D" w:rsidR="006033E7" w:rsidRPr="00C40661" w:rsidRDefault="006033E7" w:rsidP="00656716">
            <w:pPr>
              <w:ind w:right="85"/>
              <w:jc w:val="right"/>
              <w:rPr>
                <w:rFonts w:eastAsia="Arial Unicode MS"/>
                <w:sz w:val="22"/>
                <w:szCs w:val="22"/>
              </w:rPr>
            </w:pPr>
            <w:r w:rsidRPr="006D56BD">
              <w:rPr>
                <w:rFonts w:eastAsia="Arial Unicode MS"/>
                <w:sz w:val="22"/>
                <w:szCs w:val="22"/>
              </w:rPr>
              <w:t>(</w:t>
            </w:r>
            <w:r w:rsidR="003068BE">
              <w:rPr>
                <w:rFonts w:eastAsia="Arial Unicode MS"/>
                <w:sz w:val="22"/>
                <w:szCs w:val="22"/>
              </w:rPr>
              <w:t>591,347</w:t>
            </w:r>
            <w:r w:rsidRPr="006D56BD">
              <w:rPr>
                <w:rFonts w:eastAsia="Arial Unicode MS"/>
                <w:sz w:val="22"/>
                <w:szCs w:val="22"/>
              </w:rPr>
              <w:t>)</w:t>
            </w:r>
          </w:p>
        </w:tc>
        <w:tc>
          <w:tcPr>
            <w:tcW w:w="1025" w:type="pct"/>
            <w:tcBorders>
              <w:top w:val="single" w:sz="4" w:space="0" w:color="auto"/>
              <w:left w:val="nil"/>
              <w:bottom w:val="single" w:sz="4" w:space="0" w:color="auto"/>
              <w:right w:val="nil"/>
            </w:tcBorders>
            <w:vAlign w:val="center"/>
          </w:tcPr>
          <w:p w14:paraId="7D801039" w14:textId="3DFC8ED1" w:rsidR="006033E7" w:rsidRPr="00C40661" w:rsidRDefault="006033E7" w:rsidP="00656716">
            <w:pPr>
              <w:ind w:right="85"/>
              <w:jc w:val="right"/>
              <w:rPr>
                <w:sz w:val="22"/>
                <w:szCs w:val="22"/>
              </w:rPr>
            </w:pPr>
            <w:r>
              <w:rPr>
                <w:sz w:val="22"/>
                <w:szCs w:val="22"/>
              </w:rPr>
              <w:t>(</w:t>
            </w:r>
            <w:r w:rsidR="003068BE">
              <w:rPr>
                <w:sz w:val="22"/>
                <w:szCs w:val="22"/>
              </w:rPr>
              <w:t>591,347</w:t>
            </w:r>
            <w:r>
              <w:rPr>
                <w:sz w:val="22"/>
                <w:szCs w:val="22"/>
              </w:rPr>
              <w:t>)</w:t>
            </w:r>
          </w:p>
        </w:tc>
      </w:tr>
      <w:tr w:rsidR="0050377A" w:rsidRPr="00C40661" w14:paraId="61370881"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334A4E16" w14:textId="77777777" w:rsidR="006033E7" w:rsidRPr="00C40661" w:rsidRDefault="006033E7" w:rsidP="00900235">
            <w:pPr>
              <w:rPr>
                <w:rFonts w:eastAsia="Arial Unicode MS"/>
                <w:sz w:val="22"/>
                <w:szCs w:val="22"/>
              </w:rPr>
            </w:pPr>
          </w:p>
        </w:tc>
        <w:tc>
          <w:tcPr>
            <w:tcW w:w="627" w:type="pct"/>
            <w:tcBorders>
              <w:top w:val="single" w:sz="4" w:space="0" w:color="auto"/>
              <w:left w:val="nil"/>
              <w:right w:val="nil"/>
            </w:tcBorders>
            <w:noWrap/>
            <w:tcMar>
              <w:top w:w="15" w:type="dxa"/>
              <w:left w:w="15" w:type="dxa"/>
              <w:bottom w:w="0" w:type="dxa"/>
              <w:right w:w="15" w:type="dxa"/>
            </w:tcMar>
            <w:vAlign w:val="center"/>
          </w:tcPr>
          <w:p w14:paraId="44A268A6" w14:textId="77777777" w:rsidR="006033E7" w:rsidRPr="00C40661" w:rsidRDefault="006033E7" w:rsidP="00656716">
            <w:pPr>
              <w:ind w:right="85"/>
              <w:jc w:val="right"/>
              <w:rPr>
                <w:rFonts w:eastAsia="Arial Unicode MS"/>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25958D29" w14:textId="77777777" w:rsidR="006033E7" w:rsidRPr="00C40661" w:rsidRDefault="006033E7" w:rsidP="00656716">
            <w:pPr>
              <w:ind w:right="85"/>
              <w:jc w:val="right"/>
              <w:rPr>
                <w:rFonts w:eastAsia="Arial Unicode MS"/>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5E56DADA" w14:textId="7BAD6128" w:rsidR="006033E7" w:rsidRPr="00C40661" w:rsidRDefault="006033E7" w:rsidP="00656716">
            <w:pPr>
              <w:ind w:right="85"/>
              <w:jc w:val="right"/>
              <w:rPr>
                <w:rFonts w:eastAsia="Arial Unicode MS"/>
                <w:sz w:val="22"/>
                <w:szCs w:val="22"/>
              </w:rPr>
            </w:pPr>
          </w:p>
        </w:tc>
        <w:tc>
          <w:tcPr>
            <w:tcW w:w="1025" w:type="pct"/>
            <w:tcBorders>
              <w:top w:val="single" w:sz="4" w:space="0" w:color="auto"/>
              <w:left w:val="nil"/>
              <w:right w:val="nil"/>
            </w:tcBorders>
            <w:noWrap/>
            <w:tcMar>
              <w:top w:w="15" w:type="dxa"/>
              <w:left w:w="15" w:type="dxa"/>
              <w:bottom w:w="0" w:type="dxa"/>
              <w:right w:w="15" w:type="dxa"/>
            </w:tcMar>
            <w:vAlign w:val="center"/>
          </w:tcPr>
          <w:p w14:paraId="4516BC21" w14:textId="77777777" w:rsidR="006033E7" w:rsidRPr="00C40661" w:rsidRDefault="006033E7" w:rsidP="00656716">
            <w:pPr>
              <w:ind w:right="85"/>
              <w:jc w:val="right"/>
              <w:rPr>
                <w:rFonts w:eastAsia="Arial Unicode MS"/>
                <w:sz w:val="22"/>
                <w:szCs w:val="22"/>
              </w:rPr>
            </w:pPr>
          </w:p>
        </w:tc>
      </w:tr>
      <w:tr w:rsidR="0050377A" w:rsidRPr="00C40661" w14:paraId="4BF9DD26"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174E2491" w14:textId="5149709B" w:rsidR="006033E7" w:rsidRPr="00C40661" w:rsidRDefault="006033E7" w:rsidP="00900235">
            <w:pPr>
              <w:rPr>
                <w:rFonts w:eastAsia="Arial Unicode MS"/>
                <w:sz w:val="22"/>
                <w:szCs w:val="22"/>
              </w:rPr>
            </w:pPr>
            <w:r w:rsidRPr="00C40661">
              <w:rPr>
                <w:sz w:val="22"/>
                <w:szCs w:val="22"/>
              </w:rPr>
              <w:t xml:space="preserve">Shares and warrants issued </w:t>
            </w:r>
          </w:p>
        </w:tc>
        <w:tc>
          <w:tcPr>
            <w:tcW w:w="627" w:type="pct"/>
            <w:tcBorders>
              <w:left w:val="nil"/>
              <w:right w:val="nil"/>
            </w:tcBorders>
            <w:noWrap/>
            <w:tcMar>
              <w:top w:w="15" w:type="dxa"/>
              <w:left w:w="15" w:type="dxa"/>
              <w:bottom w:w="0" w:type="dxa"/>
              <w:right w:w="15" w:type="dxa"/>
            </w:tcMar>
            <w:vAlign w:val="center"/>
          </w:tcPr>
          <w:p w14:paraId="2BDD9124" w14:textId="1CFFCC8F" w:rsidR="006033E7" w:rsidRPr="00C40661" w:rsidRDefault="003068BE" w:rsidP="00656716">
            <w:pPr>
              <w:ind w:right="85"/>
              <w:jc w:val="right"/>
              <w:rPr>
                <w:rFonts w:eastAsia="Arial Unicode MS"/>
                <w:sz w:val="22"/>
                <w:szCs w:val="22"/>
              </w:rPr>
            </w:pPr>
            <w:r>
              <w:rPr>
                <w:rFonts w:eastAsia="Arial Unicode MS"/>
                <w:sz w:val="22"/>
                <w:szCs w:val="22"/>
              </w:rPr>
              <w:t>15,687</w:t>
            </w:r>
          </w:p>
        </w:tc>
        <w:tc>
          <w:tcPr>
            <w:tcW w:w="837" w:type="pct"/>
            <w:tcBorders>
              <w:left w:val="nil"/>
              <w:right w:val="nil"/>
            </w:tcBorders>
            <w:noWrap/>
            <w:tcMar>
              <w:top w:w="15" w:type="dxa"/>
              <w:left w:w="15" w:type="dxa"/>
              <w:bottom w:w="0" w:type="dxa"/>
              <w:right w:w="15" w:type="dxa"/>
            </w:tcMar>
            <w:vAlign w:val="center"/>
          </w:tcPr>
          <w:p w14:paraId="6E15C9F9" w14:textId="5988F405" w:rsidR="006033E7" w:rsidRPr="00C40661" w:rsidRDefault="003068BE" w:rsidP="00656716">
            <w:pPr>
              <w:ind w:right="85"/>
              <w:jc w:val="right"/>
              <w:rPr>
                <w:rFonts w:eastAsia="Arial Unicode MS"/>
                <w:sz w:val="22"/>
                <w:szCs w:val="22"/>
              </w:rPr>
            </w:pPr>
            <w:r>
              <w:rPr>
                <w:rFonts w:eastAsia="Arial Unicode MS"/>
                <w:sz w:val="22"/>
                <w:szCs w:val="22"/>
              </w:rPr>
              <w:t>527,760</w:t>
            </w:r>
          </w:p>
        </w:tc>
        <w:tc>
          <w:tcPr>
            <w:tcW w:w="837" w:type="pct"/>
            <w:tcBorders>
              <w:left w:val="nil"/>
              <w:right w:val="nil"/>
            </w:tcBorders>
            <w:noWrap/>
            <w:tcMar>
              <w:top w:w="15" w:type="dxa"/>
              <w:left w:w="15" w:type="dxa"/>
              <w:bottom w:w="0" w:type="dxa"/>
              <w:right w:w="15" w:type="dxa"/>
            </w:tcMar>
            <w:vAlign w:val="center"/>
          </w:tcPr>
          <w:p w14:paraId="6CF2E6FD" w14:textId="49782F54" w:rsidR="006033E7" w:rsidRPr="00C40661" w:rsidRDefault="006033E7" w:rsidP="00656716">
            <w:pPr>
              <w:ind w:right="85"/>
              <w:jc w:val="right"/>
              <w:rPr>
                <w:rFonts w:eastAsia="Arial Unicode MS"/>
                <w:sz w:val="22"/>
                <w:szCs w:val="22"/>
              </w:rPr>
            </w:pPr>
            <w:r w:rsidRPr="00F37531">
              <w:rPr>
                <w:rFonts w:eastAsia="Arial Unicode MS"/>
                <w:sz w:val="22"/>
                <w:szCs w:val="22"/>
              </w:rPr>
              <w:t>-</w:t>
            </w:r>
          </w:p>
        </w:tc>
        <w:tc>
          <w:tcPr>
            <w:tcW w:w="1025" w:type="pct"/>
            <w:tcBorders>
              <w:left w:val="nil"/>
              <w:right w:val="nil"/>
            </w:tcBorders>
            <w:vAlign w:val="center"/>
          </w:tcPr>
          <w:p w14:paraId="3D946335" w14:textId="392BEA10" w:rsidR="006033E7" w:rsidRPr="00C40661" w:rsidRDefault="003068BE" w:rsidP="00656716">
            <w:pPr>
              <w:ind w:right="85"/>
              <w:jc w:val="right"/>
              <w:rPr>
                <w:sz w:val="22"/>
                <w:szCs w:val="22"/>
              </w:rPr>
            </w:pPr>
            <w:r>
              <w:rPr>
                <w:sz w:val="22"/>
                <w:szCs w:val="22"/>
              </w:rPr>
              <w:t>543,447</w:t>
            </w:r>
          </w:p>
        </w:tc>
      </w:tr>
      <w:tr w:rsidR="0050377A" w:rsidRPr="00C40661" w14:paraId="593962A6"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467A08A3" w14:textId="70F6880E" w:rsidR="006033E7" w:rsidRPr="00C40661" w:rsidRDefault="006033E7" w:rsidP="00900235">
            <w:pPr>
              <w:rPr>
                <w:rFonts w:eastAsia="Arial Unicode MS"/>
                <w:sz w:val="22"/>
                <w:szCs w:val="22"/>
              </w:rPr>
            </w:pPr>
            <w:r w:rsidRPr="00AD79CB">
              <w:rPr>
                <w:sz w:val="22"/>
                <w:szCs w:val="22"/>
              </w:rPr>
              <w:t>Equity settled share</w:t>
            </w:r>
            <w:r w:rsidR="00B15D76">
              <w:rPr>
                <w:sz w:val="22"/>
                <w:szCs w:val="22"/>
              </w:rPr>
              <w:t>-</w:t>
            </w:r>
            <w:r w:rsidRPr="00AD79CB">
              <w:rPr>
                <w:sz w:val="22"/>
                <w:szCs w:val="22"/>
              </w:rPr>
              <w:t>based payments</w:t>
            </w:r>
          </w:p>
        </w:tc>
        <w:tc>
          <w:tcPr>
            <w:tcW w:w="627" w:type="pct"/>
            <w:tcBorders>
              <w:left w:val="nil"/>
              <w:right w:val="nil"/>
            </w:tcBorders>
            <w:noWrap/>
            <w:tcMar>
              <w:top w:w="15" w:type="dxa"/>
              <w:left w:w="15" w:type="dxa"/>
              <w:bottom w:w="0" w:type="dxa"/>
              <w:right w:w="15" w:type="dxa"/>
            </w:tcMar>
            <w:vAlign w:val="center"/>
          </w:tcPr>
          <w:p w14:paraId="52AA2084" w14:textId="6DD5596D" w:rsidR="006033E7" w:rsidRPr="00C40661" w:rsidRDefault="006033E7" w:rsidP="00656716">
            <w:pPr>
              <w:ind w:right="85"/>
              <w:jc w:val="right"/>
              <w:rPr>
                <w:rFonts w:eastAsia="Arial Unicode MS"/>
                <w:sz w:val="22"/>
                <w:szCs w:val="22"/>
              </w:rPr>
            </w:pPr>
            <w:r>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63AE56D8" w14:textId="2CD4A75B" w:rsidR="006033E7" w:rsidRPr="00C40661" w:rsidRDefault="006033E7" w:rsidP="00656716">
            <w:pPr>
              <w:ind w:right="85"/>
              <w:jc w:val="right"/>
              <w:rPr>
                <w:rFonts w:eastAsia="Arial Unicode MS"/>
                <w:sz w:val="22"/>
                <w:szCs w:val="22"/>
              </w:rPr>
            </w:pPr>
            <w:r>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58F84F89" w14:textId="4E22487E" w:rsidR="006033E7" w:rsidRPr="00C40661" w:rsidRDefault="006033E7" w:rsidP="00656716">
            <w:pPr>
              <w:ind w:right="85"/>
              <w:jc w:val="right"/>
              <w:rPr>
                <w:rFonts w:eastAsia="Arial Unicode MS"/>
                <w:sz w:val="22"/>
                <w:szCs w:val="22"/>
              </w:rPr>
            </w:pPr>
            <w:r>
              <w:rPr>
                <w:rFonts w:eastAsia="Arial Unicode MS"/>
                <w:sz w:val="22"/>
                <w:szCs w:val="22"/>
              </w:rPr>
              <w:t>-</w:t>
            </w:r>
          </w:p>
        </w:tc>
        <w:tc>
          <w:tcPr>
            <w:tcW w:w="1025" w:type="pct"/>
            <w:tcBorders>
              <w:left w:val="nil"/>
              <w:right w:val="nil"/>
            </w:tcBorders>
            <w:noWrap/>
            <w:tcMar>
              <w:top w:w="15" w:type="dxa"/>
              <w:left w:w="15" w:type="dxa"/>
              <w:bottom w:w="0" w:type="dxa"/>
              <w:right w:w="15" w:type="dxa"/>
            </w:tcMar>
            <w:vAlign w:val="center"/>
          </w:tcPr>
          <w:p w14:paraId="4910258B" w14:textId="154BBA2C" w:rsidR="006033E7" w:rsidRPr="00C40661" w:rsidRDefault="006033E7" w:rsidP="00656716">
            <w:pPr>
              <w:ind w:right="85"/>
              <w:jc w:val="right"/>
              <w:rPr>
                <w:rFonts w:eastAsia="Arial Unicode MS"/>
                <w:sz w:val="22"/>
                <w:szCs w:val="22"/>
              </w:rPr>
            </w:pPr>
            <w:r>
              <w:rPr>
                <w:sz w:val="22"/>
                <w:szCs w:val="22"/>
              </w:rPr>
              <w:t>-</w:t>
            </w:r>
          </w:p>
        </w:tc>
      </w:tr>
      <w:tr w:rsidR="0050377A" w:rsidRPr="00C40661" w14:paraId="2DA5E916"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4BA5D398" w14:textId="77777777" w:rsidR="006033E7" w:rsidRPr="00C40661" w:rsidRDefault="006033E7" w:rsidP="00900235">
            <w:pPr>
              <w:rPr>
                <w:rFonts w:eastAsia="Arial Unicode MS"/>
                <w:sz w:val="22"/>
                <w:szCs w:val="22"/>
              </w:rPr>
            </w:pPr>
          </w:p>
        </w:tc>
        <w:tc>
          <w:tcPr>
            <w:tcW w:w="627" w:type="pct"/>
            <w:tcBorders>
              <w:left w:val="nil"/>
              <w:bottom w:val="single" w:sz="4" w:space="0" w:color="auto"/>
              <w:right w:val="nil"/>
            </w:tcBorders>
            <w:noWrap/>
            <w:tcMar>
              <w:top w:w="15" w:type="dxa"/>
              <w:left w:w="15" w:type="dxa"/>
              <w:bottom w:w="0" w:type="dxa"/>
              <w:right w:w="15" w:type="dxa"/>
            </w:tcMar>
            <w:vAlign w:val="center"/>
          </w:tcPr>
          <w:p w14:paraId="33B35CE4" w14:textId="77777777" w:rsidR="006033E7" w:rsidRPr="00C40661" w:rsidRDefault="006033E7" w:rsidP="00656716">
            <w:pPr>
              <w:ind w:right="85"/>
              <w:jc w:val="right"/>
              <w:rPr>
                <w:rFonts w:eastAsia="Arial Unicode MS"/>
                <w:sz w:val="22"/>
                <w:szCs w:val="22"/>
              </w:rPr>
            </w:pPr>
          </w:p>
        </w:tc>
        <w:tc>
          <w:tcPr>
            <w:tcW w:w="837" w:type="pct"/>
            <w:tcBorders>
              <w:left w:val="nil"/>
              <w:bottom w:val="single" w:sz="4" w:space="0" w:color="auto"/>
              <w:right w:val="nil"/>
            </w:tcBorders>
            <w:noWrap/>
            <w:tcMar>
              <w:top w:w="15" w:type="dxa"/>
              <w:left w:w="15" w:type="dxa"/>
              <w:bottom w:w="0" w:type="dxa"/>
              <w:right w:w="15" w:type="dxa"/>
            </w:tcMar>
            <w:vAlign w:val="center"/>
          </w:tcPr>
          <w:p w14:paraId="02FF552C" w14:textId="77777777" w:rsidR="006033E7" w:rsidRPr="00C40661" w:rsidRDefault="006033E7" w:rsidP="00656716">
            <w:pPr>
              <w:ind w:right="85"/>
              <w:jc w:val="right"/>
              <w:rPr>
                <w:rFonts w:eastAsia="Arial Unicode MS"/>
                <w:sz w:val="22"/>
                <w:szCs w:val="22"/>
              </w:rPr>
            </w:pPr>
          </w:p>
        </w:tc>
        <w:tc>
          <w:tcPr>
            <w:tcW w:w="837" w:type="pct"/>
            <w:tcBorders>
              <w:left w:val="nil"/>
              <w:bottom w:val="single" w:sz="4" w:space="0" w:color="auto"/>
              <w:right w:val="nil"/>
            </w:tcBorders>
            <w:noWrap/>
            <w:tcMar>
              <w:top w:w="15" w:type="dxa"/>
              <w:left w:w="15" w:type="dxa"/>
              <w:bottom w:w="0" w:type="dxa"/>
              <w:right w:w="15" w:type="dxa"/>
            </w:tcMar>
            <w:vAlign w:val="center"/>
          </w:tcPr>
          <w:p w14:paraId="16357444" w14:textId="0F1A8632" w:rsidR="006033E7" w:rsidRPr="00C40661" w:rsidRDefault="006033E7" w:rsidP="00656716">
            <w:pPr>
              <w:ind w:right="85"/>
              <w:jc w:val="right"/>
              <w:rPr>
                <w:rFonts w:eastAsia="Arial Unicode MS"/>
                <w:sz w:val="22"/>
                <w:szCs w:val="22"/>
              </w:rPr>
            </w:pPr>
          </w:p>
        </w:tc>
        <w:tc>
          <w:tcPr>
            <w:tcW w:w="1025" w:type="pct"/>
            <w:tcBorders>
              <w:left w:val="nil"/>
              <w:bottom w:val="single" w:sz="4" w:space="0" w:color="auto"/>
              <w:right w:val="nil"/>
            </w:tcBorders>
            <w:noWrap/>
            <w:tcMar>
              <w:top w:w="15" w:type="dxa"/>
              <w:left w:w="15" w:type="dxa"/>
              <w:bottom w:w="0" w:type="dxa"/>
              <w:right w:w="15" w:type="dxa"/>
            </w:tcMar>
            <w:vAlign w:val="center"/>
          </w:tcPr>
          <w:p w14:paraId="1BBA2388" w14:textId="77777777" w:rsidR="006033E7" w:rsidRPr="00C40661" w:rsidRDefault="006033E7" w:rsidP="00656716">
            <w:pPr>
              <w:ind w:right="85"/>
              <w:jc w:val="right"/>
              <w:rPr>
                <w:rFonts w:eastAsia="Arial Unicode MS"/>
                <w:sz w:val="22"/>
                <w:szCs w:val="22"/>
              </w:rPr>
            </w:pPr>
          </w:p>
        </w:tc>
      </w:tr>
      <w:tr w:rsidR="0050377A" w:rsidRPr="00C40661" w14:paraId="5667F919"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50EBAE82" w14:textId="64BC925E" w:rsidR="006033E7" w:rsidRPr="00C40661" w:rsidRDefault="006033E7" w:rsidP="00900235">
            <w:pPr>
              <w:rPr>
                <w:rFonts w:eastAsia="Arial Unicode MS"/>
                <w:sz w:val="22"/>
                <w:szCs w:val="22"/>
              </w:rPr>
            </w:pPr>
            <w:r w:rsidRPr="00C40661">
              <w:rPr>
                <w:sz w:val="22"/>
                <w:szCs w:val="22"/>
              </w:rPr>
              <w:t xml:space="preserve">At </w:t>
            </w:r>
            <w:r w:rsidR="003068BE">
              <w:rPr>
                <w:sz w:val="22"/>
                <w:szCs w:val="22"/>
              </w:rPr>
              <w:t>31 December</w:t>
            </w:r>
            <w:r>
              <w:rPr>
                <w:sz w:val="22"/>
                <w:szCs w:val="22"/>
              </w:rPr>
              <w:t xml:space="preserve"> 201</w:t>
            </w:r>
            <w:r w:rsidR="009A0A06">
              <w:rPr>
                <w:sz w:val="22"/>
                <w:szCs w:val="22"/>
              </w:rPr>
              <w:t>9</w:t>
            </w:r>
          </w:p>
        </w:tc>
        <w:tc>
          <w:tcPr>
            <w:tcW w:w="62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7C928FEF" w14:textId="1C573B41" w:rsidR="006033E7" w:rsidRPr="00C40661" w:rsidRDefault="003068BE" w:rsidP="00656716">
            <w:pPr>
              <w:ind w:right="85"/>
              <w:jc w:val="right"/>
              <w:rPr>
                <w:rFonts w:eastAsia="Arial Unicode MS"/>
                <w:sz w:val="22"/>
                <w:szCs w:val="22"/>
              </w:rPr>
            </w:pPr>
            <w:r>
              <w:rPr>
                <w:rFonts w:eastAsia="Arial Unicode MS"/>
                <w:sz w:val="22"/>
                <w:szCs w:val="22"/>
              </w:rPr>
              <w:t>272,801</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1DA8B472" w14:textId="760641A0" w:rsidR="006033E7" w:rsidRPr="00C40661" w:rsidRDefault="003068BE" w:rsidP="00656716">
            <w:pPr>
              <w:ind w:right="85"/>
              <w:jc w:val="right"/>
              <w:rPr>
                <w:rFonts w:eastAsia="Arial Unicode MS"/>
                <w:sz w:val="22"/>
                <w:szCs w:val="22"/>
              </w:rPr>
            </w:pPr>
            <w:r>
              <w:rPr>
                <w:rFonts w:eastAsia="Arial Unicode MS"/>
                <w:sz w:val="22"/>
                <w:szCs w:val="22"/>
              </w:rPr>
              <w:t>2,414,284</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031577FD" w14:textId="691080D9" w:rsidR="006033E7" w:rsidRPr="00C40661" w:rsidRDefault="006033E7" w:rsidP="00656716">
            <w:pPr>
              <w:ind w:right="85"/>
              <w:jc w:val="right"/>
              <w:rPr>
                <w:rFonts w:eastAsia="Arial Unicode MS"/>
                <w:sz w:val="22"/>
                <w:szCs w:val="22"/>
              </w:rPr>
            </w:pPr>
            <w:r w:rsidRPr="006D56BD">
              <w:rPr>
                <w:rFonts w:eastAsia="Arial Unicode MS"/>
                <w:sz w:val="22"/>
                <w:szCs w:val="22"/>
              </w:rPr>
              <w:t>(</w:t>
            </w:r>
            <w:r w:rsidR="003068BE">
              <w:rPr>
                <w:rFonts w:eastAsia="Arial Unicode MS"/>
                <w:sz w:val="22"/>
                <w:szCs w:val="22"/>
              </w:rPr>
              <w:t>1,792,760</w:t>
            </w:r>
            <w:r w:rsidRPr="006D56BD">
              <w:rPr>
                <w:rFonts w:eastAsia="Arial Unicode MS"/>
                <w:sz w:val="22"/>
                <w:szCs w:val="22"/>
              </w:rPr>
              <w:t>)</w:t>
            </w:r>
          </w:p>
        </w:tc>
        <w:tc>
          <w:tcPr>
            <w:tcW w:w="1025" w:type="pct"/>
            <w:tcBorders>
              <w:top w:val="single" w:sz="4" w:space="0" w:color="auto"/>
              <w:left w:val="nil"/>
              <w:bottom w:val="single" w:sz="4" w:space="0" w:color="auto"/>
              <w:right w:val="nil"/>
            </w:tcBorders>
            <w:vAlign w:val="center"/>
          </w:tcPr>
          <w:p w14:paraId="69A8C79A" w14:textId="14CE3D4E" w:rsidR="006033E7" w:rsidRPr="00C40661" w:rsidRDefault="003068BE" w:rsidP="00656716">
            <w:pPr>
              <w:ind w:right="85"/>
              <w:jc w:val="right"/>
              <w:rPr>
                <w:sz w:val="22"/>
                <w:szCs w:val="22"/>
              </w:rPr>
            </w:pPr>
            <w:r>
              <w:rPr>
                <w:sz w:val="22"/>
                <w:szCs w:val="22"/>
              </w:rPr>
              <w:t>894,325</w:t>
            </w:r>
          </w:p>
        </w:tc>
      </w:tr>
      <w:tr w:rsidR="0050377A" w:rsidRPr="00C40661" w14:paraId="39F0DD38"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6DCC1869" w14:textId="77777777" w:rsidR="006033E7" w:rsidRPr="00C40661" w:rsidRDefault="006033E7" w:rsidP="008756DA">
            <w:pPr>
              <w:rPr>
                <w:sz w:val="22"/>
                <w:szCs w:val="22"/>
              </w:rPr>
            </w:pPr>
          </w:p>
        </w:tc>
        <w:tc>
          <w:tcPr>
            <w:tcW w:w="627" w:type="pct"/>
            <w:tcBorders>
              <w:top w:val="single" w:sz="4" w:space="0" w:color="auto"/>
              <w:left w:val="nil"/>
              <w:right w:val="nil"/>
            </w:tcBorders>
            <w:noWrap/>
            <w:tcMar>
              <w:top w:w="15" w:type="dxa"/>
              <w:left w:w="15" w:type="dxa"/>
              <w:bottom w:w="0" w:type="dxa"/>
              <w:right w:w="15" w:type="dxa"/>
            </w:tcMar>
            <w:vAlign w:val="center"/>
          </w:tcPr>
          <w:p w14:paraId="49D1564D" w14:textId="77777777" w:rsidR="006033E7" w:rsidRPr="00C40661" w:rsidRDefault="006033E7" w:rsidP="00656716">
            <w:pPr>
              <w:ind w:right="85"/>
              <w:jc w:val="right"/>
              <w:rPr>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7EE8A003" w14:textId="77777777" w:rsidR="006033E7" w:rsidRPr="00C40661" w:rsidRDefault="006033E7" w:rsidP="00656716">
            <w:pPr>
              <w:ind w:right="85"/>
              <w:jc w:val="right"/>
              <w:rPr>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2D883BF6" w14:textId="554CDE52" w:rsidR="006033E7" w:rsidRPr="00C40661" w:rsidRDefault="006033E7" w:rsidP="00656716">
            <w:pPr>
              <w:ind w:right="85"/>
              <w:jc w:val="right"/>
              <w:rPr>
                <w:rFonts w:eastAsia="Arial Unicode MS"/>
                <w:sz w:val="22"/>
                <w:szCs w:val="22"/>
              </w:rPr>
            </w:pPr>
          </w:p>
        </w:tc>
        <w:tc>
          <w:tcPr>
            <w:tcW w:w="1025" w:type="pct"/>
            <w:tcBorders>
              <w:top w:val="single" w:sz="4" w:space="0" w:color="auto"/>
              <w:left w:val="nil"/>
              <w:right w:val="nil"/>
            </w:tcBorders>
            <w:vAlign w:val="center"/>
          </w:tcPr>
          <w:p w14:paraId="5E711F89" w14:textId="77777777" w:rsidR="006033E7" w:rsidRPr="00C40661" w:rsidRDefault="006033E7" w:rsidP="00656716">
            <w:pPr>
              <w:ind w:right="85"/>
              <w:jc w:val="right"/>
              <w:rPr>
                <w:sz w:val="22"/>
                <w:szCs w:val="22"/>
              </w:rPr>
            </w:pPr>
          </w:p>
        </w:tc>
      </w:tr>
      <w:tr w:rsidR="0050377A" w:rsidRPr="00C40661" w14:paraId="71EE6B05"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68638096" w14:textId="77777777" w:rsidR="006033E7" w:rsidRPr="00C40661" w:rsidRDefault="006033E7" w:rsidP="008756DA">
            <w:pPr>
              <w:rPr>
                <w:rFonts w:eastAsia="Arial Unicode MS"/>
                <w:sz w:val="22"/>
                <w:szCs w:val="22"/>
              </w:rPr>
            </w:pPr>
            <w:r w:rsidRPr="00C40661">
              <w:rPr>
                <w:sz w:val="22"/>
                <w:szCs w:val="22"/>
              </w:rPr>
              <w:t xml:space="preserve">Loss for the period </w:t>
            </w:r>
          </w:p>
        </w:tc>
        <w:tc>
          <w:tcPr>
            <w:tcW w:w="627" w:type="pct"/>
            <w:tcBorders>
              <w:left w:val="nil"/>
              <w:right w:val="nil"/>
            </w:tcBorders>
            <w:noWrap/>
            <w:tcMar>
              <w:top w:w="15" w:type="dxa"/>
              <w:left w:w="15" w:type="dxa"/>
              <w:bottom w:w="0" w:type="dxa"/>
              <w:right w:w="15" w:type="dxa"/>
            </w:tcMar>
            <w:vAlign w:val="center"/>
          </w:tcPr>
          <w:p w14:paraId="4C48F320" w14:textId="56C057FE"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25A3FD66" w14:textId="71413E34"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030F8C9A" w14:textId="3400D39A" w:rsidR="006033E7" w:rsidRPr="004C0B2B" w:rsidRDefault="006033E7" w:rsidP="00656716">
            <w:pPr>
              <w:ind w:right="85"/>
              <w:jc w:val="right"/>
              <w:rPr>
                <w:rFonts w:eastAsia="Arial Unicode MS"/>
                <w:sz w:val="22"/>
                <w:szCs w:val="22"/>
              </w:rPr>
            </w:pPr>
            <w:r w:rsidRPr="004C0B2B">
              <w:rPr>
                <w:rFonts w:eastAsia="Arial Unicode MS"/>
                <w:sz w:val="22"/>
                <w:szCs w:val="22"/>
              </w:rPr>
              <w:t>(</w:t>
            </w:r>
            <w:r w:rsidR="00366B2C">
              <w:rPr>
                <w:rFonts w:eastAsia="Arial Unicode MS"/>
                <w:sz w:val="22"/>
                <w:szCs w:val="22"/>
              </w:rPr>
              <w:t>810,233</w:t>
            </w:r>
            <w:r w:rsidRPr="004C0B2B">
              <w:rPr>
                <w:rFonts w:eastAsia="Arial Unicode MS"/>
                <w:sz w:val="22"/>
                <w:szCs w:val="22"/>
              </w:rPr>
              <w:t>)</w:t>
            </w:r>
          </w:p>
        </w:tc>
        <w:tc>
          <w:tcPr>
            <w:tcW w:w="1025" w:type="pct"/>
            <w:tcBorders>
              <w:left w:val="nil"/>
              <w:right w:val="nil"/>
            </w:tcBorders>
            <w:vAlign w:val="center"/>
          </w:tcPr>
          <w:p w14:paraId="06919FC1" w14:textId="1EC290BE" w:rsidR="006033E7" w:rsidRPr="004C0B2B" w:rsidRDefault="006033E7" w:rsidP="00656716">
            <w:pPr>
              <w:ind w:right="85"/>
              <w:jc w:val="right"/>
              <w:rPr>
                <w:sz w:val="22"/>
                <w:szCs w:val="22"/>
              </w:rPr>
            </w:pPr>
            <w:r>
              <w:rPr>
                <w:sz w:val="22"/>
                <w:szCs w:val="22"/>
              </w:rPr>
              <w:t>(</w:t>
            </w:r>
            <w:r w:rsidR="00366B2C">
              <w:rPr>
                <w:sz w:val="22"/>
                <w:szCs w:val="22"/>
              </w:rPr>
              <w:t>810,233</w:t>
            </w:r>
            <w:r>
              <w:rPr>
                <w:sz w:val="22"/>
                <w:szCs w:val="22"/>
              </w:rPr>
              <w:t>)</w:t>
            </w:r>
          </w:p>
        </w:tc>
      </w:tr>
      <w:tr w:rsidR="0050377A" w:rsidRPr="00C40661" w14:paraId="4E27D9E3"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628C8F18" w14:textId="541FA2A2" w:rsidR="006033E7" w:rsidRPr="00C40661" w:rsidRDefault="006033E7" w:rsidP="008756DA">
            <w:pPr>
              <w:rPr>
                <w:rFonts w:eastAsia="Arial Unicode MS"/>
                <w:sz w:val="22"/>
                <w:szCs w:val="22"/>
              </w:rPr>
            </w:pPr>
            <w:r>
              <w:rPr>
                <w:sz w:val="22"/>
                <w:szCs w:val="22"/>
              </w:rPr>
              <w:t>Comprehensive loss for the period</w:t>
            </w:r>
          </w:p>
        </w:tc>
        <w:tc>
          <w:tcPr>
            <w:tcW w:w="62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55A8015" w14:textId="2BFCA183"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BF082D7" w14:textId="15CCEA32"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8ACD72C" w14:textId="29377BAD" w:rsidR="006033E7" w:rsidRPr="004C0B2B" w:rsidRDefault="006033E7" w:rsidP="00656716">
            <w:pPr>
              <w:ind w:right="85"/>
              <w:jc w:val="right"/>
              <w:rPr>
                <w:rFonts w:eastAsia="Arial Unicode MS"/>
                <w:sz w:val="22"/>
                <w:szCs w:val="22"/>
              </w:rPr>
            </w:pPr>
            <w:r>
              <w:rPr>
                <w:rFonts w:eastAsia="Arial Unicode MS"/>
                <w:sz w:val="22"/>
                <w:szCs w:val="22"/>
              </w:rPr>
              <w:t>(</w:t>
            </w:r>
            <w:r w:rsidR="00366B2C">
              <w:rPr>
                <w:rFonts w:eastAsia="Arial Unicode MS"/>
                <w:sz w:val="22"/>
                <w:szCs w:val="22"/>
              </w:rPr>
              <w:t>810,233</w:t>
            </w:r>
            <w:r w:rsidRPr="004C0B2B">
              <w:rPr>
                <w:rFonts w:eastAsia="Arial Unicode MS"/>
                <w:sz w:val="22"/>
                <w:szCs w:val="22"/>
              </w:rPr>
              <w:t>)</w:t>
            </w:r>
          </w:p>
        </w:tc>
        <w:tc>
          <w:tcPr>
            <w:tcW w:w="1025" w:type="pct"/>
            <w:tcBorders>
              <w:top w:val="single" w:sz="4" w:space="0" w:color="auto"/>
              <w:left w:val="nil"/>
              <w:bottom w:val="single" w:sz="4" w:space="0" w:color="auto"/>
              <w:right w:val="nil"/>
            </w:tcBorders>
            <w:vAlign w:val="center"/>
          </w:tcPr>
          <w:p w14:paraId="29C79212" w14:textId="50906D98" w:rsidR="006033E7" w:rsidRPr="004C0B2B" w:rsidRDefault="006033E7" w:rsidP="00656716">
            <w:pPr>
              <w:ind w:right="85"/>
              <w:jc w:val="right"/>
              <w:rPr>
                <w:sz w:val="22"/>
                <w:szCs w:val="22"/>
              </w:rPr>
            </w:pPr>
            <w:r>
              <w:rPr>
                <w:sz w:val="22"/>
                <w:szCs w:val="22"/>
              </w:rPr>
              <w:t>(</w:t>
            </w:r>
            <w:r w:rsidR="00366B2C">
              <w:rPr>
                <w:sz w:val="22"/>
                <w:szCs w:val="22"/>
              </w:rPr>
              <w:t>810,233</w:t>
            </w:r>
            <w:r>
              <w:rPr>
                <w:sz w:val="22"/>
                <w:szCs w:val="22"/>
              </w:rPr>
              <w:t>)</w:t>
            </w:r>
          </w:p>
        </w:tc>
      </w:tr>
      <w:tr w:rsidR="0050377A" w:rsidRPr="00C40661" w14:paraId="147AACD0"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69DEC1EA" w14:textId="77777777" w:rsidR="006033E7" w:rsidRPr="00C40661" w:rsidRDefault="006033E7" w:rsidP="008756DA">
            <w:pPr>
              <w:rPr>
                <w:rFonts w:eastAsia="Arial Unicode MS"/>
                <w:sz w:val="22"/>
                <w:szCs w:val="22"/>
              </w:rPr>
            </w:pPr>
          </w:p>
        </w:tc>
        <w:tc>
          <w:tcPr>
            <w:tcW w:w="627" w:type="pct"/>
            <w:tcBorders>
              <w:top w:val="single" w:sz="4" w:space="0" w:color="auto"/>
              <w:left w:val="nil"/>
              <w:right w:val="nil"/>
            </w:tcBorders>
            <w:noWrap/>
            <w:tcMar>
              <w:top w:w="15" w:type="dxa"/>
              <w:left w:w="15" w:type="dxa"/>
              <w:bottom w:w="0" w:type="dxa"/>
              <w:right w:w="15" w:type="dxa"/>
            </w:tcMar>
            <w:vAlign w:val="center"/>
          </w:tcPr>
          <w:p w14:paraId="21C20FCB" w14:textId="77777777" w:rsidR="006033E7" w:rsidRPr="004C0B2B" w:rsidRDefault="006033E7" w:rsidP="00656716">
            <w:pPr>
              <w:ind w:right="85"/>
              <w:jc w:val="right"/>
              <w:rPr>
                <w:rFonts w:eastAsia="Arial Unicode MS"/>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2CE493CC" w14:textId="77777777" w:rsidR="006033E7" w:rsidRPr="004C0B2B" w:rsidRDefault="006033E7" w:rsidP="00656716">
            <w:pPr>
              <w:ind w:right="85"/>
              <w:jc w:val="right"/>
              <w:rPr>
                <w:rFonts w:eastAsia="Arial Unicode MS"/>
                <w:sz w:val="22"/>
                <w:szCs w:val="22"/>
              </w:rPr>
            </w:pPr>
          </w:p>
        </w:tc>
        <w:tc>
          <w:tcPr>
            <w:tcW w:w="837" w:type="pct"/>
            <w:tcBorders>
              <w:top w:val="single" w:sz="4" w:space="0" w:color="auto"/>
              <w:left w:val="nil"/>
              <w:right w:val="nil"/>
            </w:tcBorders>
            <w:noWrap/>
            <w:tcMar>
              <w:top w:w="15" w:type="dxa"/>
              <w:left w:w="15" w:type="dxa"/>
              <w:bottom w:w="0" w:type="dxa"/>
              <w:right w:w="15" w:type="dxa"/>
            </w:tcMar>
            <w:vAlign w:val="center"/>
          </w:tcPr>
          <w:p w14:paraId="168D2056" w14:textId="1B2B4511" w:rsidR="006033E7" w:rsidRPr="004C0B2B" w:rsidRDefault="006033E7" w:rsidP="00656716">
            <w:pPr>
              <w:ind w:right="85"/>
              <w:jc w:val="right"/>
              <w:rPr>
                <w:rFonts w:eastAsia="Arial Unicode MS"/>
                <w:sz w:val="22"/>
                <w:szCs w:val="22"/>
              </w:rPr>
            </w:pPr>
          </w:p>
        </w:tc>
        <w:tc>
          <w:tcPr>
            <w:tcW w:w="1025" w:type="pct"/>
            <w:tcBorders>
              <w:top w:val="single" w:sz="4" w:space="0" w:color="auto"/>
              <w:left w:val="nil"/>
              <w:right w:val="nil"/>
            </w:tcBorders>
            <w:vAlign w:val="center"/>
          </w:tcPr>
          <w:p w14:paraId="3F1E32F9" w14:textId="77777777" w:rsidR="006033E7" w:rsidRPr="004C0B2B" w:rsidRDefault="006033E7" w:rsidP="00656716">
            <w:pPr>
              <w:ind w:right="85"/>
              <w:jc w:val="right"/>
              <w:rPr>
                <w:rFonts w:eastAsia="Arial Unicode MS"/>
                <w:sz w:val="22"/>
                <w:szCs w:val="22"/>
              </w:rPr>
            </w:pPr>
          </w:p>
        </w:tc>
      </w:tr>
      <w:tr w:rsidR="0050377A" w:rsidRPr="00C40661" w14:paraId="4B3101FF"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4144630E" w14:textId="6D7E9DE8" w:rsidR="006033E7" w:rsidRPr="00C40661" w:rsidRDefault="006033E7" w:rsidP="008756DA">
            <w:pPr>
              <w:rPr>
                <w:rFonts w:eastAsia="Arial Unicode MS"/>
                <w:sz w:val="22"/>
                <w:szCs w:val="22"/>
              </w:rPr>
            </w:pPr>
            <w:r w:rsidRPr="00C40661">
              <w:rPr>
                <w:sz w:val="22"/>
                <w:szCs w:val="22"/>
              </w:rPr>
              <w:t xml:space="preserve">Shares issued </w:t>
            </w:r>
          </w:p>
        </w:tc>
        <w:tc>
          <w:tcPr>
            <w:tcW w:w="627" w:type="pct"/>
            <w:tcBorders>
              <w:left w:val="nil"/>
              <w:right w:val="nil"/>
            </w:tcBorders>
            <w:noWrap/>
            <w:tcMar>
              <w:top w:w="15" w:type="dxa"/>
              <w:left w:w="15" w:type="dxa"/>
              <w:bottom w:w="0" w:type="dxa"/>
              <w:right w:w="15" w:type="dxa"/>
            </w:tcMar>
            <w:vAlign w:val="center"/>
          </w:tcPr>
          <w:p w14:paraId="7798F277" w14:textId="078F31D5" w:rsidR="006033E7" w:rsidRPr="004C0B2B" w:rsidRDefault="003068BE" w:rsidP="00656716">
            <w:pPr>
              <w:ind w:right="85"/>
              <w:jc w:val="right"/>
              <w:rPr>
                <w:rFonts w:eastAsia="Arial Unicode MS"/>
                <w:sz w:val="22"/>
                <w:szCs w:val="22"/>
              </w:rPr>
            </w:pPr>
            <w:r>
              <w:rPr>
                <w:rFonts w:eastAsia="Arial Unicode MS"/>
                <w:sz w:val="22"/>
                <w:szCs w:val="22"/>
              </w:rPr>
              <w:t>1,167</w:t>
            </w:r>
          </w:p>
        </w:tc>
        <w:tc>
          <w:tcPr>
            <w:tcW w:w="837" w:type="pct"/>
            <w:tcBorders>
              <w:left w:val="nil"/>
              <w:right w:val="nil"/>
            </w:tcBorders>
            <w:noWrap/>
            <w:tcMar>
              <w:top w:w="15" w:type="dxa"/>
              <w:left w:w="15" w:type="dxa"/>
              <w:bottom w:w="0" w:type="dxa"/>
              <w:right w:w="15" w:type="dxa"/>
            </w:tcMar>
            <w:vAlign w:val="center"/>
          </w:tcPr>
          <w:p w14:paraId="419AAC07" w14:textId="4DA596EC" w:rsidR="006033E7" w:rsidRPr="004C0B2B" w:rsidRDefault="003068BE" w:rsidP="00656716">
            <w:pPr>
              <w:ind w:right="85"/>
              <w:jc w:val="right"/>
              <w:rPr>
                <w:rFonts w:eastAsia="Arial Unicode MS"/>
                <w:sz w:val="22"/>
                <w:szCs w:val="22"/>
              </w:rPr>
            </w:pPr>
            <w:r>
              <w:rPr>
                <w:rFonts w:eastAsia="Arial Unicode MS"/>
                <w:sz w:val="22"/>
                <w:szCs w:val="22"/>
              </w:rPr>
              <w:t>68,833</w:t>
            </w:r>
          </w:p>
        </w:tc>
        <w:tc>
          <w:tcPr>
            <w:tcW w:w="837" w:type="pct"/>
            <w:tcBorders>
              <w:left w:val="nil"/>
              <w:right w:val="nil"/>
            </w:tcBorders>
            <w:noWrap/>
            <w:tcMar>
              <w:top w:w="15" w:type="dxa"/>
              <w:left w:w="15" w:type="dxa"/>
              <w:bottom w:w="0" w:type="dxa"/>
              <w:right w:w="15" w:type="dxa"/>
            </w:tcMar>
            <w:vAlign w:val="center"/>
          </w:tcPr>
          <w:p w14:paraId="053DAC59" w14:textId="04B7F990" w:rsidR="006033E7" w:rsidRPr="004C0B2B" w:rsidRDefault="006033E7" w:rsidP="00656716">
            <w:pPr>
              <w:ind w:right="85"/>
              <w:jc w:val="right"/>
              <w:rPr>
                <w:rFonts w:eastAsia="Arial Unicode MS"/>
                <w:sz w:val="22"/>
                <w:szCs w:val="22"/>
              </w:rPr>
            </w:pPr>
            <w:r>
              <w:rPr>
                <w:rFonts w:eastAsia="Arial Unicode MS"/>
                <w:sz w:val="22"/>
                <w:szCs w:val="22"/>
              </w:rPr>
              <w:t>-</w:t>
            </w:r>
          </w:p>
        </w:tc>
        <w:tc>
          <w:tcPr>
            <w:tcW w:w="1025" w:type="pct"/>
            <w:tcBorders>
              <w:left w:val="nil"/>
              <w:right w:val="nil"/>
            </w:tcBorders>
            <w:vAlign w:val="center"/>
          </w:tcPr>
          <w:p w14:paraId="2A098C41" w14:textId="649BBC51" w:rsidR="006033E7" w:rsidRPr="004C0B2B" w:rsidRDefault="003068BE" w:rsidP="00656716">
            <w:pPr>
              <w:ind w:right="85"/>
              <w:jc w:val="right"/>
              <w:rPr>
                <w:sz w:val="22"/>
                <w:szCs w:val="22"/>
              </w:rPr>
            </w:pPr>
            <w:r>
              <w:rPr>
                <w:sz w:val="22"/>
                <w:szCs w:val="22"/>
              </w:rPr>
              <w:t>70,000</w:t>
            </w:r>
          </w:p>
        </w:tc>
      </w:tr>
      <w:tr w:rsidR="0050377A" w:rsidRPr="00C40661" w14:paraId="4F649C27"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54B9F36D" w14:textId="3CCE71DB" w:rsidR="006033E7" w:rsidRPr="00C40661" w:rsidRDefault="006033E7" w:rsidP="008756DA">
            <w:pPr>
              <w:rPr>
                <w:sz w:val="22"/>
                <w:szCs w:val="22"/>
              </w:rPr>
            </w:pPr>
            <w:r w:rsidRPr="00AD79CB">
              <w:rPr>
                <w:sz w:val="22"/>
                <w:szCs w:val="22"/>
              </w:rPr>
              <w:t>Equity settled share</w:t>
            </w:r>
            <w:r w:rsidR="00B15D76">
              <w:rPr>
                <w:sz w:val="22"/>
                <w:szCs w:val="22"/>
              </w:rPr>
              <w:t>-</w:t>
            </w:r>
            <w:r w:rsidRPr="00AD79CB">
              <w:rPr>
                <w:sz w:val="22"/>
                <w:szCs w:val="22"/>
              </w:rPr>
              <w:t>based payments</w:t>
            </w:r>
          </w:p>
        </w:tc>
        <w:tc>
          <w:tcPr>
            <w:tcW w:w="627" w:type="pct"/>
            <w:tcBorders>
              <w:left w:val="nil"/>
              <w:right w:val="nil"/>
            </w:tcBorders>
            <w:noWrap/>
            <w:tcMar>
              <w:top w:w="15" w:type="dxa"/>
              <w:left w:w="15" w:type="dxa"/>
              <w:bottom w:w="0" w:type="dxa"/>
              <w:right w:w="15" w:type="dxa"/>
            </w:tcMar>
            <w:vAlign w:val="center"/>
          </w:tcPr>
          <w:p w14:paraId="7CBC83EC" w14:textId="61F590AA"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671DE114" w14:textId="24BBA3C0"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837" w:type="pct"/>
            <w:tcBorders>
              <w:left w:val="nil"/>
              <w:right w:val="nil"/>
            </w:tcBorders>
            <w:noWrap/>
            <w:tcMar>
              <w:top w:w="15" w:type="dxa"/>
              <w:left w:w="15" w:type="dxa"/>
              <w:bottom w:w="0" w:type="dxa"/>
              <w:right w:w="15" w:type="dxa"/>
            </w:tcMar>
            <w:vAlign w:val="center"/>
          </w:tcPr>
          <w:p w14:paraId="325B7049" w14:textId="17B8D280" w:rsidR="006033E7" w:rsidRPr="004C0B2B" w:rsidRDefault="006033E7" w:rsidP="00656716">
            <w:pPr>
              <w:ind w:right="85"/>
              <w:jc w:val="right"/>
              <w:rPr>
                <w:rFonts w:eastAsia="Arial Unicode MS"/>
                <w:sz w:val="22"/>
                <w:szCs w:val="22"/>
              </w:rPr>
            </w:pPr>
            <w:r w:rsidRPr="004C0B2B">
              <w:rPr>
                <w:rFonts w:eastAsia="Arial Unicode MS"/>
                <w:sz w:val="22"/>
                <w:szCs w:val="22"/>
              </w:rPr>
              <w:t>-</w:t>
            </w:r>
          </w:p>
        </w:tc>
        <w:tc>
          <w:tcPr>
            <w:tcW w:w="1025" w:type="pct"/>
            <w:tcBorders>
              <w:left w:val="nil"/>
              <w:right w:val="nil"/>
            </w:tcBorders>
            <w:vAlign w:val="center"/>
          </w:tcPr>
          <w:p w14:paraId="78EF7E8E" w14:textId="46F9A570" w:rsidR="006033E7" w:rsidRPr="004C0B2B" w:rsidRDefault="006033E7" w:rsidP="00656716">
            <w:pPr>
              <w:ind w:right="85"/>
              <w:jc w:val="right"/>
              <w:rPr>
                <w:sz w:val="22"/>
                <w:szCs w:val="22"/>
              </w:rPr>
            </w:pPr>
            <w:r>
              <w:rPr>
                <w:sz w:val="22"/>
                <w:szCs w:val="22"/>
              </w:rPr>
              <w:t>-</w:t>
            </w:r>
          </w:p>
        </w:tc>
      </w:tr>
      <w:tr w:rsidR="0050377A" w:rsidRPr="00C40661" w14:paraId="3BB6A745"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32268215" w14:textId="77777777" w:rsidR="006033E7" w:rsidRPr="00C40661" w:rsidRDefault="006033E7" w:rsidP="008756DA">
            <w:pPr>
              <w:rPr>
                <w:rFonts w:eastAsia="Arial Unicode MS"/>
                <w:sz w:val="22"/>
                <w:szCs w:val="22"/>
              </w:rPr>
            </w:pPr>
          </w:p>
        </w:tc>
        <w:tc>
          <w:tcPr>
            <w:tcW w:w="627" w:type="pct"/>
            <w:tcBorders>
              <w:left w:val="nil"/>
              <w:bottom w:val="single" w:sz="4" w:space="0" w:color="auto"/>
              <w:right w:val="nil"/>
            </w:tcBorders>
            <w:noWrap/>
            <w:tcMar>
              <w:top w:w="15" w:type="dxa"/>
              <w:left w:w="15" w:type="dxa"/>
              <w:bottom w:w="0" w:type="dxa"/>
              <w:right w:w="15" w:type="dxa"/>
            </w:tcMar>
            <w:vAlign w:val="center"/>
          </w:tcPr>
          <w:p w14:paraId="0A592F6E" w14:textId="77777777" w:rsidR="006033E7" w:rsidRPr="00900235" w:rsidRDefault="006033E7" w:rsidP="00656716">
            <w:pPr>
              <w:ind w:right="85"/>
              <w:jc w:val="right"/>
              <w:rPr>
                <w:rFonts w:eastAsia="Arial Unicode MS"/>
                <w:sz w:val="22"/>
                <w:szCs w:val="22"/>
                <w:highlight w:val="yellow"/>
              </w:rPr>
            </w:pPr>
          </w:p>
        </w:tc>
        <w:tc>
          <w:tcPr>
            <w:tcW w:w="837" w:type="pct"/>
            <w:tcBorders>
              <w:left w:val="nil"/>
              <w:bottom w:val="single" w:sz="4" w:space="0" w:color="auto"/>
              <w:right w:val="nil"/>
            </w:tcBorders>
            <w:noWrap/>
            <w:tcMar>
              <w:top w:w="15" w:type="dxa"/>
              <w:left w:w="15" w:type="dxa"/>
              <w:bottom w:w="0" w:type="dxa"/>
              <w:right w:w="15" w:type="dxa"/>
            </w:tcMar>
            <w:vAlign w:val="center"/>
          </w:tcPr>
          <w:p w14:paraId="1A7D5399" w14:textId="77777777" w:rsidR="006033E7" w:rsidRPr="00900235" w:rsidRDefault="006033E7" w:rsidP="00656716">
            <w:pPr>
              <w:ind w:right="85"/>
              <w:jc w:val="right"/>
              <w:rPr>
                <w:rFonts w:eastAsia="Arial Unicode MS"/>
                <w:sz w:val="22"/>
                <w:szCs w:val="22"/>
                <w:highlight w:val="yellow"/>
              </w:rPr>
            </w:pPr>
          </w:p>
        </w:tc>
        <w:tc>
          <w:tcPr>
            <w:tcW w:w="837" w:type="pct"/>
            <w:tcBorders>
              <w:left w:val="nil"/>
              <w:bottom w:val="single" w:sz="4" w:space="0" w:color="auto"/>
              <w:right w:val="nil"/>
            </w:tcBorders>
            <w:noWrap/>
            <w:tcMar>
              <w:top w:w="15" w:type="dxa"/>
              <w:left w:w="15" w:type="dxa"/>
              <w:bottom w:w="0" w:type="dxa"/>
              <w:right w:w="15" w:type="dxa"/>
            </w:tcMar>
            <w:vAlign w:val="center"/>
          </w:tcPr>
          <w:p w14:paraId="02C71FC7" w14:textId="16ED46BD" w:rsidR="006033E7" w:rsidRPr="00900235" w:rsidRDefault="006033E7" w:rsidP="00656716">
            <w:pPr>
              <w:ind w:right="85"/>
              <w:jc w:val="right"/>
              <w:rPr>
                <w:rFonts w:eastAsia="Arial Unicode MS"/>
                <w:sz w:val="22"/>
                <w:szCs w:val="22"/>
                <w:highlight w:val="yellow"/>
              </w:rPr>
            </w:pPr>
          </w:p>
        </w:tc>
        <w:tc>
          <w:tcPr>
            <w:tcW w:w="1025" w:type="pct"/>
            <w:tcBorders>
              <w:left w:val="nil"/>
              <w:bottom w:val="single" w:sz="4" w:space="0" w:color="auto"/>
              <w:right w:val="nil"/>
            </w:tcBorders>
            <w:vAlign w:val="center"/>
          </w:tcPr>
          <w:p w14:paraId="2C1AC639" w14:textId="77777777" w:rsidR="006033E7" w:rsidRPr="00900235" w:rsidRDefault="006033E7" w:rsidP="00656716">
            <w:pPr>
              <w:ind w:right="85"/>
              <w:jc w:val="right"/>
              <w:rPr>
                <w:rFonts w:eastAsia="Arial Unicode MS"/>
                <w:sz w:val="22"/>
                <w:szCs w:val="22"/>
                <w:highlight w:val="yellow"/>
              </w:rPr>
            </w:pPr>
          </w:p>
        </w:tc>
      </w:tr>
      <w:tr w:rsidR="0050377A" w:rsidRPr="00C40661" w14:paraId="6AC0645C" w14:textId="77777777" w:rsidTr="0050377A">
        <w:trPr>
          <w:trHeight w:val="20"/>
        </w:trPr>
        <w:tc>
          <w:tcPr>
            <w:tcW w:w="1674" w:type="pct"/>
            <w:tcBorders>
              <w:top w:val="nil"/>
              <w:left w:val="nil"/>
              <w:bottom w:val="nil"/>
              <w:right w:val="nil"/>
            </w:tcBorders>
            <w:noWrap/>
            <w:tcMar>
              <w:top w:w="15" w:type="dxa"/>
              <w:left w:w="15" w:type="dxa"/>
              <w:bottom w:w="0" w:type="dxa"/>
              <w:right w:w="15" w:type="dxa"/>
            </w:tcMar>
            <w:vAlign w:val="bottom"/>
          </w:tcPr>
          <w:p w14:paraId="693BE0D9" w14:textId="6525DF6A" w:rsidR="006033E7" w:rsidRPr="00C40661" w:rsidRDefault="006033E7" w:rsidP="008756DA">
            <w:pPr>
              <w:rPr>
                <w:rFonts w:eastAsia="Arial Unicode MS"/>
                <w:sz w:val="22"/>
                <w:szCs w:val="22"/>
              </w:rPr>
            </w:pPr>
            <w:r w:rsidRPr="00C40661">
              <w:rPr>
                <w:sz w:val="22"/>
                <w:szCs w:val="22"/>
              </w:rPr>
              <w:t xml:space="preserve">At </w:t>
            </w:r>
            <w:r w:rsidR="00620156">
              <w:rPr>
                <w:sz w:val="22"/>
                <w:szCs w:val="22"/>
              </w:rPr>
              <w:t xml:space="preserve">31 December </w:t>
            </w:r>
            <w:r w:rsidR="003068BE">
              <w:rPr>
                <w:sz w:val="22"/>
                <w:szCs w:val="22"/>
              </w:rPr>
              <w:t>2020</w:t>
            </w:r>
          </w:p>
        </w:tc>
        <w:tc>
          <w:tcPr>
            <w:tcW w:w="62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92DDC6B" w14:textId="45944E6F" w:rsidR="006033E7" w:rsidRPr="004C0B2B" w:rsidRDefault="003068BE" w:rsidP="00656716">
            <w:pPr>
              <w:ind w:right="85"/>
              <w:jc w:val="right"/>
              <w:rPr>
                <w:rFonts w:eastAsia="Arial Unicode MS"/>
                <w:sz w:val="22"/>
                <w:szCs w:val="22"/>
              </w:rPr>
            </w:pPr>
            <w:r>
              <w:rPr>
                <w:rFonts w:eastAsia="Arial Unicode MS"/>
                <w:sz w:val="22"/>
                <w:szCs w:val="22"/>
              </w:rPr>
              <w:t>273,968</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F6DCAD1" w14:textId="6591DE73" w:rsidR="006033E7" w:rsidRPr="004C0B2B" w:rsidRDefault="003068BE" w:rsidP="00656716">
            <w:pPr>
              <w:ind w:right="85"/>
              <w:jc w:val="right"/>
              <w:rPr>
                <w:rFonts w:eastAsia="Arial Unicode MS"/>
                <w:sz w:val="22"/>
                <w:szCs w:val="22"/>
              </w:rPr>
            </w:pPr>
            <w:r>
              <w:rPr>
                <w:rFonts w:eastAsia="Arial Unicode MS"/>
                <w:sz w:val="22"/>
                <w:szCs w:val="22"/>
              </w:rPr>
              <w:t>2,483,117</w:t>
            </w:r>
          </w:p>
        </w:tc>
        <w:tc>
          <w:tcPr>
            <w:tcW w:w="837"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0624B576" w14:textId="1CA95744" w:rsidR="006033E7" w:rsidRPr="004C0B2B" w:rsidRDefault="006033E7" w:rsidP="00656716">
            <w:pPr>
              <w:ind w:right="85"/>
              <w:jc w:val="right"/>
              <w:rPr>
                <w:rFonts w:eastAsia="Arial Unicode MS"/>
                <w:sz w:val="22"/>
                <w:szCs w:val="22"/>
              </w:rPr>
            </w:pPr>
            <w:r>
              <w:rPr>
                <w:rFonts w:eastAsia="Arial Unicode MS"/>
                <w:sz w:val="22"/>
                <w:szCs w:val="22"/>
              </w:rPr>
              <w:t>(</w:t>
            </w:r>
            <w:r w:rsidR="00366B2C">
              <w:rPr>
                <w:rFonts w:eastAsia="Arial Unicode MS"/>
                <w:sz w:val="22"/>
                <w:szCs w:val="22"/>
              </w:rPr>
              <w:t>2,602,993</w:t>
            </w:r>
            <w:r>
              <w:rPr>
                <w:rFonts w:eastAsia="Arial Unicode MS"/>
                <w:sz w:val="22"/>
                <w:szCs w:val="22"/>
              </w:rPr>
              <w:t>)</w:t>
            </w:r>
          </w:p>
        </w:tc>
        <w:tc>
          <w:tcPr>
            <w:tcW w:w="1025" w:type="pct"/>
            <w:tcBorders>
              <w:top w:val="single" w:sz="4" w:space="0" w:color="auto"/>
              <w:left w:val="nil"/>
              <w:bottom w:val="single" w:sz="4" w:space="0" w:color="auto"/>
              <w:right w:val="nil"/>
            </w:tcBorders>
            <w:vAlign w:val="center"/>
          </w:tcPr>
          <w:p w14:paraId="49522A9C" w14:textId="6B90B18C" w:rsidR="006033E7" w:rsidRPr="004C0B2B" w:rsidRDefault="00366B2C" w:rsidP="00656716">
            <w:pPr>
              <w:ind w:right="85"/>
              <w:jc w:val="right"/>
              <w:rPr>
                <w:sz w:val="22"/>
                <w:szCs w:val="22"/>
              </w:rPr>
            </w:pPr>
            <w:r>
              <w:rPr>
                <w:sz w:val="22"/>
                <w:szCs w:val="22"/>
              </w:rPr>
              <w:t>154,092</w:t>
            </w:r>
          </w:p>
        </w:tc>
      </w:tr>
    </w:tbl>
    <w:p w14:paraId="71D71022" w14:textId="77777777" w:rsidR="0077396B" w:rsidRDefault="0077396B">
      <w:pPr>
        <w:jc w:val="center"/>
        <w:rPr>
          <w:sz w:val="24"/>
        </w:rPr>
        <w:sectPr w:rsidR="0077396B" w:rsidSect="0050377A">
          <w:headerReference w:type="first" r:id="rId29"/>
          <w:pgSz w:w="11909" w:h="16834" w:code="9"/>
          <w:pgMar w:top="936" w:right="1379" w:bottom="936" w:left="567" w:header="706" w:footer="706" w:gutter="0"/>
          <w:cols w:space="720"/>
          <w:titlePg/>
          <w:docGrid w:linePitch="272"/>
        </w:sectPr>
      </w:pPr>
    </w:p>
    <w:tbl>
      <w:tblPr>
        <w:tblW w:w="4943" w:type="pct"/>
        <w:tblLayout w:type="fixed"/>
        <w:tblCellMar>
          <w:left w:w="0" w:type="dxa"/>
          <w:right w:w="0" w:type="dxa"/>
        </w:tblCellMar>
        <w:tblLook w:val="0000" w:firstRow="0" w:lastRow="0" w:firstColumn="0" w:lastColumn="0" w:noHBand="0" w:noVBand="0"/>
      </w:tblPr>
      <w:tblGrid>
        <w:gridCol w:w="5442"/>
        <w:gridCol w:w="1256"/>
        <w:gridCol w:w="1655"/>
        <w:gridCol w:w="1570"/>
      </w:tblGrid>
      <w:tr w:rsidR="000C5766" w:rsidRPr="00C40661" w14:paraId="54B107CC"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4C80EB2F" w14:textId="77777777" w:rsidR="000C5766" w:rsidRPr="00C40661" w:rsidRDefault="000C5766" w:rsidP="0077396B">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08CB52E7" w14:textId="4D8E27DB" w:rsidR="000C5766" w:rsidRPr="00C40661" w:rsidRDefault="000C5766" w:rsidP="0077396B">
            <w:pPr>
              <w:jc w:val="center"/>
              <w:rPr>
                <w:rFonts w:eastAsia="Arial Unicode MS"/>
                <w:b/>
                <w:bCs/>
                <w:sz w:val="22"/>
                <w:szCs w:val="22"/>
              </w:rPr>
            </w:pPr>
            <w:r w:rsidRPr="00C40661">
              <w:rPr>
                <w:b/>
                <w:bCs/>
                <w:sz w:val="22"/>
                <w:szCs w:val="22"/>
              </w:rPr>
              <w:t>Note</w:t>
            </w:r>
            <w:r w:rsidR="00B15D76">
              <w:rPr>
                <w:b/>
                <w:bCs/>
                <w:sz w:val="22"/>
                <w:szCs w:val="22"/>
              </w:rPr>
              <w:t>s</w:t>
            </w:r>
          </w:p>
        </w:tc>
        <w:tc>
          <w:tcPr>
            <w:tcW w:w="834" w:type="pct"/>
            <w:tcBorders>
              <w:top w:val="nil"/>
              <w:left w:val="nil"/>
              <w:bottom w:val="nil"/>
              <w:right w:val="nil"/>
            </w:tcBorders>
            <w:noWrap/>
            <w:tcMar>
              <w:top w:w="15" w:type="dxa"/>
              <w:left w:w="15" w:type="dxa"/>
              <w:bottom w:w="0" w:type="dxa"/>
              <w:right w:w="15" w:type="dxa"/>
            </w:tcMar>
            <w:vAlign w:val="bottom"/>
          </w:tcPr>
          <w:p w14:paraId="7B381FD0" w14:textId="4BAB7A8B" w:rsidR="000C5766" w:rsidRPr="00C40661" w:rsidRDefault="00544F00" w:rsidP="00900235">
            <w:pPr>
              <w:ind w:right="76"/>
              <w:jc w:val="right"/>
              <w:rPr>
                <w:rFonts w:eastAsia="Arial Unicode MS"/>
                <w:b/>
                <w:bCs/>
                <w:sz w:val="22"/>
                <w:szCs w:val="22"/>
              </w:rPr>
            </w:pPr>
            <w:r>
              <w:rPr>
                <w:b/>
                <w:bCs/>
                <w:sz w:val="22"/>
                <w:szCs w:val="22"/>
              </w:rPr>
              <w:t>Year</w:t>
            </w:r>
            <w:r w:rsidR="00091784">
              <w:rPr>
                <w:b/>
                <w:bCs/>
                <w:sz w:val="22"/>
                <w:szCs w:val="22"/>
              </w:rPr>
              <w:t xml:space="preserve"> to</w:t>
            </w:r>
          </w:p>
        </w:tc>
        <w:tc>
          <w:tcPr>
            <w:tcW w:w="791" w:type="pct"/>
            <w:tcBorders>
              <w:top w:val="nil"/>
              <w:left w:val="nil"/>
              <w:bottom w:val="nil"/>
              <w:right w:val="nil"/>
            </w:tcBorders>
            <w:vAlign w:val="bottom"/>
          </w:tcPr>
          <w:p w14:paraId="33295BBC" w14:textId="7BD69B2C" w:rsidR="000C5766" w:rsidRPr="00C40661" w:rsidRDefault="00544F00" w:rsidP="00900235">
            <w:pPr>
              <w:ind w:right="76"/>
              <w:jc w:val="right"/>
              <w:rPr>
                <w:rFonts w:eastAsia="Arial Unicode MS"/>
                <w:b/>
                <w:bCs/>
                <w:sz w:val="22"/>
                <w:szCs w:val="22"/>
              </w:rPr>
            </w:pPr>
            <w:r>
              <w:rPr>
                <w:b/>
                <w:bCs/>
                <w:sz w:val="22"/>
                <w:szCs w:val="22"/>
              </w:rPr>
              <w:t xml:space="preserve">10-Month Period </w:t>
            </w:r>
            <w:r w:rsidR="00091784">
              <w:rPr>
                <w:b/>
                <w:bCs/>
                <w:sz w:val="22"/>
                <w:szCs w:val="22"/>
              </w:rPr>
              <w:t>to</w:t>
            </w:r>
          </w:p>
        </w:tc>
      </w:tr>
      <w:tr w:rsidR="00091784" w:rsidRPr="00C40661" w14:paraId="21473310"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6D8B5EC9" w14:textId="77777777" w:rsidR="00091784" w:rsidRPr="00C40661" w:rsidRDefault="00091784" w:rsidP="0077396B">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16C03411" w14:textId="77777777" w:rsidR="00091784" w:rsidRPr="00C40661" w:rsidRDefault="00091784" w:rsidP="0077396B">
            <w:pPr>
              <w:jc w:val="center"/>
              <w:rPr>
                <w:b/>
                <w:bCs/>
                <w:sz w:val="22"/>
                <w:szCs w:val="22"/>
              </w:rPr>
            </w:pPr>
          </w:p>
        </w:tc>
        <w:tc>
          <w:tcPr>
            <w:tcW w:w="834" w:type="pct"/>
            <w:tcBorders>
              <w:top w:val="nil"/>
              <w:left w:val="nil"/>
              <w:bottom w:val="nil"/>
              <w:right w:val="nil"/>
            </w:tcBorders>
            <w:noWrap/>
            <w:tcMar>
              <w:top w:w="15" w:type="dxa"/>
              <w:left w:w="15" w:type="dxa"/>
              <w:bottom w:w="0" w:type="dxa"/>
              <w:right w:w="15" w:type="dxa"/>
            </w:tcMar>
            <w:vAlign w:val="bottom"/>
          </w:tcPr>
          <w:p w14:paraId="669A2B24" w14:textId="0C8911F2" w:rsidR="00091784" w:rsidRPr="00C40661" w:rsidRDefault="00091784" w:rsidP="00900235">
            <w:pPr>
              <w:ind w:right="76"/>
              <w:jc w:val="right"/>
              <w:rPr>
                <w:b/>
                <w:bCs/>
                <w:sz w:val="22"/>
                <w:szCs w:val="22"/>
              </w:rPr>
            </w:pPr>
            <w:r>
              <w:rPr>
                <w:b/>
                <w:bCs/>
                <w:sz w:val="22"/>
                <w:szCs w:val="22"/>
              </w:rPr>
              <w:t xml:space="preserve">31 December </w:t>
            </w:r>
            <w:r w:rsidR="00544F00">
              <w:rPr>
                <w:b/>
                <w:bCs/>
                <w:sz w:val="22"/>
                <w:szCs w:val="22"/>
              </w:rPr>
              <w:t>2020</w:t>
            </w:r>
          </w:p>
        </w:tc>
        <w:tc>
          <w:tcPr>
            <w:tcW w:w="791" w:type="pct"/>
            <w:tcBorders>
              <w:top w:val="nil"/>
              <w:left w:val="nil"/>
              <w:bottom w:val="nil"/>
              <w:right w:val="nil"/>
            </w:tcBorders>
            <w:vAlign w:val="bottom"/>
          </w:tcPr>
          <w:p w14:paraId="43760268" w14:textId="730BD533" w:rsidR="00091784" w:rsidRPr="00C40661" w:rsidRDefault="00544F00" w:rsidP="00900235">
            <w:pPr>
              <w:ind w:right="76"/>
              <w:jc w:val="right"/>
              <w:rPr>
                <w:b/>
                <w:bCs/>
                <w:sz w:val="22"/>
                <w:szCs w:val="22"/>
              </w:rPr>
            </w:pPr>
            <w:r>
              <w:rPr>
                <w:b/>
                <w:bCs/>
                <w:sz w:val="22"/>
                <w:szCs w:val="22"/>
              </w:rPr>
              <w:t>31 December</w:t>
            </w:r>
            <w:r w:rsidR="00091784">
              <w:rPr>
                <w:b/>
                <w:bCs/>
                <w:sz w:val="22"/>
                <w:szCs w:val="22"/>
              </w:rPr>
              <w:t xml:space="preserve"> 2019</w:t>
            </w:r>
          </w:p>
        </w:tc>
      </w:tr>
      <w:tr w:rsidR="000C5766" w:rsidRPr="00C40661" w14:paraId="3A81B510"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26850869" w14:textId="77777777" w:rsidR="000C5766" w:rsidRPr="00C40661" w:rsidRDefault="000C5766" w:rsidP="0077396B">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58A05BD1" w14:textId="77777777" w:rsidR="000C5766" w:rsidRPr="00C40661" w:rsidRDefault="000C5766" w:rsidP="0077396B">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bottom"/>
          </w:tcPr>
          <w:p w14:paraId="1AEF3932" w14:textId="77777777" w:rsidR="000C5766" w:rsidRPr="00C40661" w:rsidRDefault="000C5766" w:rsidP="000C5766">
            <w:pPr>
              <w:ind w:right="76"/>
              <w:jc w:val="right"/>
              <w:rPr>
                <w:rFonts w:eastAsia="Arial Unicode MS"/>
                <w:b/>
                <w:bCs/>
                <w:sz w:val="22"/>
                <w:szCs w:val="22"/>
              </w:rPr>
            </w:pPr>
            <w:r w:rsidRPr="00C40661">
              <w:rPr>
                <w:b/>
                <w:bCs/>
                <w:sz w:val="22"/>
                <w:szCs w:val="22"/>
              </w:rPr>
              <w:t>£</w:t>
            </w:r>
          </w:p>
        </w:tc>
        <w:tc>
          <w:tcPr>
            <w:tcW w:w="791" w:type="pct"/>
            <w:tcBorders>
              <w:top w:val="nil"/>
              <w:left w:val="nil"/>
              <w:bottom w:val="nil"/>
              <w:right w:val="nil"/>
            </w:tcBorders>
            <w:vAlign w:val="bottom"/>
          </w:tcPr>
          <w:p w14:paraId="6671E597" w14:textId="77777777" w:rsidR="000C5766" w:rsidRPr="00C40661" w:rsidRDefault="000C5766" w:rsidP="000C5766">
            <w:pPr>
              <w:ind w:right="76"/>
              <w:jc w:val="right"/>
              <w:rPr>
                <w:rFonts w:eastAsia="Arial Unicode MS"/>
                <w:b/>
                <w:bCs/>
                <w:sz w:val="22"/>
                <w:szCs w:val="22"/>
              </w:rPr>
            </w:pPr>
            <w:r w:rsidRPr="00C40661">
              <w:rPr>
                <w:b/>
                <w:bCs/>
                <w:sz w:val="22"/>
                <w:szCs w:val="22"/>
              </w:rPr>
              <w:t>£</w:t>
            </w:r>
          </w:p>
        </w:tc>
      </w:tr>
      <w:tr w:rsidR="000C5766" w:rsidRPr="00C40661" w14:paraId="006C2BF9"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D0BED2C" w14:textId="77777777" w:rsidR="000C5766" w:rsidRPr="00C40661" w:rsidRDefault="000C5766" w:rsidP="000C5766">
            <w:pPr>
              <w:ind w:right="9257"/>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6D9679F6" w14:textId="77777777" w:rsidR="000C5766" w:rsidRPr="00C40661" w:rsidRDefault="000C5766" w:rsidP="0077396B">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bottom"/>
          </w:tcPr>
          <w:p w14:paraId="40D1CF6C" w14:textId="77777777" w:rsidR="000C5766" w:rsidRPr="00C40661" w:rsidRDefault="000C5766" w:rsidP="000C5766">
            <w:pPr>
              <w:ind w:right="76"/>
              <w:jc w:val="right"/>
              <w:rPr>
                <w:b/>
                <w:bCs/>
                <w:sz w:val="22"/>
                <w:szCs w:val="22"/>
              </w:rPr>
            </w:pPr>
          </w:p>
        </w:tc>
        <w:tc>
          <w:tcPr>
            <w:tcW w:w="791" w:type="pct"/>
            <w:tcBorders>
              <w:top w:val="nil"/>
              <w:left w:val="nil"/>
              <w:bottom w:val="nil"/>
              <w:right w:val="nil"/>
            </w:tcBorders>
            <w:vAlign w:val="bottom"/>
          </w:tcPr>
          <w:p w14:paraId="4C0F4238" w14:textId="77777777" w:rsidR="000C5766" w:rsidRPr="00C40661" w:rsidRDefault="000C5766" w:rsidP="000C5766">
            <w:pPr>
              <w:ind w:right="76"/>
              <w:jc w:val="right"/>
              <w:rPr>
                <w:b/>
                <w:bCs/>
                <w:sz w:val="22"/>
                <w:szCs w:val="22"/>
              </w:rPr>
            </w:pPr>
          </w:p>
        </w:tc>
      </w:tr>
      <w:tr w:rsidR="0077396B" w:rsidRPr="00C40661" w14:paraId="28B92C0A"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50DFA9D3" w14:textId="77777777" w:rsidR="0077396B" w:rsidRPr="00C40661" w:rsidRDefault="0077396B" w:rsidP="0077396B">
            <w:pPr>
              <w:rPr>
                <w:rFonts w:eastAsia="Arial Unicode MS"/>
                <w:b/>
                <w:bCs/>
                <w:sz w:val="22"/>
                <w:szCs w:val="22"/>
              </w:rPr>
            </w:pPr>
            <w:r w:rsidRPr="00C40661">
              <w:rPr>
                <w:b/>
                <w:bCs/>
                <w:sz w:val="22"/>
                <w:szCs w:val="22"/>
              </w:rPr>
              <w:t>Cash flows from operating activities</w:t>
            </w:r>
          </w:p>
        </w:tc>
        <w:tc>
          <w:tcPr>
            <w:tcW w:w="633" w:type="pct"/>
            <w:tcBorders>
              <w:top w:val="nil"/>
              <w:left w:val="nil"/>
              <w:bottom w:val="nil"/>
              <w:right w:val="nil"/>
            </w:tcBorders>
            <w:noWrap/>
            <w:tcMar>
              <w:top w:w="15" w:type="dxa"/>
              <w:left w:w="15" w:type="dxa"/>
              <w:bottom w:w="0" w:type="dxa"/>
              <w:right w:w="15" w:type="dxa"/>
            </w:tcMar>
            <w:vAlign w:val="bottom"/>
          </w:tcPr>
          <w:p w14:paraId="2F82F09A" w14:textId="77777777" w:rsidR="0077396B" w:rsidRPr="00C40661" w:rsidRDefault="0077396B" w:rsidP="0077396B">
            <w:pPr>
              <w:jc w:val="center"/>
              <w:rPr>
                <w:rFonts w:eastAsia="Arial Unicode MS"/>
                <w:b/>
                <w:bCs/>
                <w:sz w:val="22"/>
                <w:szCs w:val="22"/>
              </w:rPr>
            </w:pPr>
            <w:r w:rsidRPr="00C40661">
              <w:rPr>
                <w:b/>
                <w:bCs/>
                <w:sz w:val="22"/>
                <w:szCs w:val="22"/>
              </w:rPr>
              <w:t xml:space="preserve"> </w:t>
            </w:r>
          </w:p>
        </w:tc>
        <w:tc>
          <w:tcPr>
            <w:tcW w:w="834" w:type="pct"/>
            <w:tcBorders>
              <w:top w:val="nil"/>
              <w:left w:val="nil"/>
              <w:bottom w:val="nil"/>
              <w:right w:val="nil"/>
            </w:tcBorders>
            <w:noWrap/>
            <w:tcMar>
              <w:top w:w="15" w:type="dxa"/>
              <w:left w:w="15" w:type="dxa"/>
              <w:bottom w:w="0" w:type="dxa"/>
              <w:right w:w="15" w:type="dxa"/>
            </w:tcMar>
            <w:vAlign w:val="bottom"/>
          </w:tcPr>
          <w:p w14:paraId="4D5506EE" w14:textId="77777777" w:rsidR="0077396B" w:rsidRPr="00C40661" w:rsidRDefault="0077396B" w:rsidP="000C5766">
            <w:pPr>
              <w:ind w:right="76"/>
              <w:jc w:val="right"/>
              <w:rPr>
                <w:rFonts w:eastAsia="Arial Unicode MS"/>
                <w:sz w:val="22"/>
                <w:szCs w:val="22"/>
              </w:rPr>
            </w:pPr>
            <w:r w:rsidRPr="00C40661">
              <w:rPr>
                <w:sz w:val="22"/>
                <w:szCs w:val="22"/>
              </w:rPr>
              <w:t xml:space="preserve"> </w:t>
            </w:r>
          </w:p>
        </w:tc>
        <w:tc>
          <w:tcPr>
            <w:tcW w:w="791" w:type="pct"/>
            <w:tcBorders>
              <w:top w:val="nil"/>
              <w:left w:val="nil"/>
              <w:bottom w:val="nil"/>
              <w:right w:val="nil"/>
            </w:tcBorders>
          </w:tcPr>
          <w:p w14:paraId="51F7C123" w14:textId="77777777" w:rsidR="0077396B" w:rsidRPr="00C40661" w:rsidRDefault="0077396B" w:rsidP="000C5766">
            <w:pPr>
              <w:ind w:right="76"/>
              <w:jc w:val="right"/>
              <w:rPr>
                <w:sz w:val="22"/>
                <w:szCs w:val="22"/>
              </w:rPr>
            </w:pPr>
          </w:p>
        </w:tc>
      </w:tr>
      <w:tr w:rsidR="00900235" w:rsidRPr="00C40661" w14:paraId="1DEFA05A"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62DB4AAE" w14:textId="70765BA4" w:rsidR="00900235" w:rsidRPr="00C40661" w:rsidRDefault="00900235" w:rsidP="00900235">
            <w:pPr>
              <w:rPr>
                <w:rFonts w:eastAsia="Arial Unicode MS"/>
                <w:sz w:val="22"/>
                <w:szCs w:val="22"/>
              </w:rPr>
            </w:pPr>
            <w:r w:rsidRPr="00C40661">
              <w:rPr>
                <w:sz w:val="22"/>
                <w:szCs w:val="22"/>
              </w:rPr>
              <w:t>Operating loss</w:t>
            </w:r>
          </w:p>
        </w:tc>
        <w:tc>
          <w:tcPr>
            <w:tcW w:w="633" w:type="pct"/>
            <w:tcBorders>
              <w:top w:val="nil"/>
              <w:left w:val="nil"/>
              <w:bottom w:val="nil"/>
              <w:right w:val="nil"/>
            </w:tcBorders>
            <w:noWrap/>
            <w:tcMar>
              <w:top w:w="15" w:type="dxa"/>
              <w:left w:w="15" w:type="dxa"/>
              <w:bottom w:w="0" w:type="dxa"/>
              <w:right w:w="15" w:type="dxa"/>
            </w:tcMar>
            <w:vAlign w:val="bottom"/>
          </w:tcPr>
          <w:p w14:paraId="11CCE741" w14:textId="77777777" w:rsidR="00900235" w:rsidRPr="00C40661" w:rsidRDefault="00900235"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7CD06D9E" w14:textId="09BC7666" w:rsidR="00900235" w:rsidRPr="006D56BD" w:rsidRDefault="009463C3" w:rsidP="00900235">
            <w:pPr>
              <w:ind w:right="76"/>
              <w:jc w:val="right"/>
              <w:rPr>
                <w:rFonts w:eastAsia="Arial Unicode MS"/>
                <w:sz w:val="22"/>
                <w:szCs w:val="22"/>
              </w:rPr>
            </w:pPr>
            <w:r>
              <w:rPr>
                <w:rFonts w:eastAsia="Arial Unicode MS"/>
                <w:sz w:val="22"/>
                <w:szCs w:val="22"/>
              </w:rPr>
              <w:t>(</w:t>
            </w:r>
            <w:r w:rsidR="00217B90">
              <w:rPr>
                <w:rFonts w:eastAsia="Arial Unicode MS"/>
                <w:sz w:val="22"/>
                <w:szCs w:val="22"/>
              </w:rPr>
              <w:t>810,133</w:t>
            </w:r>
            <w:r>
              <w:rPr>
                <w:rFonts w:eastAsia="Arial Unicode MS"/>
                <w:sz w:val="22"/>
                <w:szCs w:val="22"/>
              </w:rPr>
              <w:t>)</w:t>
            </w:r>
          </w:p>
        </w:tc>
        <w:tc>
          <w:tcPr>
            <w:tcW w:w="791" w:type="pct"/>
            <w:tcBorders>
              <w:top w:val="nil"/>
              <w:left w:val="nil"/>
              <w:bottom w:val="nil"/>
              <w:right w:val="nil"/>
            </w:tcBorders>
            <w:vAlign w:val="center"/>
          </w:tcPr>
          <w:p w14:paraId="630A51C3" w14:textId="64386F72" w:rsidR="00900235" w:rsidRPr="00C40661" w:rsidRDefault="00900235" w:rsidP="00900235">
            <w:pPr>
              <w:ind w:right="76"/>
              <w:jc w:val="right"/>
              <w:rPr>
                <w:rFonts w:eastAsia="Arial Unicode MS"/>
                <w:sz w:val="22"/>
                <w:szCs w:val="22"/>
              </w:rPr>
            </w:pPr>
            <w:r w:rsidRPr="006D56BD">
              <w:rPr>
                <w:rFonts w:eastAsia="Arial Unicode MS"/>
                <w:sz w:val="22"/>
                <w:szCs w:val="22"/>
              </w:rPr>
              <w:t>(</w:t>
            </w:r>
            <w:r w:rsidR="00544F00">
              <w:rPr>
                <w:rFonts w:eastAsia="Arial Unicode MS"/>
                <w:sz w:val="22"/>
                <w:szCs w:val="22"/>
              </w:rPr>
              <w:t>584,855</w:t>
            </w:r>
            <w:r w:rsidRPr="006D56BD">
              <w:rPr>
                <w:rFonts w:eastAsia="Arial Unicode MS"/>
                <w:sz w:val="22"/>
                <w:szCs w:val="22"/>
              </w:rPr>
              <w:t>)</w:t>
            </w:r>
          </w:p>
        </w:tc>
      </w:tr>
      <w:tr w:rsidR="006033E7" w:rsidRPr="00C40661" w14:paraId="05E2550E"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27AA57A9" w14:textId="2FF52D44" w:rsidR="006033E7" w:rsidRPr="00C40661" w:rsidRDefault="00544F00" w:rsidP="00900235">
            <w:pPr>
              <w:rPr>
                <w:sz w:val="22"/>
                <w:szCs w:val="22"/>
              </w:rPr>
            </w:pPr>
            <w:r>
              <w:rPr>
                <w:sz w:val="22"/>
                <w:szCs w:val="22"/>
              </w:rPr>
              <w:t>(Profit)/loss</w:t>
            </w:r>
            <w:r w:rsidR="00893AA1">
              <w:rPr>
                <w:sz w:val="22"/>
                <w:szCs w:val="22"/>
              </w:rPr>
              <w:t xml:space="preserve"> on sale of investment</w:t>
            </w:r>
          </w:p>
        </w:tc>
        <w:tc>
          <w:tcPr>
            <w:tcW w:w="633" w:type="pct"/>
            <w:tcBorders>
              <w:top w:val="nil"/>
              <w:left w:val="nil"/>
              <w:bottom w:val="nil"/>
              <w:right w:val="nil"/>
            </w:tcBorders>
            <w:noWrap/>
            <w:tcMar>
              <w:top w:w="15" w:type="dxa"/>
              <w:left w:w="15" w:type="dxa"/>
              <w:bottom w:w="0" w:type="dxa"/>
              <w:right w:w="15" w:type="dxa"/>
            </w:tcMar>
            <w:vAlign w:val="bottom"/>
          </w:tcPr>
          <w:p w14:paraId="4CF1B0A1" w14:textId="77777777" w:rsidR="006033E7" w:rsidRPr="00C40661" w:rsidRDefault="006033E7"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6F120034" w14:textId="5A66D594" w:rsidR="006033E7" w:rsidRDefault="00544F00" w:rsidP="00900235">
            <w:pPr>
              <w:ind w:right="76"/>
              <w:jc w:val="right"/>
              <w:rPr>
                <w:rFonts w:eastAsia="Arial Unicode MS"/>
                <w:sz w:val="22"/>
                <w:szCs w:val="22"/>
              </w:rPr>
            </w:pPr>
            <w:r>
              <w:rPr>
                <w:rFonts w:eastAsia="Arial Unicode MS"/>
                <w:sz w:val="22"/>
                <w:szCs w:val="22"/>
              </w:rPr>
              <w:t>(19,134)</w:t>
            </w:r>
          </w:p>
        </w:tc>
        <w:tc>
          <w:tcPr>
            <w:tcW w:w="791" w:type="pct"/>
            <w:tcBorders>
              <w:top w:val="nil"/>
              <w:left w:val="nil"/>
              <w:bottom w:val="nil"/>
              <w:right w:val="nil"/>
            </w:tcBorders>
            <w:vAlign w:val="center"/>
          </w:tcPr>
          <w:p w14:paraId="209EC46D" w14:textId="6418470C" w:rsidR="006033E7" w:rsidRDefault="00544F00" w:rsidP="00900235">
            <w:pPr>
              <w:ind w:right="76"/>
              <w:jc w:val="right"/>
              <w:rPr>
                <w:rFonts w:eastAsia="Arial Unicode MS"/>
                <w:sz w:val="22"/>
                <w:szCs w:val="22"/>
              </w:rPr>
            </w:pPr>
            <w:r>
              <w:rPr>
                <w:rFonts w:eastAsia="Arial Unicode MS"/>
                <w:sz w:val="22"/>
                <w:szCs w:val="22"/>
              </w:rPr>
              <w:t>16,357</w:t>
            </w:r>
          </w:p>
        </w:tc>
      </w:tr>
      <w:tr w:rsidR="00893AA1" w:rsidRPr="00C40661" w14:paraId="09BC8225"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285D4848" w14:textId="220148E2" w:rsidR="00893AA1" w:rsidRDefault="00893AA1" w:rsidP="00900235">
            <w:pPr>
              <w:rPr>
                <w:sz w:val="22"/>
                <w:szCs w:val="22"/>
              </w:rPr>
            </w:pPr>
            <w:r>
              <w:rPr>
                <w:sz w:val="22"/>
                <w:szCs w:val="22"/>
              </w:rPr>
              <w:t>Impairment investment</w:t>
            </w:r>
            <w:r w:rsidR="00CA0D90">
              <w:rPr>
                <w:sz w:val="22"/>
                <w:szCs w:val="22"/>
              </w:rPr>
              <w:t>s</w:t>
            </w:r>
          </w:p>
        </w:tc>
        <w:tc>
          <w:tcPr>
            <w:tcW w:w="633" w:type="pct"/>
            <w:tcBorders>
              <w:top w:val="nil"/>
              <w:left w:val="nil"/>
              <w:bottom w:val="nil"/>
              <w:right w:val="nil"/>
            </w:tcBorders>
            <w:noWrap/>
            <w:tcMar>
              <w:top w:w="15" w:type="dxa"/>
              <w:left w:w="15" w:type="dxa"/>
              <w:bottom w:w="0" w:type="dxa"/>
              <w:right w:w="15" w:type="dxa"/>
            </w:tcMar>
            <w:vAlign w:val="bottom"/>
          </w:tcPr>
          <w:p w14:paraId="1DAAB54B" w14:textId="77777777" w:rsidR="00893AA1" w:rsidRPr="00C40661" w:rsidRDefault="00893AA1"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38F9CE7F" w14:textId="361C69BB" w:rsidR="00893AA1" w:rsidRDefault="00544F00" w:rsidP="00900235">
            <w:pPr>
              <w:ind w:right="76"/>
              <w:jc w:val="right"/>
              <w:rPr>
                <w:rFonts w:eastAsia="Arial Unicode MS"/>
                <w:sz w:val="22"/>
                <w:szCs w:val="22"/>
              </w:rPr>
            </w:pPr>
            <w:r>
              <w:rPr>
                <w:rFonts w:eastAsia="Arial Unicode MS"/>
                <w:sz w:val="22"/>
                <w:szCs w:val="22"/>
              </w:rPr>
              <w:t>-</w:t>
            </w:r>
          </w:p>
        </w:tc>
        <w:tc>
          <w:tcPr>
            <w:tcW w:w="791" w:type="pct"/>
            <w:tcBorders>
              <w:top w:val="nil"/>
              <w:left w:val="nil"/>
              <w:bottom w:val="nil"/>
              <w:right w:val="nil"/>
            </w:tcBorders>
            <w:vAlign w:val="center"/>
          </w:tcPr>
          <w:p w14:paraId="6273A637" w14:textId="1AE407EA" w:rsidR="00893AA1" w:rsidRDefault="00544F00" w:rsidP="00900235">
            <w:pPr>
              <w:ind w:right="76"/>
              <w:jc w:val="right"/>
              <w:rPr>
                <w:rFonts w:eastAsia="Arial Unicode MS"/>
                <w:sz w:val="22"/>
                <w:szCs w:val="22"/>
              </w:rPr>
            </w:pPr>
            <w:r>
              <w:rPr>
                <w:rFonts w:eastAsia="Arial Unicode MS"/>
                <w:sz w:val="22"/>
                <w:szCs w:val="22"/>
              </w:rPr>
              <w:t>44,847</w:t>
            </w:r>
          </w:p>
        </w:tc>
      </w:tr>
      <w:tr w:rsidR="00F735F2" w:rsidRPr="00C40661" w14:paraId="762AD0A5"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0CF1A3CB" w14:textId="4916B6AB" w:rsidR="00F735F2" w:rsidRDefault="00F735F2" w:rsidP="00900235">
            <w:pPr>
              <w:rPr>
                <w:sz w:val="22"/>
                <w:szCs w:val="22"/>
              </w:rPr>
            </w:pPr>
            <w:r>
              <w:rPr>
                <w:sz w:val="22"/>
                <w:szCs w:val="22"/>
              </w:rPr>
              <w:t>Foreign exchange</w:t>
            </w:r>
          </w:p>
        </w:tc>
        <w:tc>
          <w:tcPr>
            <w:tcW w:w="633" w:type="pct"/>
            <w:tcBorders>
              <w:top w:val="nil"/>
              <w:left w:val="nil"/>
              <w:bottom w:val="nil"/>
              <w:right w:val="nil"/>
            </w:tcBorders>
            <w:noWrap/>
            <w:tcMar>
              <w:top w:w="15" w:type="dxa"/>
              <w:left w:w="15" w:type="dxa"/>
              <w:bottom w:w="0" w:type="dxa"/>
              <w:right w:w="15" w:type="dxa"/>
            </w:tcMar>
            <w:vAlign w:val="bottom"/>
          </w:tcPr>
          <w:p w14:paraId="2D2549A3" w14:textId="77777777" w:rsidR="00F735F2" w:rsidRPr="00C40661" w:rsidRDefault="00F735F2"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0A86B01C" w14:textId="7B10F20A" w:rsidR="00F735F2" w:rsidRDefault="005E1810" w:rsidP="00900235">
            <w:pPr>
              <w:ind w:right="76"/>
              <w:jc w:val="right"/>
              <w:rPr>
                <w:rFonts w:eastAsia="Arial Unicode MS"/>
                <w:sz w:val="22"/>
                <w:szCs w:val="22"/>
              </w:rPr>
            </w:pPr>
            <w:r>
              <w:rPr>
                <w:rFonts w:eastAsia="Arial Unicode MS"/>
                <w:sz w:val="22"/>
                <w:szCs w:val="22"/>
              </w:rPr>
              <w:t>(</w:t>
            </w:r>
            <w:r w:rsidR="00544F00">
              <w:rPr>
                <w:rFonts w:eastAsia="Arial Unicode MS"/>
                <w:sz w:val="22"/>
                <w:szCs w:val="22"/>
              </w:rPr>
              <w:t>418</w:t>
            </w:r>
            <w:r>
              <w:rPr>
                <w:rFonts w:eastAsia="Arial Unicode MS"/>
                <w:sz w:val="22"/>
                <w:szCs w:val="22"/>
              </w:rPr>
              <w:t>)</w:t>
            </w:r>
          </w:p>
        </w:tc>
        <w:tc>
          <w:tcPr>
            <w:tcW w:w="791" w:type="pct"/>
            <w:tcBorders>
              <w:top w:val="nil"/>
              <w:left w:val="nil"/>
              <w:bottom w:val="nil"/>
              <w:right w:val="nil"/>
            </w:tcBorders>
            <w:vAlign w:val="center"/>
          </w:tcPr>
          <w:p w14:paraId="6C1ED6FE" w14:textId="24FB5A7B" w:rsidR="00F735F2" w:rsidRDefault="00544F00" w:rsidP="00900235">
            <w:pPr>
              <w:ind w:right="76"/>
              <w:jc w:val="right"/>
              <w:rPr>
                <w:rFonts w:eastAsia="Arial Unicode MS"/>
                <w:sz w:val="22"/>
                <w:szCs w:val="22"/>
              </w:rPr>
            </w:pPr>
            <w:r>
              <w:rPr>
                <w:rFonts w:eastAsia="Arial Unicode MS"/>
                <w:sz w:val="22"/>
                <w:szCs w:val="22"/>
              </w:rPr>
              <w:t>(2,067)</w:t>
            </w:r>
          </w:p>
        </w:tc>
      </w:tr>
      <w:tr w:rsidR="001B0161" w:rsidRPr="00C40661" w14:paraId="3CC23C94"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422AD835" w14:textId="0D26D13B" w:rsidR="001B0161" w:rsidRDefault="001B0161" w:rsidP="00900235">
            <w:pPr>
              <w:rPr>
                <w:sz w:val="22"/>
                <w:szCs w:val="22"/>
              </w:rPr>
            </w:pPr>
            <w:r>
              <w:rPr>
                <w:sz w:val="22"/>
                <w:szCs w:val="22"/>
              </w:rPr>
              <w:t>Finance costs</w:t>
            </w:r>
          </w:p>
        </w:tc>
        <w:tc>
          <w:tcPr>
            <w:tcW w:w="633" w:type="pct"/>
            <w:tcBorders>
              <w:top w:val="nil"/>
              <w:left w:val="nil"/>
              <w:bottom w:val="nil"/>
              <w:right w:val="nil"/>
            </w:tcBorders>
            <w:noWrap/>
            <w:tcMar>
              <w:top w:w="15" w:type="dxa"/>
              <w:left w:w="15" w:type="dxa"/>
              <w:bottom w:w="0" w:type="dxa"/>
              <w:right w:w="15" w:type="dxa"/>
            </w:tcMar>
            <w:vAlign w:val="bottom"/>
          </w:tcPr>
          <w:p w14:paraId="00B53982" w14:textId="77777777" w:rsidR="001B0161" w:rsidRPr="00C40661" w:rsidRDefault="001B0161"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36BD1F2" w14:textId="67D0C928" w:rsidR="001B0161" w:rsidRDefault="001B0161" w:rsidP="00900235">
            <w:pPr>
              <w:ind w:right="76"/>
              <w:jc w:val="right"/>
              <w:rPr>
                <w:rFonts w:eastAsia="Arial Unicode MS"/>
                <w:sz w:val="22"/>
                <w:szCs w:val="22"/>
              </w:rPr>
            </w:pPr>
            <w:r>
              <w:rPr>
                <w:rFonts w:eastAsia="Arial Unicode MS"/>
                <w:sz w:val="22"/>
                <w:szCs w:val="22"/>
              </w:rPr>
              <w:t>32,436</w:t>
            </w:r>
          </w:p>
        </w:tc>
        <w:tc>
          <w:tcPr>
            <w:tcW w:w="791" w:type="pct"/>
            <w:tcBorders>
              <w:top w:val="nil"/>
              <w:left w:val="nil"/>
              <w:bottom w:val="nil"/>
              <w:right w:val="nil"/>
            </w:tcBorders>
            <w:vAlign w:val="center"/>
          </w:tcPr>
          <w:p w14:paraId="1A6200B7" w14:textId="77812337" w:rsidR="001B0161" w:rsidRDefault="001B0161" w:rsidP="00900235">
            <w:pPr>
              <w:ind w:right="76"/>
              <w:jc w:val="right"/>
              <w:rPr>
                <w:rFonts w:eastAsia="Arial Unicode MS"/>
                <w:sz w:val="22"/>
                <w:szCs w:val="22"/>
              </w:rPr>
            </w:pPr>
            <w:r>
              <w:rPr>
                <w:rFonts w:eastAsia="Arial Unicode MS"/>
                <w:sz w:val="22"/>
                <w:szCs w:val="22"/>
              </w:rPr>
              <w:t>-</w:t>
            </w:r>
          </w:p>
        </w:tc>
      </w:tr>
      <w:tr w:rsidR="00900235" w:rsidRPr="00C40661" w14:paraId="19E86CE1"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65EECFD3" w14:textId="6CACF0E0" w:rsidR="00900235" w:rsidRPr="00C40661" w:rsidRDefault="00900235" w:rsidP="00900235">
            <w:pPr>
              <w:rPr>
                <w:rFonts w:eastAsia="Arial Unicode MS"/>
                <w:sz w:val="22"/>
                <w:szCs w:val="22"/>
              </w:rPr>
            </w:pPr>
            <w:r>
              <w:rPr>
                <w:sz w:val="22"/>
                <w:szCs w:val="22"/>
              </w:rPr>
              <w:t>Increase</w:t>
            </w:r>
            <w:r w:rsidRPr="00C40661">
              <w:rPr>
                <w:sz w:val="22"/>
                <w:szCs w:val="22"/>
              </w:rPr>
              <w:t xml:space="preserve"> in creditors</w:t>
            </w:r>
          </w:p>
        </w:tc>
        <w:tc>
          <w:tcPr>
            <w:tcW w:w="633" w:type="pct"/>
            <w:tcBorders>
              <w:top w:val="nil"/>
              <w:left w:val="nil"/>
              <w:bottom w:val="nil"/>
              <w:right w:val="nil"/>
            </w:tcBorders>
            <w:noWrap/>
            <w:tcMar>
              <w:top w:w="15" w:type="dxa"/>
              <w:left w:w="15" w:type="dxa"/>
              <w:bottom w:w="0" w:type="dxa"/>
              <w:right w:w="15" w:type="dxa"/>
            </w:tcMar>
            <w:vAlign w:val="bottom"/>
          </w:tcPr>
          <w:p w14:paraId="15A7D1DC" w14:textId="77777777" w:rsidR="00900235" w:rsidRPr="00C40661" w:rsidRDefault="00900235"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622A903B" w14:textId="745402F4" w:rsidR="00900235" w:rsidRPr="006D56BD" w:rsidRDefault="001B0161" w:rsidP="00900235">
            <w:pPr>
              <w:ind w:right="76"/>
              <w:jc w:val="right"/>
              <w:rPr>
                <w:rFonts w:eastAsia="Arial Unicode MS"/>
                <w:sz w:val="22"/>
                <w:szCs w:val="22"/>
              </w:rPr>
            </w:pPr>
            <w:r>
              <w:rPr>
                <w:rFonts w:eastAsia="Arial Unicode MS"/>
                <w:sz w:val="22"/>
                <w:szCs w:val="22"/>
              </w:rPr>
              <w:t>50,93</w:t>
            </w:r>
            <w:r w:rsidR="00A75E93">
              <w:rPr>
                <w:rFonts w:eastAsia="Arial Unicode MS"/>
                <w:sz w:val="22"/>
                <w:szCs w:val="22"/>
              </w:rPr>
              <w:t>1</w:t>
            </w:r>
          </w:p>
        </w:tc>
        <w:tc>
          <w:tcPr>
            <w:tcW w:w="791" w:type="pct"/>
            <w:tcBorders>
              <w:top w:val="nil"/>
              <w:left w:val="nil"/>
              <w:bottom w:val="nil"/>
              <w:right w:val="nil"/>
            </w:tcBorders>
            <w:vAlign w:val="center"/>
          </w:tcPr>
          <w:p w14:paraId="15EC00D3" w14:textId="59CAE6E4" w:rsidR="00900235" w:rsidRPr="00C40661" w:rsidRDefault="00544F00" w:rsidP="00900235">
            <w:pPr>
              <w:ind w:right="76"/>
              <w:jc w:val="right"/>
              <w:rPr>
                <w:rFonts w:eastAsia="Arial Unicode MS"/>
                <w:sz w:val="22"/>
                <w:szCs w:val="22"/>
              </w:rPr>
            </w:pPr>
            <w:r>
              <w:rPr>
                <w:rFonts w:eastAsia="Arial Unicode MS"/>
                <w:sz w:val="22"/>
                <w:szCs w:val="22"/>
              </w:rPr>
              <w:t>36,407</w:t>
            </w:r>
          </w:p>
        </w:tc>
      </w:tr>
      <w:tr w:rsidR="00900235" w:rsidRPr="00C40661" w14:paraId="1FC98728"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04A5BF7F" w14:textId="06784C9D" w:rsidR="00900235" w:rsidRPr="00C40661" w:rsidRDefault="00F735F2" w:rsidP="00900235">
            <w:pPr>
              <w:rPr>
                <w:rFonts w:eastAsia="Arial Unicode MS"/>
                <w:sz w:val="22"/>
                <w:szCs w:val="22"/>
              </w:rPr>
            </w:pPr>
            <w:r>
              <w:rPr>
                <w:sz w:val="22"/>
                <w:szCs w:val="22"/>
              </w:rPr>
              <w:t>Decrease/</w:t>
            </w:r>
            <w:r w:rsidR="003553A6">
              <w:rPr>
                <w:sz w:val="22"/>
                <w:szCs w:val="22"/>
              </w:rPr>
              <w:t>(</w:t>
            </w:r>
            <w:r>
              <w:rPr>
                <w:sz w:val="22"/>
                <w:szCs w:val="22"/>
              </w:rPr>
              <w:t>i</w:t>
            </w:r>
            <w:r w:rsidR="003553A6">
              <w:rPr>
                <w:sz w:val="22"/>
                <w:szCs w:val="22"/>
              </w:rPr>
              <w:t>ncrease)</w:t>
            </w:r>
            <w:r w:rsidR="00900235">
              <w:rPr>
                <w:sz w:val="22"/>
                <w:szCs w:val="22"/>
              </w:rPr>
              <w:t xml:space="preserve"> </w:t>
            </w:r>
            <w:r w:rsidR="00900235" w:rsidRPr="00C40661">
              <w:rPr>
                <w:sz w:val="22"/>
                <w:szCs w:val="22"/>
              </w:rPr>
              <w:t>in debtors</w:t>
            </w:r>
          </w:p>
        </w:tc>
        <w:tc>
          <w:tcPr>
            <w:tcW w:w="633" w:type="pct"/>
            <w:tcBorders>
              <w:top w:val="nil"/>
              <w:left w:val="nil"/>
              <w:bottom w:val="nil"/>
              <w:right w:val="nil"/>
            </w:tcBorders>
            <w:noWrap/>
            <w:tcMar>
              <w:top w:w="15" w:type="dxa"/>
              <w:left w:w="15" w:type="dxa"/>
              <w:bottom w:w="0" w:type="dxa"/>
              <w:right w:w="15" w:type="dxa"/>
            </w:tcMar>
            <w:vAlign w:val="bottom"/>
          </w:tcPr>
          <w:p w14:paraId="65B010C0" w14:textId="77777777" w:rsidR="00900235" w:rsidRPr="00C40661" w:rsidRDefault="00900235"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2E7F76A2" w14:textId="6DF9316B" w:rsidR="00900235" w:rsidRPr="006D56BD" w:rsidRDefault="00217B90" w:rsidP="00900235">
            <w:pPr>
              <w:ind w:right="76"/>
              <w:jc w:val="right"/>
              <w:rPr>
                <w:rFonts w:eastAsia="Arial Unicode MS"/>
                <w:sz w:val="22"/>
                <w:szCs w:val="22"/>
              </w:rPr>
            </w:pPr>
            <w:r>
              <w:rPr>
                <w:rFonts w:eastAsia="Arial Unicode MS"/>
                <w:sz w:val="22"/>
                <w:szCs w:val="22"/>
              </w:rPr>
              <w:t>55,554</w:t>
            </w:r>
          </w:p>
        </w:tc>
        <w:tc>
          <w:tcPr>
            <w:tcW w:w="791" w:type="pct"/>
            <w:tcBorders>
              <w:top w:val="nil"/>
              <w:left w:val="nil"/>
              <w:bottom w:val="nil"/>
              <w:right w:val="nil"/>
            </w:tcBorders>
            <w:vAlign w:val="center"/>
          </w:tcPr>
          <w:p w14:paraId="6AF6F95E" w14:textId="58089A3C" w:rsidR="00900235" w:rsidRPr="00C40661" w:rsidRDefault="00544F00" w:rsidP="00900235">
            <w:pPr>
              <w:ind w:right="76"/>
              <w:jc w:val="right"/>
              <w:rPr>
                <w:rFonts w:eastAsia="Arial Unicode MS"/>
                <w:sz w:val="22"/>
                <w:szCs w:val="22"/>
              </w:rPr>
            </w:pPr>
            <w:r>
              <w:rPr>
                <w:rFonts w:eastAsia="Arial Unicode MS"/>
                <w:sz w:val="22"/>
                <w:szCs w:val="22"/>
              </w:rPr>
              <w:t>105,361</w:t>
            </w:r>
          </w:p>
        </w:tc>
      </w:tr>
      <w:tr w:rsidR="00900235" w:rsidRPr="00C40661" w14:paraId="0EB643F0"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152D4B0" w14:textId="77777777" w:rsidR="00900235" w:rsidRPr="00C40661" w:rsidRDefault="00900235" w:rsidP="00900235">
            <w:pPr>
              <w:rPr>
                <w:rFonts w:eastAsia="Arial Unicode MS"/>
                <w:b/>
                <w:bCs/>
                <w:sz w:val="22"/>
                <w:szCs w:val="22"/>
              </w:rPr>
            </w:pPr>
            <w:r w:rsidRPr="00C40661">
              <w:rPr>
                <w:b/>
                <w:bCs/>
                <w:sz w:val="22"/>
                <w:szCs w:val="22"/>
              </w:rPr>
              <w:t>Net cash used in operating activities</w:t>
            </w:r>
          </w:p>
        </w:tc>
        <w:tc>
          <w:tcPr>
            <w:tcW w:w="633" w:type="pct"/>
            <w:tcBorders>
              <w:top w:val="nil"/>
              <w:left w:val="nil"/>
              <w:bottom w:val="nil"/>
              <w:right w:val="nil"/>
            </w:tcBorders>
            <w:noWrap/>
            <w:tcMar>
              <w:top w:w="15" w:type="dxa"/>
              <w:left w:w="15" w:type="dxa"/>
              <w:bottom w:w="0" w:type="dxa"/>
              <w:right w:w="15" w:type="dxa"/>
            </w:tcMar>
            <w:vAlign w:val="bottom"/>
          </w:tcPr>
          <w:p w14:paraId="31B61E88" w14:textId="77777777" w:rsidR="00900235" w:rsidRPr="00C40661" w:rsidRDefault="00900235" w:rsidP="00900235">
            <w:pPr>
              <w:jc w:val="center"/>
              <w:rPr>
                <w:rFonts w:eastAsia="Arial Unicode MS"/>
                <w:b/>
                <w:bCs/>
                <w:sz w:val="22"/>
                <w:szCs w:val="22"/>
              </w:rPr>
            </w:pPr>
          </w:p>
        </w:tc>
        <w:tc>
          <w:tcPr>
            <w:tcW w:w="834"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32BE22E5" w14:textId="750C90AD" w:rsidR="00900235" w:rsidRPr="006D56BD" w:rsidRDefault="00345329" w:rsidP="00900235">
            <w:pPr>
              <w:ind w:right="76"/>
              <w:jc w:val="right"/>
              <w:rPr>
                <w:rFonts w:eastAsia="Arial Unicode MS"/>
                <w:sz w:val="22"/>
                <w:szCs w:val="22"/>
              </w:rPr>
            </w:pPr>
            <w:r>
              <w:rPr>
                <w:rFonts w:eastAsia="Arial Unicode MS"/>
                <w:sz w:val="22"/>
                <w:szCs w:val="22"/>
              </w:rPr>
              <w:t>(</w:t>
            </w:r>
            <w:r w:rsidR="001B0161">
              <w:rPr>
                <w:rFonts w:eastAsia="Arial Unicode MS"/>
                <w:sz w:val="22"/>
                <w:szCs w:val="22"/>
              </w:rPr>
              <w:t>690,76</w:t>
            </w:r>
            <w:r w:rsidR="00A75E93">
              <w:rPr>
                <w:rFonts w:eastAsia="Arial Unicode MS"/>
                <w:sz w:val="22"/>
                <w:szCs w:val="22"/>
              </w:rPr>
              <w:t>4</w:t>
            </w:r>
            <w:r w:rsidR="009463C3">
              <w:rPr>
                <w:rFonts w:eastAsia="Arial Unicode MS"/>
                <w:sz w:val="22"/>
                <w:szCs w:val="22"/>
              </w:rPr>
              <w:t>)</w:t>
            </w:r>
          </w:p>
        </w:tc>
        <w:tc>
          <w:tcPr>
            <w:tcW w:w="791" w:type="pct"/>
            <w:tcBorders>
              <w:top w:val="single" w:sz="4" w:space="0" w:color="auto"/>
              <w:left w:val="nil"/>
              <w:bottom w:val="single" w:sz="4" w:space="0" w:color="auto"/>
              <w:right w:val="nil"/>
            </w:tcBorders>
            <w:vAlign w:val="center"/>
          </w:tcPr>
          <w:p w14:paraId="434D7CB7" w14:textId="5D11CEBB" w:rsidR="00900235" w:rsidRPr="00C40661" w:rsidRDefault="00900235" w:rsidP="00900235">
            <w:pPr>
              <w:ind w:right="76"/>
              <w:jc w:val="right"/>
              <w:rPr>
                <w:rFonts w:eastAsia="Arial Unicode MS"/>
                <w:sz w:val="22"/>
                <w:szCs w:val="22"/>
              </w:rPr>
            </w:pPr>
            <w:r w:rsidRPr="006935FD">
              <w:rPr>
                <w:rFonts w:eastAsia="Arial Unicode MS"/>
                <w:sz w:val="22"/>
                <w:szCs w:val="22"/>
              </w:rPr>
              <w:t>(</w:t>
            </w:r>
            <w:r w:rsidR="00544F00">
              <w:rPr>
                <w:rFonts w:eastAsia="Arial Unicode MS"/>
                <w:sz w:val="22"/>
                <w:szCs w:val="22"/>
              </w:rPr>
              <w:t>383,950</w:t>
            </w:r>
            <w:r w:rsidRPr="006935FD">
              <w:rPr>
                <w:rFonts w:eastAsia="Arial Unicode MS"/>
                <w:sz w:val="22"/>
                <w:szCs w:val="22"/>
              </w:rPr>
              <w:t>)</w:t>
            </w:r>
          </w:p>
        </w:tc>
      </w:tr>
      <w:tr w:rsidR="00900235" w:rsidRPr="00C40661" w14:paraId="5B5C0118" w14:textId="77777777" w:rsidTr="00F9623A">
        <w:trPr>
          <w:trHeight w:val="381"/>
        </w:trPr>
        <w:tc>
          <w:tcPr>
            <w:tcW w:w="2742" w:type="pct"/>
            <w:tcBorders>
              <w:top w:val="nil"/>
              <w:left w:val="nil"/>
              <w:bottom w:val="nil"/>
              <w:right w:val="nil"/>
            </w:tcBorders>
            <w:noWrap/>
            <w:tcMar>
              <w:top w:w="15" w:type="dxa"/>
              <w:left w:w="15" w:type="dxa"/>
              <w:bottom w:w="0" w:type="dxa"/>
              <w:right w:w="15" w:type="dxa"/>
            </w:tcMar>
            <w:vAlign w:val="bottom"/>
          </w:tcPr>
          <w:p w14:paraId="0158FE4C" w14:textId="77777777" w:rsidR="00900235" w:rsidRPr="00C40661" w:rsidRDefault="00900235" w:rsidP="00900235">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4E204E40" w14:textId="77777777" w:rsidR="00900235" w:rsidRPr="00C40661" w:rsidRDefault="00900235" w:rsidP="00900235">
            <w:pPr>
              <w:jc w:val="right"/>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866C046" w14:textId="77777777" w:rsidR="00900235" w:rsidRPr="006D56BD" w:rsidRDefault="00900235" w:rsidP="00900235">
            <w:pPr>
              <w:ind w:right="76"/>
              <w:jc w:val="right"/>
              <w:rPr>
                <w:rFonts w:eastAsia="Arial Unicode MS"/>
                <w:sz w:val="22"/>
                <w:szCs w:val="22"/>
              </w:rPr>
            </w:pPr>
          </w:p>
        </w:tc>
        <w:tc>
          <w:tcPr>
            <w:tcW w:w="791" w:type="pct"/>
            <w:tcBorders>
              <w:top w:val="nil"/>
              <w:left w:val="nil"/>
              <w:bottom w:val="nil"/>
              <w:right w:val="nil"/>
            </w:tcBorders>
            <w:vAlign w:val="center"/>
          </w:tcPr>
          <w:p w14:paraId="28EB0643" w14:textId="77777777" w:rsidR="00900235" w:rsidRPr="00C40661" w:rsidRDefault="00900235" w:rsidP="00900235">
            <w:pPr>
              <w:ind w:right="76"/>
              <w:jc w:val="right"/>
              <w:rPr>
                <w:rFonts w:eastAsia="Arial Unicode MS"/>
                <w:sz w:val="22"/>
                <w:szCs w:val="22"/>
              </w:rPr>
            </w:pPr>
          </w:p>
        </w:tc>
      </w:tr>
      <w:tr w:rsidR="00900235" w:rsidRPr="00C40661" w14:paraId="0B6964D1"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73A2DDDE" w14:textId="77777777" w:rsidR="00900235" w:rsidRPr="00C40661" w:rsidRDefault="00900235" w:rsidP="00900235">
            <w:pPr>
              <w:rPr>
                <w:rFonts w:eastAsia="Arial Unicode MS"/>
                <w:b/>
                <w:bCs/>
                <w:sz w:val="22"/>
                <w:szCs w:val="22"/>
              </w:rPr>
            </w:pPr>
            <w:r w:rsidRPr="00C40661">
              <w:rPr>
                <w:b/>
                <w:bCs/>
                <w:sz w:val="22"/>
                <w:szCs w:val="22"/>
              </w:rPr>
              <w:t>Cash flows from investing activities</w:t>
            </w:r>
          </w:p>
        </w:tc>
        <w:tc>
          <w:tcPr>
            <w:tcW w:w="633" w:type="pct"/>
            <w:tcBorders>
              <w:top w:val="nil"/>
              <w:left w:val="nil"/>
              <w:bottom w:val="nil"/>
              <w:right w:val="nil"/>
            </w:tcBorders>
            <w:noWrap/>
            <w:tcMar>
              <w:top w:w="15" w:type="dxa"/>
              <w:left w:w="15" w:type="dxa"/>
              <w:bottom w:w="0" w:type="dxa"/>
              <w:right w:w="15" w:type="dxa"/>
            </w:tcMar>
            <w:vAlign w:val="bottom"/>
          </w:tcPr>
          <w:p w14:paraId="4A2679EB" w14:textId="77777777" w:rsidR="00900235" w:rsidRPr="00C40661" w:rsidRDefault="00900235"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1201858" w14:textId="77777777" w:rsidR="00900235" w:rsidRPr="006D56BD" w:rsidRDefault="00900235" w:rsidP="00900235">
            <w:pPr>
              <w:ind w:right="76"/>
              <w:jc w:val="right"/>
              <w:rPr>
                <w:rFonts w:eastAsia="Arial Unicode MS"/>
                <w:sz w:val="22"/>
                <w:szCs w:val="22"/>
              </w:rPr>
            </w:pPr>
          </w:p>
        </w:tc>
        <w:tc>
          <w:tcPr>
            <w:tcW w:w="791" w:type="pct"/>
            <w:tcBorders>
              <w:top w:val="nil"/>
              <w:left w:val="nil"/>
              <w:bottom w:val="nil"/>
              <w:right w:val="nil"/>
            </w:tcBorders>
            <w:vAlign w:val="center"/>
          </w:tcPr>
          <w:p w14:paraId="0752B7FF" w14:textId="77777777" w:rsidR="00900235" w:rsidRPr="00C40661" w:rsidRDefault="00900235" w:rsidP="00900235">
            <w:pPr>
              <w:ind w:right="76"/>
              <w:jc w:val="right"/>
              <w:rPr>
                <w:rFonts w:eastAsia="Arial Unicode MS"/>
                <w:sz w:val="22"/>
                <w:szCs w:val="22"/>
              </w:rPr>
            </w:pPr>
          </w:p>
        </w:tc>
      </w:tr>
      <w:tr w:rsidR="003A3A10" w:rsidRPr="00533364" w14:paraId="37936CF2"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7B30054B" w14:textId="3EE058D2" w:rsidR="003A3A10" w:rsidRPr="00533364" w:rsidRDefault="003A3A10" w:rsidP="00900235">
            <w:pPr>
              <w:rPr>
                <w:sz w:val="22"/>
                <w:szCs w:val="22"/>
              </w:rPr>
            </w:pPr>
            <w:r w:rsidRPr="00533364">
              <w:rPr>
                <w:sz w:val="22"/>
                <w:szCs w:val="22"/>
              </w:rPr>
              <w:t xml:space="preserve">Proceeds from </w:t>
            </w:r>
            <w:r w:rsidR="00CA0D90">
              <w:rPr>
                <w:sz w:val="22"/>
                <w:szCs w:val="22"/>
              </w:rPr>
              <w:t>sale of investment</w:t>
            </w:r>
          </w:p>
        </w:tc>
        <w:tc>
          <w:tcPr>
            <w:tcW w:w="633" w:type="pct"/>
            <w:tcBorders>
              <w:top w:val="nil"/>
              <w:left w:val="nil"/>
              <w:bottom w:val="nil"/>
              <w:right w:val="nil"/>
            </w:tcBorders>
            <w:noWrap/>
            <w:tcMar>
              <w:top w:w="15" w:type="dxa"/>
              <w:left w:w="15" w:type="dxa"/>
              <w:bottom w:w="0" w:type="dxa"/>
              <w:right w:w="15" w:type="dxa"/>
            </w:tcMar>
            <w:vAlign w:val="bottom"/>
          </w:tcPr>
          <w:p w14:paraId="7C48054E" w14:textId="77777777" w:rsidR="003A3A10" w:rsidRPr="00533364" w:rsidRDefault="003A3A10" w:rsidP="00900235">
            <w:pPr>
              <w:jc w:val="center"/>
              <w:rPr>
                <w:rFonts w:eastAsia="Arial Unicode MS"/>
                <w:b/>
                <w:bC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7200734D" w14:textId="39C7B239" w:rsidR="003A3A10" w:rsidRPr="00533364" w:rsidRDefault="00544F00" w:rsidP="00900235">
            <w:pPr>
              <w:ind w:right="76"/>
              <w:jc w:val="right"/>
              <w:rPr>
                <w:rFonts w:eastAsia="Arial Unicode MS"/>
                <w:sz w:val="22"/>
                <w:szCs w:val="22"/>
              </w:rPr>
            </w:pPr>
            <w:r>
              <w:rPr>
                <w:rFonts w:eastAsia="Arial Unicode MS"/>
                <w:sz w:val="22"/>
                <w:szCs w:val="22"/>
              </w:rPr>
              <w:t>102,467</w:t>
            </w:r>
          </w:p>
        </w:tc>
        <w:tc>
          <w:tcPr>
            <w:tcW w:w="791" w:type="pct"/>
            <w:tcBorders>
              <w:top w:val="nil"/>
              <w:left w:val="nil"/>
              <w:bottom w:val="nil"/>
              <w:right w:val="nil"/>
            </w:tcBorders>
            <w:vAlign w:val="center"/>
          </w:tcPr>
          <w:p w14:paraId="16543574" w14:textId="237466EC" w:rsidR="003A3A10" w:rsidRPr="00533364" w:rsidRDefault="00544F00" w:rsidP="00900235">
            <w:pPr>
              <w:ind w:right="76"/>
              <w:jc w:val="right"/>
              <w:rPr>
                <w:rFonts w:eastAsia="Arial Unicode MS"/>
                <w:sz w:val="22"/>
                <w:szCs w:val="22"/>
              </w:rPr>
            </w:pPr>
            <w:r>
              <w:rPr>
                <w:rFonts w:eastAsia="Arial Unicode MS"/>
                <w:sz w:val="22"/>
                <w:szCs w:val="22"/>
              </w:rPr>
              <w:t>39,360</w:t>
            </w:r>
          </w:p>
        </w:tc>
      </w:tr>
      <w:tr w:rsidR="00C34BF6" w:rsidRPr="00533364" w14:paraId="25D7B1A3"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781A57EE" w14:textId="391AD1CB" w:rsidR="00C34BF6" w:rsidRPr="00533364" w:rsidRDefault="00226255" w:rsidP="00900235">
            <w:pPr>
              <w:rPr>
                <w:sz w:val="22"/>
                <w:szCs w:val="22"/>
              </w:rPr>
            </w:pPr>
            <w:r w:rsidRPr="00533364">
              <w:rPr>
                <w:sz w:val="22"/>
                <w:szCs w:val="22"/>
              </w:rPr>
              <w:t xml:space="preserve">Purchase of </w:t>
            </w:r>
            <w:r w:rsidR="00C34BF6" w:rsidRPr="00533364">
              <w:rPr>
                <w:sz w:val="22"/>
                <w:szCs w:val="22"/>
              </w:rPr>
              <w:t>investments</w:t>
            </w:r>
          </w:p>
        </w:tc>
        <w:tc>
          <w:tcPr>
            <w:tcW w:w="633" w:type="pct"/>
            <w:tcBorders>
              <w:top w:val="nil"/>
              <w:left w:val="nil"/>
              <w:bottom w:val="nil"/>
              <w:right w:val="nil"/>
            </w:tcBorders>
            <w:noWrap/>
            <w:tcMar>
              <w:top w:w="15" w:type="dxa"/>
              <w:left w:w="15" w:type="dxa"/>
              <w:bottom w:w="0" w:type="dxa"/>
              <w:right w:w="15" w:type="dxa"/>
            </w:tcMar>
            <w:vAlign w:val="bottom"/>
          </w:tcPr>
          <w:p w14:paraId="25AC4358" w14:textId="57307379" w:rsidR="00C34BF6" w:rsidRPr="00533364" w:rsidRDefault="00533364" w:rsidP="00900235">
            <w:pPr>
              <w:jc w:val="center"/>
              <w:rPr>
                <w:rFonts w:eastAsia="Arial Unicode MS"/>
                <w:b/>
                <w:bCs/>
                <w:sz w:val="22"/>
                <w:szCs w:val="22"/>
              </w:rPr>
            </w:pPr>
            <w:r w:rsidRPr="00533364">
              <w:rPr>
                <w:rFonts w:eastAsia="Arial Unicode MS"/>
                <w:b/>
                <w:bCs/>
                <w:sz w:val="22"/>
                <w:szCs w:val="22"/>
              </w:rPr>
              <w:t>7</w:t>
            </w:r>
          </w:p>
        </w:tc>
        <w:tc>
          <w:tcPr>
            <w:tcW w:w="834" w:type="pct"/>
            <w:tcBorders>
              <w:top w:val="nil"/>
              <w:left w:val="nil"/>
              <w:bottom w:val="nil"/>
              <w:right w:val="nil"/>
            </w:tcBorders>
            <w:noWrap/>
            <w:tcMar>
              <w:top w:w="15" w:type="dxa"/>
              <w:left w:w="15" w:type="dxa"/>
              <w:bottom w:w="0" w:type="dxa"/>
              <w:right w:w="15" w:type="dxa"/>
            </w:tcMar>
            <w:vAlign w:val="center"/>
          </w:tcPr>
          <w:p w14:paraId="5CA04070" w14:textId="22DDE231" w:rsidR="00C34BF6" w:rsidRPr="00533364" w:rsidRDefault="00CA0D90" w:rsidP="00900235">
            <w:pPr>
              <w:ind w:right="76"/>
              <w:jc w:val="right"/>
              <w:rPr>
                <w:rFonts w:eastAsia="Arial Unicode MS"/>
                <w:sz w:val="22"/>
                <w:szCs w:val="22"/>
              </w:rPr>
            </w:pPr>
            <w:r>
              <w:rPr>
                <w:rFonts w:eastAsia="Arial Unicode MS"/>
                <w:sz w:val="22"/>
                <w:szCs w:val="22"/>
              </w:rPr>
              <w:t>(</w:t>
            </w:r>
            <w:r w:rsidR="00217B90">
              <w:rPr>
                <w:rFonts w:eastAsia="Arial Unicode MS"/>
                <w:sz w:val="22"/>
                <w:szCs w:val="22"/>
              </w:rPr>
              <w:t>337,631</w:t>
            </w:r>
            <w:r>
              <w:rPr>
                <w:rFonts w:eastAsia="Arial Unicode MS"/>
                <w:sz w:val="22"/>
                <w:szCs w:val="22"/>
              </w:rPr>
              <w:t>)</w:t>
            </w:r>
          </w:p>
        </w:tc>
        <w:tc>
          <w:tcPr>
            <w:tcW w:w="791" w:type="pct"/>
            <w:tcBorders>
              <w:top w:val="nil"/>
              <w:left w:val="nil"/>
              <w:bottom w:val="nil"/>
              <w:right w:val="nil"/>
            </w:tcBorders>
            <w:vAlign w:val="center"/>
          </w:tcPr>
          <w:p w14:paraId="0AD4EEBE" w14:textId="439D1E3C" w:rsidR="00C34BF6" w:rsidRPr="00533364" w:rsidRDefault="00C34BF6" w:rsidP="00900235">
            <w:pPr>
              <w:ind w:right="76"/>
              <w:jc w:val="right"/>
              <w:rPr>
                <w:rFonts w:eastAsia="Arial Unicode MS"/>
                <w:sz w:val="22"/>
                <w:szCs w:val="22"/>
              </w:rPr>
            </w:pPr>
            <w:r w:rsidRPr="00533364">
              <w:rPr>
                <w:rFonts w:eastAsia="Arial Unicode MS"/>
                <w:sz w:val="22"/>
                <w:szCs w:val="22"/>
              </w:rPr>
              <w:t>(</w:t>
            </w:r>
            <w:r w:rsidR="00544F00">
              <w:rPr>
                <w:rFonts w:eastAsia="Arial Unicode MS"/>
                <w:sz w:val="22"/>
                <w:szCs w:val="22"/>
              </w:rPr>
              <w:t>83,986</w:t>
            </w:r>
            <w:r w:rsidRPr="00533364">
              <w:rPr>
                <w:rFonts w:eastAsia="Arial Unicode MS"/>
                <w:sz w:val="22"/>
                <w:szCs w:val="22"/>
              </w:rPr>
              <w:t>)</w:t>
            </w:r>
          </w:p>
        </w:tc>
      </w:tr>
      <w:tr w:rsidR="00900235" w:rsidRPr="00533364" w14:paraId="75A42E55"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4A998246" w14:textId="7236FA42" w:rsidR="00900235" w:rsidRPr="00533364" w:rsidRDefault="00900235" w:rsidP="00900235">
            <w:pPr>
              <w:rPr>
                <w:rFonts w:eastAsia="Arial Unicode MS"/>
                <w:b/>
                <w:bCs/>
                <w:sz w:val="22"/>
                <w:szCs w:val="22"/>
              </w:rPr>
            </w:pPr>
            <w:r w:rsidRPr="00533364">
              <w:rPr>
                <w:b/>
                <w:bCs/>
                <w:sz w:val="22"/>
                <w:szCs w:val="22"/>
              </w:rPr>
              <w:t>Net cash used in investing activities</w:t>
            </w:r>
          </w:p>
        </w:tc>
        <w:tc>
          <w:tcPr>
            <w:tcW w:w="633" w:type="pct"/>
            <w:tcBorders>
              <w:top w:val="nil"/>
              <w:left w:val="nil"/>
              <w:bottom w:val="nil"/>
              <w:right w:val="nil"/>
            </w:tcBorders>
            <w:noWrap/>
            <w:tcMar>
              <w:top w:w="15" w:type="dxa"/>
              <w:left w:w="15" w:type="dxa"/>
              <w:bottom w:w="0" w:type="dxa"/>
              <w:right w:w="15" w:type="dxa"/>
            </w:tcMar>
            <w:vAlign w:val="bottom"/>
          </w:tcPr>
          <w:p w14:paraId="7E278D12" w14:textId="77777777" w:rsidR="00900235" w:rsidRPr="00533364" w:rsidRDefault="00900235" w:rsidP="00900235">
            <w:pPr>
              <w:rPr>
                <w:rFonts w:eastAsia="Arial Unicode MS"/>
                <w:sz w:val="22"/>
                <w:szCs w:val="22"/>
              </w:rPr>
            </w:pPr>
          </w:p>
        </w:tc>
        <w:tc>
          <w:tcPr>
            <w:tcW w:w="834"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4E5BDCFB" w14:textId="7B0F0A68" w:rsidR="00900235" w:rsidRPr="00533364" w:rsidRDefault="004C06C0" w:rsidP="00900235">
            <w:pPr>
              <w:ind w:right="76"/>
              <w:jc w:val="right"/>
              <w:rPr>
                <w:rFonts w:eastAsia="Arial Unicode MS"/>
                <w:sz w:val="22"/>
                <w:szCs w:val="22"/>
              </w:rPr>
            </w:pPr>
            <w:r>
              <w:rPr>
                <w:rFonts w:eastAsia="Arial Unicode MS"/>
                <w:sz w:val="22"/>
                <w:szCs w:val="22"/>
              </w:rPr>
              <w:t>(</w:t>
            </w:r>
            <w:r w:rsidR="00217B90">
              <w:rPr>
                <w:rFonts w:eastAsia="Arial Unicode MS"/>
                <w:sz w:val="22"/>
                <w:szCs w:val="22"/>
              </w:rPr>
              <w:t>235,164</w:t>
            </w:r>
            <w:r>
              <w:rPr>
                <w:rFonts w:eastAsia="Arial Unicode MS"/>
                <w:sz w:val="22"/>
                <w:szCs w:val="22"/>
              </w:rPr>
              <w:t>)</w:t>
            </w:r>
          </w:p>
        </w:tc>
        <w:tc>
          <w:tcPr>
            <w:tcW w:w="791" w:type="pct"/>
            <w:tcBorders>
              <w:top w:val="single" w:sz="4" w:space="0" w:color="auto"/>
              <w:left w:val="nil"/>
              <w:bottom w:val="single" w:sz="4" w:space="0" w:color="auto"/>
              <w:right w:val="nil"/>
            </w:tcBorders>
            <w:vAlign w:val="center"/>
          </w:tcPr>
          <w:p w14:paraId="35396353" w14:textId="7D9DCDF8" w:rsidR="00900235" w:rsidRPr="00533364" w:rsidRDefault="00900235" w:rsidP="00900235">
            <w:pPr>
              <w:ind w:right="76"/>
              <w:jc w:val="right"/>
              <w:rPr>
                <w:rFonts w:eastAsia="Arial Unicode MS"/>
                <w:sz w:val="22"/>
                <w:szCs w:val="22"/>
              </w:rPr>
            </w:pPr>
            <w:r w:rsidRPr="00533364">
              <w:rPr>
                <w:rFonts w:eastAsia="Arial Unicode MS"/>
                <w:sz w:val="22"/>
                <w:szCs w:val="22"/>
              </w:rPr>
              <w:t>(</w:t>
            </w:r>
            <w:r w:rsidR="00544F00">
              <w:rPr>
                <w:rFonts w:eastAsia="Arial Unicode MS"/>
                <w:sz w:val="22"/>
                <w:szCs w:val="22"/>
              </w:rPr>
              <w:t>44,626</w:t>
            </w:r>
            <w:r w:rsidRPr="00533364">
              <w:rPr>
                <w:rFonts w:eastAsia="Arial Unicode MS"/>
                <w:sz w:val="22"/>
                <w:szCs w:val="22"/>
              </w:rPr>
              <w:t>)</w:t>
            </w:r>
          </w:p>
        </w:tc>
      </w:tr>
      <w:tr w:rsidR="00900235" w:rsidRPr="00533364" w14:paraId="289FE4A7"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36926226" w14:textId="77777777" w:rsidR="00900235" w:rsidRPr="00533364" w:rsidRDefault="00900235" w:rsidP="00900235">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28CC1B9B" w14:textId="77777777" w:rsidR="00900235" w:rsidRPr="00533364" w:rsidRDefault="00900235" w:rsidP="00900235">
            <w:pPr>
              <w:jc w:val="right"/>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394BCDF2" w14:textId="77777777" w:rsidR="00900235" w:rsidRPr="00533364" w:rsidRDefault="00900235" w:rsidP="00900235">
            <w:pPr>
              <w:ind w:right="76"/>
              <w:jc w:val="right"/>
              <w:rPr>
                <w:rFonts w:eastAsia="Arial Unicode MS"/>
                <w:sz w:val="22"/>
                <w:szCs w:val="22"/>
              </w:rPr>
            </w:pPr>
          </w:p>
        </w:tc>
        <w:tc>
          <w:tcPr>
            <w:tcW w:w="791" w:type="pct"/>
            <w:tcBorders>
              <w:top w:val="nil"/>
              <w:left w:val="nil"/>
              <w:bottom w:val="nil"/>
              <w:right w:val="nil"/>
            </w:tcBorders>
            <w:vAlign w:val="center"/>
          </w:tcPr>
          <w:p w14:paraId="2C287F14" w14:textId="77777777" w:rsidR="00900235" w:rsidRPr="00533364" w:rsidRDefault="00900235" w:rsidP="00900235">
            <w:pPr>
              <w:ind w:right="76"/>
              <w:jc w:val="right"/>
              <w:rPr>
                <w:rFonts w:eastAsia="Arial Unicode MS"/>
                <w:sz w:val="22"/>
                <w:szCs w:val="22"/>
              </w:rPr>
            </w:pPr>
          </w:p>
        </w:tc>
      </w:tr>
      <w:tr w:rsidR="00900235" w:rsidRPr="00533364" w14:paraId="26EE6049"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913B1F6" w14:textId="77777777" w:rsidR="00900235" w:rsidRPr="00533364" w:rsidRDefault="00900235" w:rsidP="00900235">
            <w:pPr>
              <w:rPr>
                <w:rFonts w:eastAsia="Arial Unicode MS"/>
                <w:b/>
                <w:bCs/>
                <w:sz w:val="22"/>
                <w:szCs w:val="22"/>
              </w:rPr>
            </w:pPr>
            <w:r w:rsidRPr="00533364">
              <w:rPr>
                <w:b/>
                <w:bCs/>
                <w:sz w:val="22"/>
                <w:szCs w:val="22"/>
              </w:rPr>
              <w:t>Cash flows from financing activities</w:t>
            </w:r>
          </w:p>
        </w:tc>
        <w:tc>
          <w:tcPr>
            <w:tcW w:w="633" w:type="pct"/>
            <w:tcBorders>
              <w:top w:val="nil"/>
              <w:left w:val="nil"/>
              <w:bottom w:val="nil"/>
              <w:right w:val="nil"/>
            </w:tcBorders>
            <w:noWrap/>
            <w:tcMar>
              <w:top w:w="15" w:type="dxa"/>
              <w:left w:w="15" w:type="dxa"/>
              <w:bottom w:w="0" w:type="dxa"/>
              <w:right w:w="15" w:type="dxa"/>
            </w:tcMar>
            <w:vAlign w:val="bottom"/>
          </w:tcPr>
          <w:p w14:paraId="239EF54C" w14:textId="77777777" w:rsidR="00900235" w:rsidRPr="00533364" w:rsidRDefault="00900235"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243530AA" w14:textId="77777777" w:rsidR="00900235" w:rsidRPr="00533364" w:rsidRDefault="00900235" w:rsidP="00900235">
            <w:pPr>
              <w:ind w:right="76"/>
              <w:jc w:val="right"/>
              <w:rPr>
                <w:rFonts w:eastAsia="Arial Unicode MS"/>
                <w:sz w:val="22"/>
                <w:szCs w:val="22"/>
              </w:rPr>
            </w:pPr>
          </w:p>
        </w:tc>
        <w:tc>
          <w:tcPr>
            <w:tcW w:w="791" w:type="pct"/>
            <w:tcBorders>
              <w:top w:val="nil"/>
              <w:left w:val="nil"/>
              <w:bottom w:val="nil"/>
              <w:right w:val="nil"/>
            </w:tcBorders>
            <w:vAlign w:val="center"/>
          </w:tcPr>
          <w:p w14:paraId="2798AB3F" w14:textId="77777777" w:rsidR="00900235" w:rsidRPr="00533364" w:rsidRDefault="00900235" w:rsidP="00900235">
            <w:pPr>
              <w:ind w:right="76"/>
              <w:jc w:val="right"/>
              <w:rPr>
                <w:rFonts w:eastAsia="Arial Unicode MS"/>
                <w:sz w:val="22"/>
                <w:szCs w:val="22"/>
              </w:rPr>
            </w:pPr>
          </w:p>
        </w:tc>
      </w:tr>
      <w:tr w:rsidR="00900235" w:rsidRPr="00533364" w14:paraId="71CF7FFC"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21F0A68A" w14:textId="368C87CC" w:rsidR="00900235" w:rsidRPr="00533364" w:rsidRDefault="00900235" w:rsidP="00900235">
            <w:pPr>
              <w:rPr>
                <w:rFonts w:eastAsia="Arial Unicode MS"/>
                <w:sz w:val="22"/>
                <w:szCs w:val="22"/>
              </w:rPr>
            </w:pPr>
            <w:r w:rsidRPr="00533364">
              <w:rPr>
                <w:sz w:val="22"/>
                <w:szCs w:val="22"/>
              </w:rPr>
              <w:t xml:space="preserve">Proceeds from the issue of shares and warrants </w:t>
            </w:r>
          </w:p>
        </w:tc>
        <w:tc>
          <w:tcPr>
            <w:tcW w:w="633" w:type="pct"/>
            <w:tcBorders>
              <w:top w:val="nil"/>
              <w:left w:val="nil"/>
              <w:bottom w:val="nil"/>
              <w:right w:val="nil"/>
            </w:tcBorders>
            <w:noWrap/>
            <w:tcMar>
              <w:top w:w="15" w:type="dxa"/>
              <w:left w:w="15" w:type="dxa"/>
              <w:bottom w:w="0" w:type="dxa"/>
              <w:right w:w="15" w:type="dxa"/>
            </w:tcMar>
            <w:vAlign w:val="bottom"/>
          </w:tcPr>
          <w:p w14:paraId="2831C3B1" w14:textId="77777777" w:rsidR="00900235" w:rsidRPr="00533364" w:rsidRDefault="00900235"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182D22B0" w14:textId="4AC7E80D" w:rsidR="00900235" w:rsidRPr="00533364" w:rsidRDefault="00544F00" w:rsidP="00900235">
            <w:pPr>
              <w:ind w:right="76"/>
              <w:jc w:val="right"/>
              <w:rPr>
                <w:rFonts w:eastAsia="Arial Unicode MS"/>
                <w:sz w:val="22"/>
                <w:szCs w:val="22"/>
              </w:rPr>
            </w:pPr>
            <w:r>
              <w:rPr>
                <w:rFonts w:eastAsia="Arial Unicode MS"/>
                <w:sz w:val="22"/>
                <w:szCs w:val="22"/>
              </w:rPr>
              <w:t>70,000</w:t>
            </w:r>
          </w:p>
        </w:tc>
        <w:tc>
          <w:tcPr>
            <w:tcW w:w="791" w:type="pct"/>
            <w:tcBorders>
              <w:top w:val="nil"/>
              <w:left w:val="nil"/>
              <w:bottom w:val="nil"/>
              <w:right w:val="nil"/>
            </w:tcBorders>
            <w:vAlign w:val="center"/>
          </w:tcPr>
          <w:p w14:paraId="1698750F" w14:textId="6DF6A022" w:rsidR="00900235" w:rsidRPr="00533364" w:rsidRDefault="00544F00" w:rsidP="00900235">
            <w:pPr>
              <w:ind w:right="76"/>
              <w:jc w:val="right"/>
              <w:rPr>
                <w:rFonts w:eastAsia="Arial Unicode MS"/>
                <w:sz w:val="22"/>
                <w:szCs w:val="22"/>
              </w:rPr>
            </w:pPr>
            <w:r>
              <w:rPr>
                <w:rFonts w:eastAsia="Arial Unicode MS"/>
                <w:sz w:val="22"/>
                <w:szCs w:val="22"/>
              </w:rPr>
              <w:t>568,432</w:t>
            </w:r>
          </w:p>
        </w:tc>
      </w:tr>
      <w:tr w:rsidR="00F735F2" w:rsidRPr="00533364" w14:paraId="32D3E6DD"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66DEEE6F" w14:textId="53334017" w:rsidR="00F735F2" w:rsidRPr="00533364" w:rsidRDefault="00F735F2" w:rsidP="00900235">
            <w:pPr>
              <w:rPr>
                <w:sz w:val="22"/>
                <w:szCs w:val="22"/>
              </w:rPr>
            </w:pPr>
            <w:r>
              <w:rPr>
                <w:sz w:val="22"/>
                <w:szCs w:val="22"/>
              </w:rPr>
              <w:t>Cost of shares issued</w:t>
            </w:r>
          </w:p>
        </w:tc>
        <w:tc>
          <w:tcPr>
            <w:tcW w:w="633" w:type="pct"/>
            <w:tcBorders>
              <w:top w:val="nil"/>
              <w:left w:val="nil"/>
              <w:bottom w:val="nil"/>
              <w:right w:val="nil"/>
            </w:tcBorders>
            <w:noWrap/>
            <w:tcMar>
              <w:top w:w="15" w:type="dxa"/>
              <w:left w:w="15" w:type="dxa"/>
              <w:bottom w:w="0" w:type="dxa"/>
              <w:right w:w="15" w:type="dxa"/>
            </w:tcMar>
            <w:vAlign w:val="bottom"/>
          </w:tcPr>
          <w:p w14:paraId="116DFE28" w14:textId="77777777" w:rsidR="00F735F2" w:rsidRPr="00533364" w:rsidRDefault="00F735F2"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3BBF23D" w14:textId="721E2664" w:rsidR="00F735F2" w:rsidRDefault="00544F00" w:rsidP="00900235">
            <w:pPr>
              <w:ind w:right="76"/>
              <w:jc w:val="right"/>
              <w:rPr>
                <w:rFonts w:eastAsia="Arial Unicode MS"/>
                <w:sz w:val="22"/>
                <w:szCs w:val="22"/>
              </w:rPr>
            </w:pPr>
            <w:r>
              <w:rPr>
                <w:rFonts w:eastAsia="Arial Unicode MS"/>
                <w:sz w:val="22"/>
                <w:szCs w:val="22"/>
              </w:rPr>
              <w:t>-</w:t>
            </w:r>
          </w:p>
        </w:tc>
        <w:tc>
          <w:tcPr>
            <w:tcW w:w="791" w:type="pct"/>
            <w:tcBorders>
              <w:top w:val="nil"/>
              <w:left w:val="nil"/>
              <w:bottom w:val="nil"/>
              <w:right w:val="nil"/>
            </w:tcBorders>
            <w:vAlign w:val="center"/>
          </w:tcPr>
          <w:p w14:paraId="1C48E05C" w14:textId="296A3AE1" w:rsidR="00F735F2" w:rsidRDefault="00776555" w:rsidP="00900235">
            <w:pPr>
              <w:ind w:right="76"/>
              <w:jc w:val="right"/>
              <w:rPr>
                <w:rFonts w:eastAsia="Arial Unicode MS"/>
                <w:sz w:val="22"/>
                <w:szCs w:val="22"/>
              </w:rPr>
            </w:pPr>
            <w:r>
              <w:rPr>
                <w:rFonts w:eastAsia="Arial Unicode MS"/>
                <w:sz w:val="22"/>
                <w:szCs w:val="22"/>
              </w:rPr>
              <w:t>(</w:t>
            </w:r>
            <w:r w:rsidR="00544F00">
              <w:rPr>
                <w:rFonts w:eastAsia="Arial Unicode MS"/>
                <w:sz w:val="22"/>
                <w:szCs w:val="22"/>
              </w:rPr>
              <w:t>24,985</w:t>
            </w:r>
            <w:r>
              <w:rPr>
                <w:rFonts w:eastAsia="Arial Unicode MS"/>
                <w:sz w:val="22"/>
                <w:szCs w:val="22"/>
              </w:rPr>
              <w:t>)</w:t>
            </w:r>
          </w:p>
        </w:tc>
      </w:tr>
      <w:tr w:rsidR="00544F00" w:rsidRPr="00533364" w14:paraId="65D26206"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7340F20C" w14:textId="1263DD02" w:rsidR="00544F00" w:rsidRDefault="00544F00" w:rsidP="00900235">
            <w:pPr>
              <w:rPr>
                <w:sz w:val="22"/>
                <w:szCs w:val="22"/>
              </w:rPr>
            </w:pPr>
            <w:r>
              <w:rPr>
                <w:sz w:val="22"/>
                <w:szCs w:val="22"/>
              </w:rPr>
              <w:t>Proceeds from issue of convertible loan notes</w:t>
            </w:r>
          </w:p>
        </w:tc>
        <w:tc>
          <w:tcPr>
            <w:tcW w:w="633" w:type="pct"/>
            <w:tcBorders>
              <w:top w:val="nil"/>
              <w:left w:val="nil"/>
              <w:bottom w:val="nil"/>
              <w:right w:val="nil"/>
            </w:tcBorders>
            <w:noWrap/>
            <w:tcMar>
              <w:top w:w="15" w:type="dxa"/>
              <w:left w:w="15" w:type="dxa"/>
              <w:bottom w:w="0" w:type="dxa"/>
              <w:right w:w="15" w:type="dxa"/>
            </w:tcMar>
            <w:vAlign w:val="bottom"/>
          </w:tcPr>
          <w:p w14:paraId="1D92AF12" w14:textId="77777777" w:rsidR="00544F00" w:rsidRPr="00533364" w:rsidRDefault="00544F00"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1F5310FF" w14:textId="62017876" w:rsidR="00544F00" w:rsidRDefault="00544F00" w:rsidP="00900235">
            <w:pPr>
              <w:ind w:right="76"/>
              <w:jc w:val="right"/>
              <w:rPr>
                <w:rFonts w:eastAsia="Arial Unicode MS"/>
                <w:sz w:val="22"/>
                <w:szCs w:val="22"/>
              </w:rPr>
            </w:pPr>
            <w:r>
              <w:rPr>
                <w:rFonts w:eastAsia="Arial Unicode MS"/>
                <w:sz w:val="22"/>
                <w:szCs w:val="22"/>
              </w:rPr>
              <w:t>370,000</w:t>
            </w:r>
          </w:p>
        </w:tc>
        <w:tc>
          <w:tcPr>
            <w:tcW w:w="791" w:type="pct"/>
            <w:tcBorders>
              <w:top w:val="nil"/>
              <w:left w:val="nil"/>
              <w:bottom w:val="nil"/>
              <w:right w:val="nil"/>
            </w:tcBorders>
            <w:vAlign w:val="center"/>
          </w:tcPr>
          <w:p w14:paraId="50BFB6BD" w14:textId="0876859A" w:rsidR="00544F00" w:rsidRDefault="00544F00" w:rsidP="00900235">
            <w:pPr>
              <w:ind w:right="76"/>
              <w:jc w:val="right"/>
              <w:rPr>
                <w:rFonts w:eastAsia="Arial Unicode MS"/>
                <w:sz w:val="22"/>
                <w:szCs w:val="22"/>
              </w:rPr>
            </w:pPr>
            <w:r>
              <w:rPr>
                <w:rFonts w:eastAsia="Arial Unicode MS"/>
                <w:sz w:val="22"/>
                <w:szCs w:val="22"/>
              </w:rPr>
              <w:t>-</w:t>
            </w:r>
          </w:p>
        </w:tc>
      </w:tr>
      <w:tr w:rsidR="00544F00" w:rsidRPr="00533364" w14:paraId="534969A0"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002EFE22" w14:textId="7BFF33E3" w:rsidR="00544F00" w:rsidRDefault="00544F00" w:rsidP="00900235">
            <w:pPr>
              <w:rPr>
                <w:sz w:val="22"/>
                <w:szCs w:val="22"/>
              </w:rPr>
            </w:pPr>
            <w:r>
              <w:rPr>
                <w:sz w:val="22"/>
                <w:szCs w:val="22"/>
              </w:rPr>
              <w:t>Bridging and other loan financing</w:t>
            </w:r>
          </w:p>
        </w:tc>
        <w:tc>
          <w:tcPr>
            <w:tcW w:w="633" w:type="pct"/>
            <w:tcBorders>
              <w:top w:val="nil"/>
              <w:left w:val="nil"/>
              <w:bottom w:val="nil"/>
              <w:right w:val="nil"/>
            </w:tcBorders>
            <w:noWrap/>
            <w:tcMar>
              <w:top w:w="15" w:type="dxa"/>
              <w:left w:w="15" w:type="dxa"/>
              <w:bottom w:w="0" w:type="dxa"/>
              <w:right w:w="15" w:type="dxa"/>
            </w:tcMar>
            <w:vAlign w:val="bottom"/>
          </w:tcPr>
          <w:p w14:paraId="25D7FF3F" w14:textId="77777777" w:rsidR="00544F00" w:rsidRPr="00533364" w:rsidRDefault="00544F00"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6A67E3C2" w14:textId="71250288" w:rsidR="00544F00" w:rsidRDefault="001B0161" w:rsidP="00900235">
            <w:pPr>
              <w:ind w:right="76"/>
              <w:jc w:val="right"/>
              <w:rPr>
                <w:rFonts w:eastAsia="Arial Unicode MS"/>
                <w:sz w:val="22"/>
                <w:szCs w:val="22"/>
              </w:rPr>
            </w:pPr>
            <w:r>
              <w:rPr>
                <w:rFonts w:eastAsia="Arial Unicode MS"/>
                <w:sz w:val="22"/>
                <w:szCs w:val="22"/>
              </w:rPr>
              <w:t>410,500</w:t>
            </w:r>
          </w:p>
        </w:tc>
        <w:tc>
          <w:tcPr>
            <w:tcW w:w="791" w:type="pct"/>
            <w:tcBorders>
              <w:top w:val="nil"/>
              <w:left w:val="nil"/>
              <w:bottom w:val="nil"/>
              <w:right w:val="nil"/>
            </w:tcBorders>
            <w:vAlign w:val="center"/>
          </w:tcPr>
          <w:p w14:paraId="2E9989D5" w14:textId="45F01B6B" w:rsidR="00544F00" w:rsidRDefault="00544F00" w:rsidP="00900235">
            <w:pPr>
              <w:ind w:right="76"/>
              <w:jc w:val="right"/>
              <w:rPr>
                <w:rFonts w:eastAsia="Arial Unicode MS"/>
                <w:sz w:val="22"/>
                <w:szCs w:val="22"/>
              </w:rPr>
            </w:pPr>
            <w:r>
              <w:rPr>
                <w:rFonts w:eastAsia="Arial Unicode MS"/>
                <w:sz w:val="22"/>
                <w:szCs w:val="22"/>
              </w:rPr>
              <w:t>-</w:t>
            </w:r>
          </w:p>
        </w:tc>
      </w:tr>
      <w:tr w:rsidR="00CA0D90" w:rsidRPr="00533364" w14:paraId="2BF92D56"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A025F83" w14:textId="2162F0DC" w:rsidR="00CA0D90" w:rsidRPr="00533364" w:rsidRDefault="00CA0D90" w:rsidP="00900235">
            <w:pPr>
              <w:rPr>
                <w:sz w:val="22"/>
                <w:szCs w:val="22"/>
              </w:rPr>
            </w:pPr>
            <w:r>
              <w:rPr>
                <w:sz w:val="22"/>
                <w:szCs w:val="22"/>
              </w:rPr>
              <w:t>Interest received</w:t>
            </w:r>
          </w:p>
        </w:tc>
        <w:tc>
          <w:tcPr>
            <w:tcW w:w="633" w:type="pct"/>
            <w:tcBorders>
              <w:top w:val="nil"/>
              <w:left w:val="nil"/>
              <w:bottom w:val="nil"/>
              <w:right w:val="nil"/>
            </w:tcBorders>
            <w:noWrap/>
            <w:tcMar>
              <w:top w:w="15" w:type="dxa"/>
              <w:left w:w="15" w:type="dxa"/>
              <w:bottom w:w="0" w:type="dxa"/>
              <w:right w:w="15" w:type="dxa"/>
            </w:tcMar>
            <w:vAlign w:val="bottom"/>
          </w:tcPr>
          <w:p w14:paraId="6816D2AB" w14:textId="77777777" w:rsidR="00CA0D90" w:rsidRPr="00533364" w:rsidRDefault="00CA0D90"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E9CDF29" w14:textId="635A135D" w:rsidR="00CA0D90" w:rsidRPr="00533364" w:rsidRDefault="00F735F2" w:rsidP="00900235">
            <w:pPr>
              <w:ind w:right="76"/>
              <w:jc w:val="right"/>
              <w:rPr>
                <w:rFonts w:eastAsia="Arial Unicode MS"/>
                <w:sz w:val="22"/>
                <w:szCs w:val="22"/>
              </w:rPr>
            </w:pPr>
            <w:r>
              <w:rPr>
                <w:rFonts w:eastAsia="Arial Unicode MS"/>
                <w:sz w:val="22"/>
                <w:szCs w:val="22"/>
              </w:rPr>
              <w:t>-</w:t>
            </w:r>
          </w:p>
        </w:tc>
        <w:tc>
          <w:tcPr>
            <w:tcW w:w="791" w:type="pct"/>
            <w:tcBorders>
              <w:top w:val="nil"/>
              <w:left w:val="nil"/>
              <w:bottom w:val="nil"/>
              <w:right w:val="nil"/>
            </w:tcBorders>
            <w:vAlign w:val="center"/>
          </w:tcPr>
          <w:p w14:paraId="7329F717" w14:textId="6B618D65" w:rsidR="00CA0D90" w:rsidRPr="00533364" w:rsidRDefault="00544F00" w:rsidP="00900235">
            <w:pPr>
              <w:ind w:right="76"/>
              <w:jc w:val="right"/>
              <w:rPr>
                <w:rFonts w:eastAsia="Arial Unicode MS"/>
                <w:sz w:val="22"/>
                <w:szCs w:val="22"/>
              </w:rPr>
            </w:pPr>
            <w:r>
              <w:rPr>
                <w:rFonts w:eastAsia="Arial Unicode MS"/>
                <w:sz w:val="22"/>
                <w:szCs w:val="22"/>
              </w:rPr>
              <w:t>-</w:t>
            </w:r>
          </w:p>
        </w:tc>
      </w:tr>
      <w:tr w:rsidR="00900235" w:rsidRPr="00533364" w14:paraId="7523ADD4"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5C149AA0" w14:textId="77777777" w:rsidR="00900235" w:rsidRPr="00533364" w:rsidRDefault="00900235" w:rsidP="00900235">
            <w:pPr>
              <w:rPr>
                <w:rFonts w:eastAsia="Arial Unicode MS"/>
                <w:b/>
                <w:bCs/>
                <w:sz w:val="22"/>
                <w:szCs w:val="22"/>
              </w:rPr>
            </w:pPr>
            <w:r w:rsidRPr="00533364">
              <w:rPr>
                <w:b/>
                <w:bCs/>
                <w:sz w:val="22"/>
                <w:szCs w:val="22"/>
              </w:rPr>
              <w:t>Net cash generated from financing activities</w:t>
            </w:r>
          </w:p>
        </w:tc>
        <w:tc>
          <w:tcPr>
            <w:tcW w:w="633" w:type="pct"/>
            <w:tcBorders>
              <w:top w:val="nil"/>
              <w:left w:val="nil"/>
              <w:bottom w:val="nil"/>
              <w:right w:val="nil"/>
            </w:tcBorders>
            <w:noWrap/>
            <w:tcMar>
              <w:top w:w="15" w:type="dxa"/>
              <w:left w:w="15" w:type="dxa"/>
              <w:bottom w:w="0" w:type="dxa"/>
              <w:right w:w="15" w:type="dxa"/>
            </w:tcMar>
            <w:vAlign w:val="bottom"/>
          </w:tcPr>
          <w:p w14:paraId="1D7CD660" w14:textId="77777777" w:rsidR="00900235" w:rsidRPr="00533364" w:rsidRDefault="00900235" w:rsidP="00900235">
            <w:pPr>
              <w:rPr>
                <w:rFonts w:eastAsia="Arial Unicode MS"/>
                <w:sz w:val="22"/>
                <w:szCs w:val="22"/>
              </w:rPr>
            </w:pPr>
          </w:p>
        </w:tc>
        <w:tc>
          <w:tcPr>
            <w:tcW w:w="834"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5938EA14" w14:textId="171205D0" w:rsidR="00900235" w:rsidRPr="00533364" w:rsidRDefault="001B0161" w:rsidP="00900235">
            <w:pPr>
              <w:ind w:right="76"/>
              <w:jc w:val="right"/>
              <w:rPr>
                <w:rFonts w:eastAsia="Arial Unicode MS"/>
                <w:sz w:val="22"/>
                <w:szCs w:val="22"/>
              </w:rPr>
            </w:pPr>
            <w:r>
              <w:rPr>
                <w:rFonts w:eastAsia="Arial Unicode MS"/>
                <w:sz w:val="22"/>
                <w:szCs w:val="22"/>
              </w:rPr>
              <w:t>850,500</w:t>
            </w:r>
          </w:p>
        </w:tc>
        <w:tc>
          <w:tcPr>
            <w:tcW w:w="791" w:type="pct"/>
            <w:tcBorders>
              <w:top w:val="single" w:sz="4" w:space="0" w:color="auto"/>
              <w:left w:val="nil"/>
              <w:bottom w:val="single" w:sz="4" w:space="0" w:color="auto"/>
              <w:right w:val="nil"/>
            </w:tcBorders>
            <w:vAlign w:val="center"/>
          </w:tcPr>
          <w:p w14:paraId="7778ECDC" w14:textId="187A5CB8" w:rsidR="00900235" w:rsidRPr="00533364" w:rsidRDefault="00544F00" w:rsidP="00900235">
            <w:pPr>
              <w:ind w:right="76"/>
              <w:jc w:val="right"/>
              <w:rPr>
                <w:rFonts w:eastAsia="Arial Unicode MS"/>
                <w:sz w:val="22"/>
                <w:szCs w:val="22"/>
              </w:rPr>
            </w:pPr>
            <w:r>
              <w:rPr>
                <w:rFonts w:eastAsia="Arial Unicode MS"/>
                <w:sz w:val="22"/>
                <w:szCs w:val="22"/>
              </w:rPr>
              <w:t>543,447</w:t>
            </w:r>
          </w:p>
        </w:tc>
      </w:tr>
      <w:tr w:rsidR="00900235" w:rsidRPr="00533364" w14:paraId="4C19B3D2"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74D08C3B" w14:textId="77777777" w:rsidR="00900235" w:rsidRPr="00533364" w:rsidRDefault="00900235" w:rsidP="00900235">
            <w:pPr>
              <w:rPr>
                <w:rFonts w:eastAsia="Arial Unicode MS"/>
                <w:sz w:val="22"/>
                <w:szCs w:val="22"/>
              </w:rPr>
            </w:pPr>
          </w:p>
        </w:tc>
        <w:tc>
          <w:tcPr>
            <w:tcW w:w="633" w:type="pct"/>
            <w:tcBorders>
              <w:top w:val="nil"/>
              <w:left w:val="nil"/>
              <w:bottom w:val="nil"/>
              <w:right w:val="nil"/>
            </w:tcBorders>
            <w:noWrap/>
            <w:tcMar>
              <w:top w:w="15" w:type="dxa"/>
              <w:left w:w="15" w:type="dxa"/>
              <w:bottom w:w="0" w:type="dxa"/>
              <w:right w:w="15" w:type="dxa"/>
            </w:tcMar>
            <w:vAlign w:val="bottom"/>
          </w:tcPr>
          <w:p w14:paraId="7FA0BB20" w14:textId="77777777" w:rsidR="00900235" w:rsidRPr="00533364" w:rsidRDefault="00900235" w:rsidP="00900235">
            <w:pPr>
              <w:jc w:val="right"/>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5437B907" w14:textId="77777777" w:rsidR="00900235" w:rsidRPr="00533364" w:rsidRDefault="00900235" w:rsidP="00900235">
            <w:pPr>
              <w:ind w:right="76"/>
              <w:jc w:val="right"/>
              <w:rPr>
                <w:rFonts w:eastAsia="Arial Unicode MS"/>
                <w:sz w:val="22"/>
                <w:szCs w:val="22"/>
              </w:rPr>
            </w:pPr>
          </w:p>
        </w:tc>
        <w:tc>
          <w:tcPr>
            <w:tcW w:w="791" w:type="pct"/>
            <w:tcBorders>
              <w:top w:val="nil"/>
              <w:left w:val="nil"/>
              <w:bottom w:val="nil"/>
              <w:right w:val="nil"/>
            </w:tcBorders>
            <w:vAlign w:val="center"/>
          </w:tcPr>
          <w:p w14:paraId="78C22BDD" w14:textId="77777777" w:rsidR="00900235" w:rsidRPr="00533364" w:rsidRDefault="00900235" w:rsidP="00900235">
            <w:pPr>
              <w:ind w:right="76"/>
              <w:jc w:val="right"/>
              <w:rPr>
                <w:rFonts w:eastAsia="Arial Unicode MS"/>
                <w:sz w:val="22"/>
                <w:szCs w:val="22"/>
              </w:rPr>
            </w:pPr>
          </w:p>
        </w:tc>
      </w:tr>
      <w:tr w:rsidR="00900235" w:rsidRPr="00533364" w14:paraId="52082589"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11466EB" w14:textId="6824C93C" w:rsidR="00900235" w:rsidRPr="00533364" w:rsidRDefault="00900235" w:rsidP="00900235">
            <w:pPr>
              <w:rPr>
                <w:rFonts w:eastAsia="Arial Unicode MS"/>
                <w:b/>
                <w:bCs/>
                <w:sz w:val="22"/>
                <w:szCs w:val="22"/>
              </w:rPr>
            </w:pPr>
            <w:r w:rsidRPr="00533364">
              <w:rPr>
                <w:b/>
                <w:bCs/>
                <w:sz w:val="22"/>
                <w:szCs w:val="22"/>
              </w:rPr>
              <w:t xml:space="preserve">Net </w:t>
            </w:r>
            <w:r w:rsidR="001523A3">
              <w:rPr>
                <w:b/>
                <w:bCs/>
                <w:sz w:val="22"/>
                <w:szCs w:val="22"/>
              </w:rPr>
              <w:t>(decrease)/</w:t>
            </w:r>
            <w:r w:rsidRPr="00533364">
              <w:rPr>
                <w:b/>
                <w:bCs/>
                <w:sz w:val="22"/>
                <w:szCs w:val="22"/>
              </w:rPr>
              <w:t>increase in cash and cash equivalents</w:t>
            </w:r>
          </w:p>
        </w:tc>
        <w:tc>
          <w:tcPr>
            <w:tcW w:w="633" w:type="pct"/>
            <w:tcBorders>
              <w:top w:val="nil"/>
              <w:left w:val="nil"/>
              <w:bottom w:val="nil"/>
              <w:right w:val="nil"/>
            </w:tcBorders>
            <w:noWrap/>
            <w:tcMar>
              <w:top w:w="15" w:type="dxa"/>
              <w:left w:w="15" w:type="dxa"/>
              <w:bottom w:w="0" w:type="dxa"/>
              <w:right w:w="15" w:type="dxa"/>
            </w:tcMar>
            <w:vAlign w:val="bottom"/>
          </w:tcPr>
          <w:p w14:paraId="56BD00DD" w14:textId="77777777" w:rsidR="00900235" w:rsidRPr="00533364" w:rsidRDefault="00900235"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2BD700AB" w14:textId="579F1D69" w:rsidR="00900235" w:rsidRPr="00533364" w:rsidRDefault="001523A3">
            <w:pPr>
              <w:ind w:right="76"/>
              <w:jc w:val="right"/>
              <w:rPr>
                <w:rFonts w:eastAsia="Arial Unicode MS"/>
                <w:sz w:val="22"/>
                <w:szCs w:val="22"/>
              </w:rPr>
            </w:pPr>
            <w:r>
              <w:rPr>
                <w:rFonts w:eastAsia="Arial Unicode MS"/>
                <w:sz w:val="22"/>
                <w:szCs w:val="22"/>
              </w:rPr>
              <w:t>(75,42</w:t>
            </w:r>
            <w:r w:rsidR="00D609CD">
              <w:rPr>
                <w:rFonts w:eastAsia="Arial Unicode MS"/>
                <w:sz w:val="22"/>
                <w:szCs w:val="22"/>
              </w:rPr>
              <w:t>8</w:t>
            </w:r>
            <w:r>
              <w:rPr>
                <w:rFonts w:eastAsia="Arial Unicode MS"/>
                <w:sz w:val="22"/>
                <w:szCs w:val="22"/>
              </w:rPr>
              <w:t>)</w:t>
            </w:r>
          </w:p>
        </w:tc>
        <w:tc>
          <w:tcPr>
            <w:tcW w:w="791" w:type="pct"/>
            <w:tcBorders>
              <w:top w:val="nil"/>
              <w:left w:val="nil"/>
              <w:bottom w:val="nil"/>
              <w:right w:val="nil"/>
            </w:tcBorders>
            <w:vAlign w:val="center"/>
          </w:tcPr>
          <w:p w14:paraId="7241668D" w14:textId="70AEA890" w:rsidR="00900235" w:rsidRPr="00533364" w:rsidRDefault="00544F00" w:rsidP="00900235">
            <w:pPr>
              <w:ind w:right="76"/>
              <w:jc w:val="right"/>
              <w:rPr>
                <w:rFonts w:eastAsia="Arial Unicode MS"/>
                <w:sz w:val="22"/>
                <w:szCs w:val="22"/>
              </w:rPr>
            </w:pPr>
            <w:r>
              <w:rPr>
                <w:rFonts w:eastAsia="Arial Unicode MS"/>
                <w:sz w:val="22"/>
                <w:szCs w:val="22"/>
              </w:rPr>
              <w:t>114,871</w:t>
            </w:r>
          </w:p>
        </w:tc>
      </w:tr>
      <w:tr w:rsidR="00900235" w:rsidRPr="00533364" w14:paraId="6CC32080" w14:textId="77777777" w:rsidTr="00F9623A">
        <w:trPr>
          <w:trHeight w:val="315"/>
        </w:trPr>
        <w:tc>
          <w:tcPr>
            <w:tcW w:w="2742" w:type="pct"/>
            <w:tcBorders>
              <w:top w:val="nil"/>
              <w:left w:val="nil"/>
              <w:bottom w:val="nil"/>
              <w:right w:val="nil"/>
            </w:tcBorders>
            <w:noWrap/>
            <w:tcMar>
              <w:top w:w="15" w:type="dxa"/>
              <w:left w:w="15" w:type="dxa"/>
              <w:bottom w:w="0" w:type="dxa"/>
              <w:right w:w="15" w:type="dxa"/>
            </w:tcMar>
            <w:vAlign w:val="bottom"/>
          </w:tcPr>
          <w:p w14:paraId="1D94CB6B" w14:textId="23CB507F" w:rsidR="00900235" w:rsidRPr="00533364" w:rsidRDefault="00900235" w:rsidP="00900235">
            <w:pPr>
              <w:rPr>
                <w:rFonts w:eastAsia="Arial Unicode MS"/>
                <w:sz w:val="22"/>
                <w:szCs w:val="22"/>
              </w:rPr>
            </w:pPr>
            <w:r w:rsidRPr="00533364">
              <w:rPr>
                <w:sz w:val="22"/>
                <w:szCs w:val="22"/>
              </w:rPr>
              <w:t>Cash and cash equivalents at beginning of period</w:t>
            </w:r>
            <w:r w:rsidR="00A94AC9">
              <w:rPr>
                <w:sz w:val="22"/>
                <w:szCs w:val="22"/>
              </w:rPr>
              <w:t>/year</w:t>
            </w:r>
          </w:p>
        </w:tc>
        <w:tc>
          <w:tcPr>
            <w:tcW w:w="633" w:type="pct"/>
            <w:tcBorders>
              <w:top w:val="nil"/>
              <w:left w:val="nil"/>
              <w:bottom w:val="nil"/>
              <w:right w:val="nil"/>
            </w:tcBorders>
            <w:noWrap/>
            <w:tcMar>
              <w:top w:w="15" w:type="dxa"/>
              <w:left w:w="15" w:type="dxa"/>
              <w:bottom w:w="0" w:type="dxa"/>
              <w:right w:w="15" w:type="dxa"/>
            </w:tcMar>
            <w:vAlign w:val="bottom"/>
          </w:tcPr>
          <w:p w14:paraId="704C88C2" w14:textId="77777777" w:rsidR="00900235" w:rsidRPr="00533364" w:rsidRDefault="00900235" w:rsidP="00900235">
            <w:pPr>
              <w:rPr>
                <w:rFonts w:eastAsia="Arial Unicode MS"/>
                <w:sz w:val="22"/>
                <w:szCs w:val="22"/>
              </w:rPr>
            </w:pPr>
          </w:p>
        </w:tc>
        <w:tc>
          <w:tcPr>
            <w:tcW w:w="834" w:type="pct"/>
            <w:tcBorders>
              <w:top w:val="nil"/>
              <w:left w:val="nil"/>
              <w:bottom w:val="nil"/>
              <w:right w:val="nil"/>
            </w:tcBorders>
            <w:noWrap/>
            <w:tcMar>
              <w:top w:w="15" w:type="dxa"/>
              <w:left w:w="15" w:type="dxa"/>
              <w:bottom w:w="0" w:type="dxa"/>
              <w:right w:w="15" w:type="dxa"/>
            </w:tcMar>
            <w:vAlign w:val="center"/>
          </w:tcPr>
          <w:p w14:paraId="43275FDB" w14:textId="13EF1D4E" w:rsidR="00900235" w:rsidRPr="00533364" w:rsidRDefault="001523A3">
            <w:pPr>
              <w:ind w:right="76"/>
              <w:jc w:val="right"/>
              <w:rPr>
                <w:rFonts w:eastAsia="Arial Unicode MS"/>
                <w:sz w:val="22"/>
                <w:szCs w:val="22"/>
              </w:rPr>
            </w:pPr>
            <w:r>
              <w:rPr>
                <w:rFonts w:eastAsia="Arial Unicode MS"/>
                <w:sz w:val="22"/>
                <w:szCs w:val="22"/>
              </w:rPr>
              <w:t>139,039</w:t>
            </w:r>
          </w:p>
        </w:tc>
        <w:tc>
          <w:tcPr>
            <w:tcW w:w="791" w:type="pct"/>
            <w:tcBorders>
              <w:top w:val="nil"/>
              <w:left w:val="nil"/>
              <w:bottom w:val="nil"/>
              <w:right w:val="nil"/>
            </w:tcBorders>
            <w:vAlign w:val="center"/>
          </w:tcPr>
          <w:p w14:paraId="58952541" w14:textId="77859086" w:rsidR="00900235" w:rsidRPr="00533364" w:rsidRDefault="00544F00" w:rsidP="00900235">
            <w:pPr>
              <w:ind w:right="76"/>
              <w:jc w:val="right"/>
              <w:rPr>
                <w:rFonts w:eastAsia="Arial Unicode MS"/>
                <w:sz w:val="22"/>
                <w:szCs w:val="22"/>
              </w:rPr>
            </w:pPr>
            <w:r>
              <w:rPr>
                <w:rFonts w:eastAsia="Arial Unicode MS"/>
                <w:sz w:val="22"/>
                <w:szCs w:val="22"/>
              </w:rPr>
              <w:t>24,168</w:t>
            </w:r>
          </w:p>
        </w:tc>
      </w:tr>
      <w:tr w:rsidR="00900235" w:rsidRPr="00C40661" w14:paraId="467E2D91" w14:textId="77777777" w:rsidTr="00F9623A">
        <w:trPr>
          <w:trHeight w:val="330"/>
        </w:trPr>
        <w:tc>
          <w:tcPr>
            <w:tcW w:w="2742" w:type="pct"/>
            <w:tcBorders>
              <w:top w:val="nil"/>
              <w:left w:val="nil"/>
              <w:bottom w:val="nil"/>
              <w:right w:val="nil"/>
            </w:tcBorders>
            <w:noWrap/>
            <w:tcMar>
              <w:top w:w="15" w:type="dxa"/>
              <w:left w:w="15" w:type="dxa"/>
              <w:bottom w:w="0" w:type="dxa"/>
              <w:right w:w="15" w:type="dxa"/>
            </w:tcMar>
            <w:vAlign w:val="bottom"/>
          </w:tcPr>
          <w:p w14:paraId="14C2D24D" w14:textId="7B33DC4A" w:rsidR="00900235" w:rsidRPr="00533364" w:rsidRDefault="00900235" w:rsidP="00900235">
            <w:pPr>
              <w:rPr>
                <w:rFonts w:eastAsia="Arial Unicode MS"/>
                <w:b/>
                <w:bCs/>
                <w:sz w:val="22"/>
                <w:szCs w:val="22"/>
              </w:rPr>
            </w:pPr>
            <w:r w:rsidRPr="00533364">
              <w:rPr>
                <w:b/>
                <w:bCs/>
                <w:sz w:val="22"/>
                <w:szCs w:val="22"/>
              </w:rPr>
              <w:t>Cash and cash equivalents at end of</w:t>
            </w:r>
            <w:r w:rsidR="00A94AC9">
              <w:rPr>
                <w:b/>
                <w:bCs/>
                <w:sz w:val="22"/>
                <w:szCs w:val="22"/>
              </w:rPr>
              <w:t xml:space="preserve"> period/</w:t>
            </w:r>
            <w:r w:rsidRPr="00533364">
              <w:rPr>
                <w:b/>
                <w:bCs/>
                <w:sz w:val="22"/>
                <w:szCs w:val="22"/>
              </w:rPr>
              <w:t xml:space="preserve"> year</w:t>
            </w:r>
          </w:p>
        </w:tc>
        <w:tc>
          <w:tcPr>
            <w:tcW w:w="633" w:type="pct"/>
            <w:tcBorders>
              <w:top w:val="nil"/>
              <w:left w:val="nil"/>
              <w:bottom w:val="nil"/>
              <w:right w:val="nil"/>
            </w:tcBorders>
            <w:noWrap/>
            <w:tcMar>
              <w:top w:w="15" w:type="dxa"/>
              <w:left w:w="15" w:type="dxa"/>
              <w:bottom w:w="0" w:type="dxa"/>
              <w:right w:w="15" w:type="dxa"/>
            </w:tcMar>
            <w:vAlign w:val="bottom"/>
          </w:tcPr>
          <w:p w14:paraId="110A9AEF" w14:textId="0291AB78" w:rsidR="00900235" w:rsidRPr="00533364" w:rsidRDefault="00533364" w:rsidP="00900235">
            <w:pPr>
              <w:jc w:val="center"/>
              <w:rPr>
                <w:rFonts w:eastAsia="Arial Unicode MS"/>
                <w:b/>
                <w:bCs/>
                <w:sz w:val="22"/>
                <w:szCs w:val="22"/>
              </w:rPr>
            </w:pPr>
            <w:r w:rsidRPr="00533364">
              <w:rPr>
                <w:b/>
                <w:bCs/>
                <w:sz w:val="22"/>
                <w:szCs w:val="22"/>
              </w:rPr>
              <w:t>1</w:t>
            </w:r>
            <w:r w:rsidR="00613836">
              <w:rPr>
                <w:b/>
                <w:bCs/>
                <w:sz w:val="22"/>
                <w:szCs w:val="22"/>
              </w:rPr>
              <w:t>1</w:t>
            </w:r>
          </w:p>
        </w:tc>
        <w:tc>
          <w:tcPr>
            <w:tcW w:w="834" w:type="pct"/>
            <w:tcBorders>
              <w:top w:val="single" w:sz="4" w:space="0" w:color="auto"/>
              <w:left w:val="nil"/>
              <w:bottom w:val="double" w:sz="6" w:space="0" w:color="auto"/>
              <w:right w:val="nil"/>
            </w:tcBorders>
            <w:noWrap/>
            <w:tcMar>
              <w:top w:w="15" w:type="dxa"/>
              <w:left w:w="15" w:type="dxa"/>
              <w:bottom w:w="0" w:type="dxa"/>
              <w:right w:w="15" w:type="dxa"/>
            </w:tcMar>
            <w:vAlign w:val="center"/>
          </w:tcPr>
          <w:p w14:paraId="5EE676D3" w14:textId="6B50B3A8" w:rsidR="00900235" w:rsidRPr="00533364" w:rsidRDefault="001523A3">
            <w:pPr>
              <w:ind w:right="76"/>
              <w:jc w:val="right"/>
              <w:rPr>
                <w:rFonts w:eastAsia="Arial Unicode MS"/>
                <w:sz w:val="22"/>
                <w:szCs w:val="22"/>
              </w:rPr>
            </w:pPr>
            <w:r>
              <w:rPr>
                <w:rFonts w:eastAsia="Arial Unicode MS"/>
                <w:sz w:val="22"/>
                <w:szCs w:val="22"/>
              </w:rPr>
              <w:t>63,61</w:t>
            </w:r>
            <w:r w:rsidR="00217B90">
              <w:rPr>
                <w:rFonts w:eastAsia="Arial Unicode MS"/>
                <w:sz w:val="22"/>
                <w:szCs w:val="22"/>
              </w:rPr>
              <w:t>1</w:t>
            </w:r>
          </w:p>
        </w:tc>
        <w:tc>
          <w:tcPr>
            <w:tcW w:w="791" w:type="pct"/>
            <w:tcBorders>
              <w:top w:val="single" w:sz="4" w:space="0" w:color="auto"/>
              <w:left w:val="nil"/>
              <w:bottom w:val="double" w:sz="6" w:space="0" w:color="auto"/>
              <w:right w:val="nil"/>
            </w:tcBorders>
            <w:vAlign w:val="center"/>
          </w:tcPr>
          <w:p w14:paraId="4A6958BD" w14:textId="5A065A64" w:rsidR="00900235" w:rsidRPr="00C40661" w:rsidRDefault="00544F00" w:rsidP="00900235">
            <w:pPr>
              <w:ind w:right="76"/>
              <w:jc w:val="right"/>
              <w:rPr>
                <w:rFonts w:eastAsia="Arial Unicode MS"/>
                <w:sz w:val="22"/>
                <w:szCs w:val="22"/>
              </w:rPr>
            </w:pPr>
            <w:r>
              <w:rPr>
                <w:rFonts w:eastAsia="Arial Unicode MS"/>
                <w:sz w:val="22"/>
                <w:szCs w:val="22"/>
              </w:rPr>
              <w:t>139,039</w:t>
            </w:r>
          </w:p>
        </w:tc>
      </w:tr>
    </w:tbl>
    <w:p w14:paraId="71A6E485" w14:textId="0C05E064" w:rsidR="007623F0" w:rsidRDefault="007623F0">
      <w:pPr>
        <w:ind w:left="-90"/>
        <w:jc w:val="both"/>
        <w:rPr>
          <w:sz w:val="22"/>
          <w:szCs w:val="22"/>
        </w:rPr>
      </w:pPr>
    </w:p>
    <w:p w14:paraId="587E0E61" w14:textId="77777777" w:rsidR="00F40384" w:rsidRPr="00C40661" w:rsidRDefault="00F40384">
      <w:pPr>
        <w:ind w:left="-90"/>
        <w:jc w:val="both"/>
        <w:rPr>
          <w:sz w:val="22"/>
          <w:szCs w:val="22"/>
        </w:rPr>
      </w:pPr>
    </w:p>
    <w:p w14:paraId="1F426C2B" w14:textId="77777777" w:rsidR="006935FD" w:rsidRDefault="006935FD" w:rsidP="00D565F2">
      <w:pPr>
        <w:rPr>
          <w:sz w:val="22"/>
          <w:szCs w:val="22"/>
        </w:rPr>
      </w:pPr>
    </w:p>
    <w:p w14:paraId="67B9DAC8" w14:textId="78720815" w:rsidR="00A12B6A" w:rsidRPr="00C40661" w:rsidRDefault="00A12B6A" w:rsidP="00D565F2">
      <w:pPr>
        <w:rPr>
          <w:b/>
          <w:sz w:val="22"/>
          <w:szCs w:val="22"/>
        </w:rPr>
      </w:pPr>
      <w:r>
        <w:rPr>
          <w:sz w:val="22"/>
          <w:szCs w:val="22"/>
        </w:rPr>
        <w:br w:type="page"/>
      </w:r>
    </w:p>
    <w:p w14:paraId="3FB19246" w14:textId="77777777" w:rsidR="001E3BD1" w:rsidRDefault="001E3BD1" w:rsidP="00A12B6A">
      <w:pPr>
        <w:pStyle w:val="Heading2"/>
        <w:rPr>
          <w:sz w:val="32"/>
          <w:szCs w:val="32"/>
        </w:rPr>
        <w:sectPr w:rsidR="001E3BD1" w:rsidSect="002E4AA5">
          <w:headerReference w:type="first" r:id="rId30"/>
          <w:pgSz w:w="11909" w:h="16834" w:code="9"/>
          <w:pgMar w:top="567" w:right="936" w:bottom="720" w:left="936" w:header="706" w:footer="706" w:gutter="0"/>
          <w:cols w:space="720"/>
          <w:titlePg/>
        </w:sectPr>
      </w:pPr>
    </w:p>
    <w:tbl>
      <w:tblPr>
        <w:tblW w:w="5000" w:type="pct"/>
        <w:tblLayout w:type="fixed"/>
        <w:tblCellMar>
          <w:left w:w="0" w:type="dxa"/>
          <w:right w:w="0" w:type="dxa"/>
        </w:tblCellMar>
        <w:tblLook w:val="0000" w:firstRow="0" w:lastRow="0" w:firstColumn="0" w:lastColumn="0" w:noHBand="0" w:noVBand="0"/>
      </w:tblPr>
      <w:tblGrid>
        <w:gridCol w:w="5060"/>
        <w:gridCol w:w="1510"/>
        <w:gridCol w:w="1949"/>
        <w:gridCol w:w="1518"/>
      </w:tblGrid>
      <w:tr w:rsidR="00A12B6A" w:rsidRPr="00C40661" w14:paraId="4D4D9833"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7760DC45" w14:textId="77777777" w:rsidR="00A12B6A" w:rsidRPr="00C40661" w:rsidRDefault="00A12B6A" w:rsidP="008756DA">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59EF4D02" w14:textId="56F2A045" w:rsidR="00A12B6A" w:rsidRPr="00C40661" w:rsidRDefault="00A12B6A" w:rsidP="008756DA">
            <w:pPr>
              <w:jc w:val="center"/>
              <w:rPr>
                <w:rFonts w:eastAsia="Arial Unicode MS"/>
                <w:b/>
                <w:bCs/>
                <w:sz w:val="22"/>
                <w:szCs w:val="22"/>
              </w:rPr>
            </w:pPr>
            <w:r w:rsidRPr="00C40661">
              <w:rPr>
                <w:b/>
                <w:bCs/>
                <w:sz w:val="22"/>
                <w:szCs w:val="22"/>
              </w:rPr>
              <w:t>Note</w:t>
            </w:r>
            <w:r w:rsidR="000164BB">
              <w:rPr>
                <w:b/>
                <w:bCs/>
                <w:sz w:val="22"/>
                <w:szCs w:val="22"/>
              </w:rPr>
              <w:t>s</w:t>
            </w:r>
          </w:p>
        </w:tc>
        <w:tc>
          <w:tcPr>
            <w:tcW w:w="971" w:type="pct"/>
            <w:tcBorders>
              <w:top w:val="nil"/>
              <w:left w:val="nil"/>
              <w:bottom w:val="nil"/>
              <w:right w:val="nil"/>
            </w:tcBorders>
            <w:noWrap/>
            <w:tcMar>
              <w:top w:w="15" w:type="dxa"/>
              <w:left w:w="15" w:type="dxa"/>
              <w:bottom w:w="0" w:type="dxa"/>
              <w:right w:w="15" w:type="dxa"/>
            </w:tcMar>
            <w:vAlign w:val="bottom"/>
          </w:tcPr>
          <w:p w14:paraId="4C6A2F00" w14:textId="54984759" w:rsidR="00A12B6A" w:rsidRPr="00C40661" w:rsidRDefault="002758B5" w:rsidP="00C04DFC">
            <w:pPr>
              <w:ind w:right="76" w:firstLine="503"/>
              <w:jc w:val="right"/>
              <w:rPr>
                <w:rFonts w:eastAsia="Arial Unicode MS"/>
                <w:b/>
                <w:bCs/>
                <w:sz w:val="22"/>
                <w:szCs w:val="22"/>
              </w:rPr>
            </w:pPr>
            <w:r>
              <w:rPr>
                <w:b/>
                <w:bCs/>
                <w:sz w:val="22"/>
                <w:szCs w:val="22"/>
              </w:rPr>
              <w:t>Year</w:t>
            </w:r>
            <w:r w:rsidR="00C04DFC">
              <w:rPr>
                <w:b/>
                <w:bCs/>
                <w:sz w:val="22"/>
                <w:szCs w:val="22"/>
              </w:rPr>
              <w:t xml:space="preserve"> to</w:t>
            </w:r>
          </w:p>
        </w:tc>
        <w:tc>
          <w:tcPr>
            <w:tcW w:w="756" w:type="pct"/>
            <w:tcBorders>
              <w:top w:val="nil"/>
              <w:left w:val="nil"/>
              <w:bottom w:val="nil"/>
              <w:right w:val="nil"/>
            </w:tcBorders>
            <w:vAlign w:val="bottom"/>
          </w:tcPr>
          <w:p w14:paraId="2099F4B5" w14:textId="0F8EB224" w:rsidR="00A12B6A" w:rsidRPr="00C40661" w:rsidRDefault="002758B5" w:rsidP="004523C8">
            <w:pPr>
              <w:ind w:right="76"/>
              <w:jc w:val="right"/>
              <w:rPr>
                <w:rFonts w:eastAsia="Arial Unicode MS"/>
                <w:b/>
                <w:bCs/>
                <w:sz w:val="22"/>
                <w:szCs w:val="22"/>
              </w:rPr>
            </w:pPr>
            <w:r>
              <w:rPr>
                <w:b/>
                <w:bCs/>
                <w:sz w:val="22"/>
                <w:szCs w:val="22"/>
              </w:rPr>
              <w:t xml:space="preserve">10-Month Period </w:t>
            </w:r>
            <w:r w:rsidR="00C04DFC">
              <w:rPr>
                <w:b/>
                <w:bCs/>
                <w:sz w:val="22"/>
                <w:szCs w:val="22"/>
              </w:rPr>
              <w:t>to</w:t>
            </w:r>
          </w:p>
        </w:tc>
      </w:tr>
      <w:tr w:rsidR="00C04DFC" w:rsidRPr="00C40661" w14:paraId="2392B270"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494266B4" w14:textId="77777777" w:rsidR="00C04DFC" w:rsidRPr="00C40661" w:rsidRDefault="00C04DFC" w:rsidP="008756DA">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136AD89E" w14:textId="77777777" w:rsidR="00C04DFC" w:rsidRPr="00C40661" w:rsidRDefault="00C04DFC" w:rsidP="008756DA">
            <w:pPr>
              <w:jc w:val="center"/>
              <w:rPr>
                <w:b/>
                <w:bCs/>
                <w:sz w:val="22"/>
                <w:szCs w:val="22"/>
              </w:rPr>
            </w:pPr>
          </w:p>
        </w:tc>
        <w:tc>
          <w:tcPr>
            <w:tcW w:w="971" w:type="pct"/>
            <w:tcBorders>
              <w:top w:val="nil"/>
              <w:left w:val="nil"/>
              <w:bottom w:val="nil"/>
              <w:right w:val="nil"/>
            </w:tcBorders>
            <w:noWrap/>
            <w:tcMar>
              <w:top w:w="15" w:type="dxa"/>
              <w:left w:w="15" w:type="dxa"/>
              <w:bottom w:w="0" w:type="dxa"/>
              <w:right w:w="15" w:type="dxa"/>
            </w:tcMar>
            <w:vAlign w:val="bottom"/>
          </w:tcPr>
          <w:p w14:paraId="0504D4FB" w14:textId="70F60F8D" w:rsidR="00C04DFC" w:rsidRPr="00C40661" w:rsidRDefault="00C04DFC" w:rsidP="00C04DFC">
            <w:pPr>
              <w:ind w:right="76" w:firstLine="361"/>
              <w:jc w:val="right"/>
              <w:rPr>
                <w:b/>
                <w:bCs/>
                <w:sz w:val="22"/>
                <w:szCs w:val="22"/>
              </w:rPr>
            </w:pPr>
            <w:r>
              <w:rPr>
                <w:b/>
                <w:bCs/>
                <w:sz w:val="22"/>
                <w:szCs w:val="22"/>
              </w:rPr>
              <w:t xml:space="preserve">31 December </w:t>
            </w:r>
            <w:r w:rsidR="002758B5">
              <w:rPr>
                <w:b/>
                <w:bCs/>
                <w:sz w:val="22"/>
                <w:szCs w:val="22"/>
              </w:rPr>
              <w:t>2020</w:t>
            </w:r>
          </w:p>
        </w:tc>
        <w:tc>
          <w:tcPr>
            <w:tcW w:w="756" w:type="pct"/>
            <w:tcBorders>
              <w:top w:val="nil"/>
              <w:left w:val="nil"/>
              <w:bottom w:val="nil"/>
              <w:right w:val="nil"/>
            </w:tcBorders>
            <w:vAlign w:val="bottom"/>
          </w:tcPr>
          <w:p w14:paraId="256B61C6" w14:textId="7054C5B3" w:rsidR="00C04DFC" w:rsidRPr="00C40661" w:rsidRDefault="002758B5" w:rsidP="004523C8">
            <w:pPr>
              <w:ind w:right="76"/>
              <w:jc w:val="right"/>
              <w:rPr>
                <w:b/>
                <w:bCs/>
                <w:sz w:val="22"/>
                <w:szCs w:val="22"/>
              </w:rPr>
            </w:pPr>
            <w:r>
              <w:rPr>
                <w:b/>
                <w:bCs/>
                <w:sz w:val="22"/>
                <w:szCs w:val="22"/>
              </w:rPr>
              <w:t>31 December</w:t>
            </w:r>
            <w:r w:rsidR="00C04DFC">
              <w:rPr>
                <w:b/>
                <w:bCs/>
                <w:sz w:val="22"/>
                <w:szCs w:val="22"/>
              </w:rPr>
              <w:t xml:space="preserve"> 2019</w:t>
            </w:r>
          </w:p>
        </w:tc>
      </w:tr>
      <w:tr w:rsidR="00A12B6A" w:rsidRPr="00C40661" w14:paraId="467FA976"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4D4AB34" w14:textId="77777777" w:rsidR="00A12B6A" w:rsidRPr="00C40661" w:rsidRDefault="00A12B6A" w:rsidP="008756DA">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5DB8B917" w14:textId="77777777" w:rsidR="00A12B6A" w:rsidRPr="00C40661" w:rsidRDefault="00A12B6A" w:rsidP="008756DA">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bottom"/>
          </w:tcPr>
          <w:p w14:paraId="12A180F9" w14:textId="77777777" w:rsidR="00A12B6A" w:rsidRPr="00C40661" w:rsidRDefault="00A12B6A" w:rsidP="008756DA">
            <w:pPr>
              <w:ind w:right="76"/>
              <w:jc w:val="right"/>
              <w:rPr>
                <w:rFonts w:eastAsia="Arial Unicode MS"/>
                <w:b/>
                <w:bCs/>
                <w:sz w:val="22"/>
                <w:szCs w:val="22"/>
              </w:rPr>
            </w:pPr>
            <w:r w:rsidRPr="00C40661">
              <w:rPr>
                <w:b/>
                <w:bCs/>
                <w:sz w:val="22"/>
                <w:szCs w:val="22"/>
              </w:rPr>
              <w:t>£</w:t>
            </w:r>
          </w:p>
        </w:tc>
        <w:tc>
          <w:tcPr>
            <w:tcW w:w="756" w:type="pct"/>
            <w:tcBorders>
              <w:top w:val="nil"/>
              <w:left w:val="nil"/>
              <w:bottom w:val="nil"/>
              <w:right w:val="nil"/>
            </w:tcBorders>
            <w:vAlign w:val="bottom"/>
          </w:tcPr>
          <w:p w14:paraId="58DD8D39" w14:textId="77777777" w:rsidR="00A12B6A" w:rsidRPr="00C40661" w:rsidRDefault="00A12B6A" w:rsidP="008756DA">
            <w:pPr>
              <w:ind w:right="76"/>
              <w:jc w:val="right"/>
              <w:rPr>
                <w:rFonts w:eastAsia="Arial Unicode MS"/>
                <w:b/>
                <w:bCs/>
                <w:sz w:val="22"/>
                <w:szCs w:val="22"/>
              </w:rPr>
            </w:pPr>
            <w:r w:rsidRPr="00C40661">
              <w:rPr>
                <w:b/>
                <w:bCs/>
                <w:sz w:val="22"/>
                <w:szCs w:val="22"/>
              </w:rPr>
              <w:t>£</w:t>
            </w:r>
          </w:p>
        </w:tc>
      </w:tr>
      <w:tr w:rsidR="00A12B6A" w:rsidRPr="00C40661" w14:paraId="71DF2DBC"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2A94E0F8" w14:textId="77777777" w:rsidR="00A12B6A" w:rsidRPr="00C40661" w:rsidRDefault="00A12B6A" w:rsidP="008756DA">
            <w:pPr>
              <w:ind w:right="9257"/>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2C87606A" w14:textId="77777777" w:rsidR="00A12B6A" w:rsidRPr="00C40661" w:rsidRDefault="00A12B6A" w:rsidP="008756DA">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bottom"/>
          </w:tcPr>
          <w:p w14:paraId="608A7F93" w14:textId="77777777" w:rsidR="00A12B6A" w:rsidRPr="00C40661" w:rsidRDefault="00A12B6A" w:rsidP="008756DA">
            <w:pPr>
              <w:ind w:right="76"/>
              <w:jc w:val="right"/>
              <w:rPr>
                <w:b/>
                <w:bCs/>
                <w:sz w:val="22"/>
                <w:szCs w:val="22"/>
              </w:rPr>
            </w:pPr>
          </w:p>
        </w:tc>
        <w:tc>
          <w:tcPr>
            <w:tcW w:w="756" w:type="pct"/>
            <w:tcBorders>
              <w:top w:val="nil"/>
              <w:left w:val="nil"/>
              <w:bottom w:val="nil"/>
              <w:right w:val="nil"/>
            </w:tcBorders>
            <w:vAlign w:val="bottom"/>
          </w:tcPr>
          <w:p w14:paraId="3C4D05AA" w14:textId="77777777" w:rsidR="00A12B6A" w:rsidRPr="00C40661" w:rsidRDefault="00A12B6A" w:rsidP="008756DA">
            <w:pPr>
              <w:ind w:right="76"/>
              <w:jc w:val="right"/>
              <w:rPr>
                <w:b/>
                <w:bCs/>
                <w:sz w:val="22"/>
                <w:szCs w:val="22"/>
              </w:rPr>
            </w:pPr>
          </w:p>
        </w:tc>
      </w:tr>
      <w:tr w:rsidR="00A12B6A" w:rsidRPr="00C40661" w14:paraId="618B153C"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19EA837B" w14:textId="77777777" w:rsidR="00A12B6A" w:rsidRPr="00C40661" w:rsidRDefault="00A12B6A" w:rsidP="008756DA">
            <w:pPr>
              <w:rPr>
                <w:rFonts w:eastAsia="Arial Unicode MS"/>
                <w:b/>
                <w:bCs/>
                <w:sz w:val="22"/>
                <w:szCs w:val="22"/>
              </w:rPr>
            </w:pPr>
            <w:r w:rsidRPr="00C40661">
              <w:rPr>
                <w:b/>
                <w:bCs/>
                <w:sz w:val="22"/>
                <w:szCs w:val="22"/>
              </w:rPr>
              <w:t>Cash flows from operating activities</w:t>
            </w:r>
          </w:p>
        </w:tc>
        <w:tc>
          <w:tcPr>
            <w:tcW w:w="752" w:type="pct"/>
            <w:tcBorders>
              <w:top w:val="nil"/>
              <w:left w:val="nil"/>
              <w:bottom w:val="nil"/>
              <w:right w:val="nil"/>
            </w:tcBorders>
            <w:noWrap/>
            <w:tcMar>
              <w:top w:w="15" w:type="dxa"/>
              <w:left w:w="15" w:type="dxa"/>
              <w:bottom w:w="0" w:type="dxa"/>
              <w:right w:w="15" w:type="dxa"/>
            </w:tcMar>
            <w:vAlign w:val="bottom"/>
          </w:tcPr>
          <w:p w14:paraId="54C2B4AA" w14:textId="77777777" w:rsidR="00A12B6A" w:rsidRPr="00C40661" w:rsidRDefault="00A12B6A" w:rsidP="008756DA">
            <w:pPr>
              <w:jc w:val="center"/>
              <w:rPr>
                <w:rFonts w:eastAsia="Arial Unicode MS"/>
                <w:b/>
                <w:bCs/>
                <w:sz w:val="22"/>
                <w:szCs w:val="22"/>
              </w:rPr>
            </w:pPr>
            <w:r w:rsidRPr="00C40661">
              <w:rPr>
                <w:b/>
                <w:bCs/>
                <w:sz w:val="22"/>
                <w:szCs w:val="22"/>
              </w:rPr>
              <w:t xml:space="preserve"> </w:t>
            </w:r>
          </w:p>
        </w:tc>
        <w:tc>
          <w:tcPr>
            <w:tcW w:w="971" w:type="pct"/>
            <w:tcBorders>
              <w:top w:val="nil"/>
              <w:left w:val="nil"/>
              <w:bottom w:val="nil"/>
              <w:right w:val="nil"/>
            </w:tcBorders>
            <w:noWrap/>
            <w:tcMar>
              <w:top w:w="15" w:type="dxa"/>
              <w:left w:w="15" w:type="dxa"/>
              <w:bottom w:w="0" w:type="dxa"/>
              <w:right w:w="15" w:type="dxa"/>
            </w:tcMar>
            <w:vAlign w:val="bottom"/>
          </w:tcPr>
          <w:p w14:paraId="4C99B353" w14:textId="77777777" w:rsidR="00A12B6A" w:rsidRPr="00C40661" w:rsidRDefault="00A12B6A" w:rsidP="008756DA">
            <w:pPr>
              <w:ind w:right="76"/>
              <w:jc w:val="right"/>
              <w:rPr>
                <w:rFonts w:eastAsia="Arial Unicode MS"/>
                <w:sz w:val="22"/>
                <w:szCs w:val="22"/>
              </w:rPr>
            </w:pPr>
            <w:r w:rsidRPr="00C40661">
              <w:rPr>
                <w:sz w:val="22"/>
                <w:szCs w:val="22"/>
              </w:rPr>
              <w:t xml:space="preserve"> </w:t>
            </w:r>
          </w:p>
        </w:tc>
        <w:tc>
          <w:tcPr>
            <w:tcW w:w="756" w:type="pct"/>
            <w:tcBorders>
              <w:top w:val="nil"/>
              <w:left w:val="nil"/>
              <w:bottom w:val="nil"/>
              <w:right w:val="nil"/>
            </w:tcBorders>
          </w:tcPr>
          <w:p w14:paraId="3F8161A0" w14:textId="77777777" w:rsidR="00A12B6A" w:rsidRPr="00C40661" w:rsidRDefault="00A12B6A" w:rsidP="008756DA">
            <w:pPr>
              <w:ind w:right="76"/>
              <w:jc w:val="right"/>
              <w:rPr>
                <w:sz w:val="22"/>
                <w:szCs w:val="22"/>
              </w:rPr>
            </w:pPr>
          </w:p>
        </w:tc>
      </w:tr>
      <w:tr w:rsidR="004523C8" w:rsidRPr="00C40661" w14:paraId="2936F357"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2FBA7E08" w14:textId="7C2604E2" w:rsidR="004523C8" w:rsidRPr="00C40661" w:rsidRDefault="004523C8" w:rsidP="004523C8">
            <w:pPr>
              <w:rPr>
                <w:rFonts w:eastAsia="Arial Unicode MS"/>
                <w:sz w:val="22"/>
                <w:szCs w:val="22"/>
              </w:rPr>
            </w:pPr>
            <w:r w:rsidRPr="00C40661">
              <w:rPr>
                <w:sz w:val="22"/>
                <w:szCs w:val="22"/>
              </w:rPr>
              <w:t>Operating loss</w:t>
            </w:r>
          </w:p>
        </w:tc>
        <w:tc>
          <w:tcPr>
            <w:tcW w:w="752" w:type="pct"/>
            <w:tcBorders>
              <w:top w:val="nil"/>
              <w:left w:val="nil"/>
              <w:bottom w:val="nil"/>
              <w:right w:val="nil"/>
            </w:tcBorders>
            <w:noWrap/>
            <w:tcMar>
              <w:top w:w="15" w:type="dxa"/>
              <w:left w:w="15" w:type="dxa"/>
              <w:bottom w:w="0" w:type="dxa"/>
              <w:right w:w="15" w:type="dxa"/>
            </w:tcMar>
            <w:vAlign w:val="bottom"/>
          </w:tcPr>
          <w:p w14:paraId="2081CD94" w14:textId="77777777" w:rsidR="004523C8" w:rsidRPr="00C40661" w:rsidRDefault="004523C8"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2EB863FC" w14:textId="0462C63D" w:rsidR="004523C8" w:rsidRPr="006D56BD" w:rsidRDefault="004132CB" w:rsidP="004523C8">
            <w:pPr>
              <w:ind w:right="76"/>
              <w:jc w:val="right"/>
              <w:rPr>
                <w:rFonts w:eastAsia="Arial Unicode MS"/>
                <w:sz w:val="22"/>
                <w:szCs w:val="22"/>
              </w:rPr>
            </w:pPr>
            <w:r>
              <w:rPr>
                <w:rFonts w:eastAsia="Arial Unicode MS"/>
                <w:sz w:val="22"/>
                <w:szCs w:val="22"/>
              </w:rPr>
              <w:t>(</w:t>
            </w:r>
            <w:r w:rsidR="000D3DBE">
              <w:rPr>
                <w:rFonts w:eastAsia="Arial Unicode MS"/>
                <w:sz w:val="22"/>
                <w:szCs w:val="22"/>
              </w:rPr>
              <w:t>810,233</w:t>
            </w:r>
            <w:r>
              <w:rPr>
                <w:rFonts w:eastAsia="Arial Unicode MS"/>
                <w:sz w:val="22"/>
                <w:szCs w:val="22"/>
              </w:rPr>
              <w:t>)</w:t>
            </w:r>
          </w:p>
        </w:tc>
        <w:tc>
          <w:tcPr>
            <w:tcW w:w="756" w:type="pct"/>
            <w:tcBorders>
              <w:top w:val="nil"/>
              <w:left w:val="nil"/>
              <w:bottom w:val="nil"/>
              <w:right w:val="nil"/>
            </w:tcBorders>
            <w:vAlign w:val="center"/>
          </w:tcPr>
          <w:p w14:paraId="72E07D61" w14:textId="17CCB27F" w:rsidR="004523C8" w:rsidRPr="00C40661" w:rsidRDefault="004523C8" w:rsidP="004523C8">
            <w:pPr>
              <w:ind w:right="76"/>
              <w:jc w:val="right"/>
              <w:rPr>
                <w:rFonts w:eastAsia="Arial Unicode MS"/>
                <w:sz w:val="22"/>
                <w:szCs w:val="22"/>
              </w:rPr>
            </w:pPr>
            <w:r w:rsidRPr="006D56BD">
              <w:rPr>
                <w:rFonts w:eastAsia="Arial Unicode MS"/>
                <w:sz w:val="22"/>
                <w:szCs w:val="22"/>
              </w:rPr>
              <w:t>(</w:t>
            </w:r>
            <w:r w:rsidR="002758B5">
              <w:rPr>
                <w:rFonts w:eastAsia="Arial Unicode MS"/>
                <w:sz w:val="22"/>
                <w:szCs w:val="22"/>
              </w:rPr>
              <w:t>591,347</w:t>
            </w:r>
            <w:r w:rsidRPr="006D56BD">
              <w:rPr>
                <w:rFonts w:eastAsia="Arial Unicode MS"/>
                <w:sz w:val="22"/>
                <w:szCs w:val="22"/>
              </w:rPr>
              <w:t>)</w:t>
            </w:r>
          </w:p>
        </w:tc>
      </w:tr>
      <w:tr w:rsidR="00226255" w:rsidRPr="00C40661" w14:paraId="36F3950A"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8BE3C01" w14:textId="138515BC" w:rsidR="00226255" w:rsidRPr="00C40661" w:rsidRDefault="002758B5" w:rsidP="004523C8">
            <w:pPr>
              <w:rPr>
                <w:sz w:val="22"/>
                <w:szCs w:val="22"/>
              </w:rPr>
            </w:pPr>
            <w:r>
              <w:rPr>
                <w:sz w:val="22"/>
                <w:szCs w:val="22"/>
              </w:rPr>
              <w:t>(Profit)/loss</w:t>
            </w:r>
            <w:r w:rsidR="00226255">
              <w:rPr>
                <w:sz w:val="22"/>
                <w:szCs w:val="22"/>
              </w:rPr>
              <w:t xml:space="preserve"> on sale of investment</w:t>
            </w:r>
          </w:p>
        </w:tc>
        <w:tc>
          <w:tcPr>
            <w:tcW w:w="752" w:type="pct"/>
            <w:tcBorders>
              <w:top w:val="nil"/>
              <w:left w:val="nil"/>
              <w:bottom w:val="nil"/>
              <w:right w:val="nil"/>
            </w:tcBorders>
            <w:noWrap/>
            <w:tcMar>
              <w:top w:w="15" w:type="dxa"/>
              <w:left w:w="15" w:type="dxa"/>
              <w:bottom w:w="0" w:type="dxa"/>
              <w:right w:w="15" w:type="dxa"/>
            </w:tcMar>
            <w:vAlign w:val="bottom"/>
          </w:tcPr>
          <w:p w14:paraId="7510B353" w14:textId="77777777" w:rsidR="00226255" w:rsidRPr="00C40661" w:rsidRDefault="00226255"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1CBC6380" w14:textId="0DF7D48A" w:rsidR="00226255" w:rsidRDefault="002758B5" w:rsidP="004523C8">
            <w:pPr>
              <w:ind w:right="76"/>
              <w:jc w:val="right"/>
              <w:rPr>
                <w:rFonts w:eastAsia="Arial Unicode MS"/>
                <w:sz w:val="22"/>
                <w:szCs w:val="22"/>
              </w:rPr>
            </w:pPr>
            <w:r>
              <w:rPr>
                <w:rFonts w:eastAsia="Arial Unicode MS"/>
                <w:sz w:val="22"/>
                <w:szCs w:val="22"/>
              </w:rPr>
              <w:t>(19,134)</w:t>
            </w:r>
          </w:p>
        </w:tc>
        <w:tc>
          <w:tcPr>
            <w:tcW w:w="756" w:type="pct"/>
            <w:tcBorders>
              <w:top w:val="nil"/>
              <w:left w:val="nil"/>
              <w:bottom w:val="nil"/>
              <w:right w:val="nil"/>
            </w:tcBorders>
            <w:vAlign w:val="center"/>
          </w:tcPr>
          <w:p w14:paraId="0241F228" w14:textId="22E86145" w:rsidR="00226255" w:rsidRPr="006D56BD" w:rsidRDefault="002758B5" w:rsidP="004523C8">
            <w:pPr>
              <w:ind w:right="76"/>
              <w:jc w:val="right"/>
              <w:rPr>
                <w:rFonts w:eastAsia="Arial Unicode MS"/>
                <w:sz w:val="22"/>
                <w:szCs w:val="22"/>
              </w:rPr>
            </w:pPr>
            <w:r>
              <w:rPr>
                <w:rFonts w:eastAsia="Arial Unicode MS"/>
                <w:sz w:val="22"/>
                <w:szCs w:val="22"/>
              </w:rPr>
              <w:t>16,357</w:t>
            </w:r>
          </w:p>
        </w:tc>
      </w:tr>
      <w:tr w:rsidR="00226255" w:rsidRPr="00C40661" w14:paraId="1B37E10E"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57C5466A" w14:textId="412B679D" w:rsidR="00226255" w:rsidRDefault="00226255" w:rsidP="004523C8">
            <w:pPr>
              <w:rPr>
                <w:sz w:val="22"/>
                <w:szCs w:val="22"/>
              </w:rPr>
            </w:pPr>
            <w:r>
              <w:rPr>
                <w:sz w:val="22"/>
                <w:szCs w:val="22"/>
              </w:rPr>
              <w:t xml:space="preserve">Impairment of </w:t>
            </w:r>
            <w:r w:rsidR="00CD105C">
              <w:rPr>
                <w:sz w:val="22"/>
                <w:szCs w:val="22"/>
              </w:rPr>
              <w:t>investments</w:t>
            </w:r>
          </w:p>
        </w:tc>
        <w:tc>
          <w:tcPr>
            <w:tcW w:w="752" w:type="pct"/>
            <w:tcBorders>
              <w:top w:val="nil"/>
              <w:left w:val="nil"/>
              <w:bottom w:val="nil"/>
              <w:right w:val="nil"/>
            </w:tcBorders>
            <w:noWrap/>
            <w:tcMar>
              <w:top w:w="15" w:type="dxa"/>
              <w:left w:w="15" w:type="dxa"/>
              <w:bottom w:w="0" w:type="dxa"/>
              <w:right w:w="15" w:type="dxa"/>
            </w:tcMar>
            <w:vAlign w:val="bottom"/>
          </w:tcPr>
          <w:p w14:paraId="462B2806" w14:textId="77777777" w:rsidR="00226255" w:rsidRPr="00C40661" w:rsidRDefault="00226255"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00AB4E04" w14:textId="77A1762A" w:rsidR="00226255" w:rsidRDefault="002758B5" w:rsidP="004523C8">
            <w:pPr>
              <w:ind w:right="76"/>
              <w:jc w:val="right"/>
              <w:rPr>
                <w:rFonts w:eastAsia="Arial Unicode MS"/>
                <w:sz w:val="22"/>
                <w:szCs w:val="22"/>
              </w:rPr>
            </w:pPr>
            <w:r>
              <w:rPr>
                <w:rFonts w:eastAsia="Arial Unicode MS"/>
                <w:sz w:val="22"/>
                <w:szCs w:val="22"/>
              </w:rPr>
              <w:t>-</w:t>
            </w:r>
          </w:p>
        </w:tc>
        <w:tc>
          <w:tcPr>
            <w:tcW w:w="756" w:type="pct"/>
            <w:tcBorders>
              <w:top w:val="nil"/>
              <w:left w:val="nil"/>
              <w:bottom w:val="nil"/>
              <w:right w:val="nil"/>
            </w:tcBorders>
            <w:vAlign w:val="center"/>
          </w:tcPr>
          <w:p w14:paraId="46DCAF24" w14:textId="3680407C" w:rsidR="00226255" w:rsidRDefault="002758B5" w:rsidP="004523C8">
            <w:pPr>
              <w:ind w:right="76"/>
              <w:jc w:val="right"/>
              <w:rPr>
                <w:rFonts w:eastAsia="Arial Unicode MS"/>
                <w:sz w:val="22"/>
                <w:szCs w:val="22"/>
              </w:rPr>
            </w:pPr>
            <w:r>
              <w:rPr>
                <w:rFonts w:eastAsia="Arial Unicode MS"/>
                <w:sz w:val="22"/>
                <w:szCs w:val="22"/>
              </w:rPr>
              <w:t>58,677</w:t>
            </w:r>
          </w:p>
        </w:tc>
      </w:tr>
      <w:tr w:rsidR="0012082B" w:rsidRPr="00C40661" w14:paraId="202EB543"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5E0349A6" w14:textId="5B9DA49D" w:rsidR="0012082B" w:rsidRDefault="0012082B" w:rsidP="004523C8">
            <w:pPr>
              <w:rPr>
                <w:sz w:val="22"/>
                <w:szCs w:val="22"/>
              </w:rPr>
            </w:pPr>
            <w:r>
              <w:rPr>
                <w:sz w:val="22"/>
                <w:szCs w:val="22"/>
              </w:rPr>
              <w:t>Finance costs</w:t>
            </w:r>
          </w:p>
        </w:tc>
        <w:tc>
          <w:tcPr>
            <w:tcW w:w="752" w:type="pct"/>
            <w:tcBorders>
              <w:top w:val="nil"/>
              <w:left w:val="nil"/>
              <w:bottom w:val="nil"/>
              <w:right w:val="nil"/>
            </w:tcBorders>
            <w:noWrap/>
            <w:tcMar>
              <w:top w:w="15" w:type="dxa"/>
              <w:left w:w="15" w:type="dxa"/>
              <w:bottom w:w="0" w:type="dxa"/>
              <w:right w:w="15" w:type="dxa"/>
            </w:tcMar>
            <w:vAlign w:val="bottom"/>
          </w:tcPr>
          <w:p w14:paraId="3F2D5313" w14:textId="77777777" w:rsidR="0012082B" w:rsidRPr="00C40661" w:rsidRDefault="0012082B"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48D8DDB6" w14:textId="23C1268C" w:rsidR="0012082B" w:rsidRDefault="0012082B" w:rsidP="004523C8">
            <w:pPr>
              <w:ind w:right="76"/>
              <w:jc w:val="right"/>
              <w:rPr>
                <w:rFonts w:eastAsia="Arial Unicode MS"/>
                <w:sz w:val="22"/>
                <w:szCs w:val="22"/>
              </w:rPr>
            </w:pPr>
            <w:r>
              <w:rPr>
                <w:rFonts w:eastAsia="Arial Unicode MS"/>
                <w:sz w:val="22"/>
                <w:szCs w:val="22"/>
              </w:rPr>
              <w:t>32,436</w:t>
            </w:r>
          </w:p>
        </w:tc>
        <w:tc>
          <w:tcPr>
            <w:tcW w:w="756" w:type="pct"/>
            <w:tcBorders>
              <w:top w:val="nil"/>
              <w:left w:val="nil"/>
              <w:bottom w:val="nil"/>
              <w:right w:val="nil"/>
            </w:tcBorders>
            <w:vAlign w:val="center"/>
          </w:tcPr>
          <w:p w14:paraId="42BE78D7" w14:textId="04802EAC" w:rsidR="0012082B" w:rsidRDefault="0012082B" w:rsidP="004523C8">
            <w:pPr>
              <w:ind w:right="76"/>
              <w:jc w:val="right"/>
              <w:rPr>
                <w:rFonts w:eastAsia="Arial Unicode MS"/>
                <w:sz w:val="22"/>
                <w:szCs w:val="22"/>
              </w:rPr>
            </w:pPr>
            <w:r>
              <w:rPr>
                <w:rFonts w:eastAsia="Arial Unicode MS"/>
                <w:sz w:val="22"/>
                <w:szCs w:val="22"/>
              </w:rPr>
              <w:t>-</w:t>
            </w:r>
          </w:p>
        </w:tc>
      </w:tr>
      <w:tr w:rsidR="004523C8" w:rsidRPr="00C40661" w14:paraId="6A463BF2"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52495A5" w14:textId="041AB58E" w:rsidR="004523C8" w:rsidRPr="00C40661" w:rsidRDefault="00C04DFC" w:rsidP="004523C8">
            <w:pPr>
              <w:rPr>
                <w:rFonts w:eastAsia="Arial Unicode MS"/>
                <w:sz w:val="22"/>
                <w:szCs w:val="22"/>
              </w:rPr>
            </w:pPr>
            <w:r>
              <w:rPr>
                <w:sz w:val="22"/>
                <w:szCs w:val="22"/>
              </w:rPr>
              <w:t>Decrease/(i</w:t>
            </w:r>
            <w:r w:rsidR="004523C8">
              <w:rPr>
                <w:sz w:val="22"/>
                <w:szCs w:val="22"/>
              </w:rPr>
              <w:t>ncrease</w:t>
            </w:r>
            <w:r w:rsidR="00FD0218">
              <w:rPr>
                <w:sz w:val="22"/>
                <w:szCs w:val="22"/>
              </w:rPr>
              <w:t>)</w:t>
            </w:r>
            <w:r w:rsidR="004523C8" w:rsidRPr="00C40661">
              <w:rPr>
                <w:sz w:val="22"/>
                <w:szCs w:val="22"/>
              </w:rPr>
              <w:t xml:space="preserve"> in </w:t>
            </w:r>
            <w:r w:rsidR="00FD0218">
              <w:rPr>
                <w:sz w:val="22"/>
                <w:szCs w:val="22"/>
              </w:rPr>
              <w:t>debtors</w:t>
            </w:r>
          </w:p>
        </w:tc>
        <w:tc>
          <w:tcPr>
            <w:tcW w:w="752" w:type="pct"/>
            <w:tcBorders>
              <w:top w:val="nil"/>
              <w:left w:val="nil"/>
              <w:bottom w:val="nil"/>
              <w:right w:val="nil"/>
            </w:tcBorders>
            <w:noWrap/>
            <w:tcMar>
              <w:top w:w="15" w:type="dxa"/>
              <w:left w:w="15" w:type="dxa"/>
              <w:bottom w:w="0" w:type="dxa"/>
              <w:right w:w="15" w:type="dxa"/>
            </w:tcMar>
            <w:vAlign w:val="bottom"/>
          </w:tcPr>
          <w:p w14:paraId="578DB4F7" w14:textId="77777777" w:rsidR="004523C8" w:rsidRPr="00C40661" w:rsidRDefault="004523C8"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72645E01" w14:textId="02319FD7" w:rsidR="004523C8" w:rsidRPr="006D56BD" w:rsidRDefault="000D3DBE" w:rsidP="00FF5F33">
            <w:pPr>
              <w:ind w:right="76"/>
              <w:jc w:val="right"/>
              <w:rPr>
                <w:rFonts w:eastAsia="Arial Unicode MS"/>
                <w:sz w:val="22"/>
                <w:szCs w:val="22"/>
              </w:rPr>
            </w:pPr>
            <w:r>
              <w:rPr>
                <w:rFonts w:eastAsia="Arial Unicode MS"/>
                <w:sz w:val="22"/>
                <w:szCs w:val="22"/>
              </w:rPr>
              <w:t>55,517</w:t>
            </w:r>
          </w:p>
        </w:tc>
        <w:tc>
          <w:tcPr>
            <w:tcW w:w="756" w:type="pct"/>
            <w:tcBorders>
              <w:top w:val="nil"/>
              <w:left w:val="nil"/>
              <w:bottom w:val="nil"/>
              <w:right w:val="nil"/>
            </w:tcBorders>
            <w:vAlign w:val="center"/>
          </w:tcPr>
          <w:p w14:paraId="0F772EAC" w14:textId="6AF4DB7D" w:rsidR="004523C8" w:rsidRPr="00C40661" w:rsidRDefault="002758B5" w:rsidP="004523C8">
            <w:pPr>
              <w:ind w:right="76"/>
              <w:jc w:val="right"/>
              <w:rPr>
                <w:rFonts w:eastAsia="Arial Unicode MS"/>
                <w:sz w:val="22"/>
                <w:szCs w:val="22"/>
              </w:rPr>
            </w:pPr>
            <w:r>
              <w:rPr>
                <w:rFonts w:eastAsia="Arial Unicode MS"/>
                <w:sz w:val="22"/>
                <w:szCs w:val="22"/>
              </w:rPr>
              <w:t>105,294</w:t>
            </w:r>
          </w:p>
        </w:tc>
      </w:tr>
      <w:tr w:rsidR="004523C8" w:rsidRPr="00C40661" w14:paraId="1AACD4C8"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2376AD59" w14:textId="10517F82" w:rsidR="004523C8" w:rsidRPr="00C40661" w:rsidRDefault="00FD0218" w:rsidP="004523C8">
            <w:pPr>
              <w:rPr>
                <w:rFonts w:eastAsia="Arial Unicode MS"/>
                <w:sz w:val="22"/>
                <w:szCs w:val="22"/>
              </w:rPr>
            </w:pPr>
            <w:r>
              <w:rPr>
                <w:sz w:val="22"/>
                <w:szCs w:val="22"/>
              </w:rPr>
              <w:t xml:space="preserve">Increase </w:t>
            </w:r>
            <w:r w:rsidR="004523C8" w:rsidRPr="00C40661">
              <w:rPr>
                <w:sz w:val="22"/>
                <w:szCs w:val="22"/>
              </w:rPr>
              <w:t xml:space="preserve">in </w:t>
            </w:r>
            <w:r>
              <w:rPr>
                <w:sz w:val="22"/>
                <w:szCs w:val="22"/>
              </w:rPr>
              <w:t>creditors</w:t>
            </w:r>
          </w:p>
        </w:tc>
        <w:tc>
          <w:tcPr>
            <w:tcW w:w="752" w:type="pct"/>
            <w:tcBorders>
              <w:top w:val="nil"/>
              <w:left w:val="nil"/>
              <w:bottom w:val="nil"/>
              <w:right w:val="nil"/>
            </w:tcBorders>
            <w:noWrap/>
            <w:tcMar>
              <w:top w:w="15" w:type="dxa"/>
              <w:left w:w="15" w:type="dxa"/>
              <w:bottom w:w="0" w:type="dxa"/>
              <w:right w:w="15" w:type="dxa"/>
            </w:tcMar>
            <w:vAlign w:val="bottom"/>
          </w:tcPr>
          <w:p w14:paraId="1AE50188" w14:textId="77777777" w:rsidR="004523C8" w:rsidRPr="00C40661" w:rsidRDefault="004523C8"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5E787BD9" w14:textId="55139575" w:rsidR="004523C8" w:rsidRPr="006D56BD" w:rsidRDefault="0012082B" w:rsidP="004523C8">
            <w:pPr>
              <w:ind w:right="76"/>
              <w:jc w:val="right"/>
              <w:rPr>
                <w:rFonts w:eastAsia="Arial Unicode MS"/>
                <w:sz w:val="22"/>
                <w:szCs w:val="22"/>
              </w:rPr>
            </w:pPr>
            <w:r>
              <w:rPr>
                <w:rFonts w:eastAsia="Arial Unicode MS"/>
                <w:sz w:val="22"/>
                <w:szCs w:val="22"/>
              </w:rPr>
              <w:t>52,520</w:t>
            </w:r>
          </w:p>
        </w:tc>
        <w:tc>
          <w:tcPr>
            <w:tcW w:w="756" w:type="pct"/>
            <w:tcBorders>
              <w:top w:val="nil"/>
              <w:left w:val="nil"/>
              <w:bottom w:val="nil"/>
              <w:right w:val="nil"/>
            </w:tcBorders>
            <w:vAlign w:val="center"/>
          </w:tcPr>
          <w:p w14:paraId="4F340B93" w14:textId="4E9532A3" w:rsidR="004523C8" w:rsidRPr="00C40661" w:rsidRDefault="002758B5" w:rsidP="004523C8">
            <w:pPr>
              <w:ind w:right="76"/>
              <w:jc w:val="right"/>
              <w:rPr>
                <w:rFonts w:eastAsia="Arial Unicode MS"/>
                <w:sz w:val="22"/>
                <w:szCs w:val="22"/>
              </w:rPr>
            </w:pPr>
            <w:r>
              <w:rPr>
                <w:rFonts w:eastAsia="Arial Unicode MS"/>
                <w:sz w:val="22"/>
                <w:szCs w:val="22"/>
              </w:rPr>
              <w:t>36,639</w:t>
            </w:r>
          </w:p>
        </w:tc>
      </w:tr>
      <w:tr w:rsidR="004523C8" w:rsidRPr="00C40661" w14:paraId="671B19B7"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736BAFFB" w14:textId="77777777" w:rsidR="004523C8" w:rsidRPr="00C40661" w:rsidRDefault="004523C8" w:rsidP="004523C8">
            <w:pPr>
              <w:rPr>
                <w:rFonts w:eastAsia="Arial Unicode MS"/>
                <w:b/>
                <w:bCs/>
                <w:sz w:val="22"/>
                <w:szCs w:val="22"/>
              </w:rPr>
            </w:pPr>
            <w:r w:rsidRPr="00C40661">
              <w:rPr>
                <w:b/>
                <w:bCs/>
                <w:sz w:val="22"/>
                <w:szCs w:val="22"/>
              </w:rPr>
              <w:t>Net cash used in operating activities</w:t>
            </w:r>
          </w:p>
        </w:tc>
        <w:tc>
          <w:tcPr>
            <w:tcW w:w="752" w:type="pct"/>
            <w:tcBorders>
              <w:top w:val="nil"/>
              <w:left w:val="nil"/>
              <w:bottom w:val="nil"/>
              <w:right w:val="nil"/>
            </w:tcBorders>
            <w:noWrap/>
            <w:tcMar>
              <w:top w:w="15" w:type="dxa"/>
              <w:left w:w="15" w:type="dxa"/>
              <w:bottom w:w="0" w:type="dxa"/>
              <w:right w:w="15" w:type="dxa"/>
            </w:tcMar>
            <w:vAlign w:val="bottom"/>
          </w:tcPr>
          <w:p w14:paraId="054B1A49" w14:textId="77777777" w:rsidR="004523C8" w:rsidRPr="00C40661" w:rsidRDefault="004523C8" w:rsidP="004523C8">
            <w:pPr>
              <w:jc w:val="center"/>
              <w:rPr>
                <w:rFonts w:eastAsia="Arial Unicode MS"/>
                <w:b/>
                <w:bCs/>
                <w:sz w:val="22"/>
                <w:szCs w:val="22"/>
              </w:rPr>
            </w:pPr>
          </w:p>
        </w:tc>
        <w:tc>
          <w:tcPr>
            <w:tcW w:w="97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D3C1DCA" w14:textId="21D2B44F" w:rsidR="004523C8" w:rsidRPr="006D56BD" w:rsidRDefault="004132CB" w:rsidP="004523C8">
            <w:pPr>
              <w:ind w:right="76"/>
              <w:jc w:val="right"/>
              <w:rPr>
                <w:rFonts w:eastAsia="Arial Unicode MS"/>
                <w:sz w:val="22"/>
                <w:szCs w:val="22"/>
              </w:rPr>
            </w:pPr>
            <w:r>
              <w:rPr>
                <w:rFonts w:eastAsia="Arial Unicode MS"/>
                <w:sz w:val="22"/>
                <w:szCs w:val="22"/>
              </w:rPr>
              <w:t>(</w:t>
            </w:r>
            <w:r w:rsidR="0012082B">
              <w:rPr>
                <w:rFonts w:eastAsia="Arial Unicode MS"/>
                <w:sz w:val="22"/>
                <w:szCs w:val="22"/>
              </w:rPr>
              <w:t>688,894</w:t>
            </w:r>
            <w:r>
              <w:rPr>
                <w:rFonts w:eastAsia="Arial Unicode MS"/>
                <w:sz w:val="22"/>
                <w:szCs w:val="22"/>
              </w:rPr>
              <w:t>)</w:t>
            </w:r>
          </w:p>
        </w:tc>
        <w:tc>
          <w:tcPr>
            <w:tcW w:w="756" w:type="pct"/>
            <w:tcBorders>
              <w:top w:val="single" w:sz="4" w:space="0" w:color="auto"/>
              <w:left w:val="nil"/>
              <w:bottom w:val="single" w:sz="4" w:space="0" w:color="auto"/>
              <w:right w:val="nil"/>
            </w:tcBorders>
            <w:vAlign w:val="center"/>
          </w:tcPr>
          <w:p w14:paraId="764F9BDB" w14:textId="4CC4642A" w:rsidR="004523C8" w:rsidRPr="00C40661" w:rsidRDefault="004523C8" w:rsidP="004523C8">
            <w:pPr>
              <w:ind w:right="76"/>
              <w:jc w:val="right"/>
              <w:rPr>
                <w:rFonts w:eastAsia="Arial Unicode MS"/>
                <w:sz w:val="22"/>
                <w:szCs w:val="22"/>
              </w:rPr>
            </w:pPr>
            <w:r w:rsidRPr="006D56BD">
              <w:rPr>
                <w:rFonts w:eastAsia="Arial Unicode MS"/>
                <w:sz w:val="22"/>
                <w:szCs w:val="22"/>
              </w:rPr>
              <w:t>(</w:t>
            </w:r>
            <w:r w:rsidR="002758B5">
              <w:rPr>
                <w:rFonts w:eastAsia="Arial Unicode MS"/>
                <w:sz w:val="22"/>
                <w:szCs w:val="22"/>
              </w:rPr>
              <w:t>374,380</w:t>
            </w:r>
            <w:r w:rsidRPr="006D56BD">
              <w:rPr>
                <w:rFonts w:eastAsia="Arial Unicode MS"/>
                <w:sz w:val="22"/>
                <w:szCs w:val="22"/>
              </w:rPr>
              <w:t>)</w:t>
            </w:r>
          </w:p>
        </w:tc>
      </w:tr>
      <w:tr w:rsidR="004523C8" w:rsidRPr="00C40661" w14:paraId="7626C3B1" w14:textId="77777777" w:rsidTr="00AB2EA5">
        <w:trPr>
          <w:trHeight w:val="381"/>
        </w:trPr>
        <w:tc>
          <w:tcPr>
            <w:tcW w:w="2521" w:type="pct"/>
            <w:tcBorders>
              <w:top w:val="nil"/>
              <w:left w:val="nil"/>
              <w:bottom w:val="nil"/>
              <w:right w:val="nil"/>
            </w:tcBorders>
            <w:noWrap/>
            <w:tcMar>
              <w:top w:w="15" w:type="dxa"/>
              <w:left w:w="15" w:type="dxa"/>
              <w:bottom w:w="0" w:type="dxa"/>
              <w:right w:w="15" w:type="dxa"/>
            </w:tcMar>
            <w:vAlign w:val="bottom"/>
          </w:tcPr>
          <w:p w14:paraId="15B676BF" w14:textId="77777777" w:rsidR="004523C8" w:rsidRPr="00C40661" w:rsidRDefault="004523C8" w:rsidP="004523C8">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13F63B21" w14:textId="77777777" w:rsidR="004523C8" w:rsidRPr="00C40661" w:rsidRDefault="004523C8" w:rsidP="004523C8">
            <w:pPr>
              <w:jc w:val="right"/>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68472E3D" w14:textId="77777777" w:rsidR="004523C8" w:rsidRPr="006D56BD" w:rsidRDefault="004523C8" w:rsidP="004523C8">
            <w:pPr>
              <w:ind w:right="76"/>
              <w:jc w:val="right"/>
              <w:rPr>
                <w:rFonts w:eastAsia="Arial Unicode MS"/>
                <w:sz w:val="22"/>
                <w:szCs w:val="22"/>
              </w:rPr>
            </w:pPr>
          </w:p>
        </w:tc>
        <w:tc>
          <w:tcPr>
            <w:tcW w:w="756" w:type="pct"/>
            <w:tcBorders>
              <w:top w:val="nil"/>
              <w:left w:val="nil"/>
              <w:bottom w:val="nil"/>
              <w:right w:val="nil"/>
            </w:tcBorders>
            <w:vAlign w:val="center"/>
          </w:tcPr>
          <w:p w14:paraId="0DC5BE6B" w14:textId="77777777" w:rsidR="004523C8" w:rsidRPr="00C40661" w:rsidRDefault="004523C8" w:rsidP="004523C8">
            <w:pPr>
              <w:ind w:right="76"/>
              <w:jc w:val="right"/>
              <w:rPr>
                <w:rFonts w:eastAsia="Arial Unicode MS"/>
                <w:sz w:val="22"/>
                <w:szCs w:val="22"/>
              </w:rPr>
            </w:pPr>
          </w:p>
        </w:tc>
      </w:tr>
      <w:tr w:rsidR="004523C8" w:rsidRPr="00C40661" w14:paraId="7EA5F1B6"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482E5FAD" w14:textId="77777777" w:rsidR="004523C8" w:rsidRPr="00C40661" w:rsidRDefault="004523C8" w:rsidP="004523C8">
            <w:pPr>
              <w:rPr>
                <w:rFonts w:eastAsia="Arial Unicode MS"/>
                <w:b/>
                <w:bCs/>
                <w:sz w:val="22"/>
                <w:szCs w:val="22"/>
              </w:rPr>
            </w:pPr>
            <w:r w:rsidRPr="00C40661">
              <w:rPr>
                <w:b/>
                <w:bCs/>
                <w:sz w:val="22"/>
                <w:szCs w:val="22"/>
              </w:rPr>
              <w:t>Cash flows from investing activities</w:t>
            </w:r>
          </w:p>
        </w:tc>
        <w:tc>
          <w:tcPr>
            <w:tcW w:w="752" w:type="pct"/>
            <w:tcBorders>
              <w:top w:val="nil"/>
              <w:left w:val="nil"/>
              <w:bottom w:val="nil"/>
              <w:right w:val="nil"/>
            </w:tcBorders>
            <w:noWrap/>
            <w:tcMar>
              <w:top w:w="15" w:type="dxa"/>
              <w:left w:w="15" w:type="dxa"/>
              <w:bottom w:w="0" w:type="dxa"/>
              <w:right w:w="15" w:type="dxa"/>
            </w:tcMar>
            <w:vAlign w:val="bottom"/>
          </w:tcPr>
          <w:p w14:paraId="36194BC9" w14:textId="77777777" w:rsidR="004523C8" w:rsidRPr="00C40661" w:rsidRDefault="004523C8" w:rsidP="004523C8">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037D32FE" w14:textId="77777777" w:rsidR="004523C8" w:rsidRPr="006D56BD" w:rsidRDefault="004523C8" w:rsidP="004523C8">
            <w:pPr>
              <w:ind w:right="76"/>
              <w:jc w:val="right"/>
              <w:rPr>
                <w:rFonts w:eastAsia="Arial Unicode MS"/>
                <w:sz w:val="22"/>
                <w:szCs w:val="22"/>
              </w:rPr>
            </w:pPr>
          </w:p>
        </w:tc>
        <w:tc>
          <w:tcPr>
            <w:tcW w:w="756" w:type="pct"/>
            <w:tcBorders>
              <w:top w:val="nil"/>
              <w:left w:val="nil"/>
              <w:bottom w:val="nil"/>
              <w:right w:val="nil"/>
            </w:tcBorders>
            <w:vAlign w:val="center"/>
          </w:tcPr>
          <w:p w14:paraId="7519ECFF" w14:textId="77777777" w:rsidR="004523C8" w:rsidRPr="00C40661" w:rsidRDefault="004523C8" w:rsidP="004523C8">
            <w:pPr>
              <w:ind w:right="76"/>
              <w:jc w:val="right"/>
              <w:rPr>
                <w:rFonts w:eastAsia="Arial Unicode MS"/>
                <w:sz w:val="22"/>
                <w:szCs w:val="22"/>
              </w:rPr>
            </w:pPr>
          </w:p>
        </w:tc>
      </w:tr>
      <w:tr w:rsidR="004523C8" w:rsidRPr="00533364" w14:paraId="65C40EBA"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F36D5B8" w14:textId="75EE9053" w:rsidR="004523C8" w:rsidRPr="00533364" w:rsidRDefault="00226255" w:rsidP="004523C8">
            <w:pPr>
              <w:rPr>
                <w:rFonts w:eastAsia="Arial Unicode MS"/>
                <w:sz w:val="22"/>
                <w:szCs w:val="22"/>
              </w:rPr>
            </w:pPr>
            <w:r w:rsidRPr="00533364">
              <w:rPr>
                <w:sz w:val="22"/>
                <w:szCs w:val="22"/>
              </w:rPr>
              <w:t>L</w:t>
            </w:r>
            <w:r w:rsidR="004523C8" w:rsidRPr="00533364">
              <w:rPr>
                <w:sz w:val="22"/>
                <w:szCs w:val="22"/>
              </w:rPr>
              <w:t>oans to subsidiaries</w:t>
            </w:r>
          </w:p>
        </w:tc>
        <w:tc>
          <w:tcPr>
            <w:tcW w:w="752" w:type="pct"/>
            <w:tcBorders>
              <w:top w:val="nil"/>
              <w:left w:val="nil"/>
              <w:bottom w:val="nil"/>
              <w:right w:val="nil"/>
            </w:tcBorders>
            <w:noWrap/>
            <w:tcMar>
              <w:top w:w="15" w:type="dxa"/>
              <w:left w:w="15" w:type="dxa"/>
              <w:bottom w:w="0" w:type="dxa"/>
              <w:right w:w="15" w:type="dxa"/>
            </w:tcMar>
            <w:vAlign w:val="bottom"/>
          </w:tcPr>
          <w:p w14:paraId="35B1BE66" w14:textId="0BCD31A4" w:rsidR="004523C8" w:rsidRPr="00533364" w:rsidRDefault="00533364" w:rsidP="004523C8">
            <w:pPr>
              <w:jc w:val="center"/>
              <w:rPr>
                <w:rFonts w:eastAsia="Arial Unicode MS"/>
                <w:b/>
                <w:bCs/>
                <w:sz w:val="22"/>
                <w:szCs w:val="22"/>
              </w:rPr>
            </w:pPr>
            <w:r w:rsidRPr="00533364">
              <w:rPr>
                <w:rFonts w:eastAsia="Arial Unicode MS"/>
                <w:b/>
                <w:bCs/>
                <w:sz w:val="22"/>
                <w:szCs w:val="22"/>
              </w:rPr>
              <w:t>7</w:t>
            </w:r>
          </w:p>
        </w:tc>
        <w:tc>
          <w:tcPr>
            <w:tcW w:w="971" w:type="pct"/>
            <w:tcBorders>
              <w:top w:val="nil"/>
              <w:left w:val="nil"/>
              <w:bottom w:val="nil"/>
              <w:right w:val="nil"/>
            </w:tcBorders>
            <w:noWrap/>
            <w:tcMar>
              <w:top w:w="15" w:type="dxa"/>
              <w:left w:w="15" w:type="dxa"/>
              <w:bottom w:w="0" w:type="dxa"/>
              <w:right w:w="15" w:type="dxa"/>
            </w:tcMar>
            <w:vAlign w:val="center"/>
          </w:tcPr>
          <w:p w14:paraId="7EE21EA0" w14:textId="24C09C4D" w:rsidR="004523C8" w:rsidRPr="00533364" w:rsidRDefault="004132CB" w:rsidP="004523C8">
            <w:pPr>
              <w:ind w:right="76"/>
              <w:jc w:val="right"/>
              <w:rPr>
                <w:rFonts w:eastAsia="Arial Unicode MS"/>
                <w:sz w:val="22"/>
                <w:szCs w:val="22"/>
              </w:rPr>
            </w:pPr>
            <w:r w:rsidRPr="00533364">
              <w:rPr>
                <w:rFonts w:eastAsia="Arial Unicode MS"/>
                <w:sz w:val="22"/>
                <w:szCs w:val="22"/>
              </w:rPr>
              <w:t>(</w:t>
            </w:r>
            <w:r w:rsidR="000D3DBE">
              <w:rPr>
                <w:rFonts w:eastAsia="Arial Unicode MS"/>
                <w:sz w:val="22"/>
                <w:szCs w:val="22"/>
              </w:rPr>
              <w:t>4,391</w:t>
            </w:r>
            <w:r w:rsidRPr="00533364">
              <w:rPr>
                <w:rFonts w:eastAsia="Arial Unicode MS"/>
                <w:sz w:val="22"/>
                <w:szCs w:val="22"/>
              </w:rPr>
              <w:t>)</w:t>
            </w:r>
          </w:p>
        </w:tc>
        <w:tc>
          <w:tcPr>
            <w:tcW w:w="756" w:type="pct"/>
            <w:tcBorders>
              <w:top w:val="nil"/>
              <w:left w:val="nil"/>
              <w:bottom w:val="nil"/>
              <w:right w:val="nil"/>
            </w:tcBorders>
            <w:vAlign w:val="center"/>
          </w:tcPr>
          <w:p w14:paraId="43BDDC95" w14:textId="1C5F60B2" w:rsidR="004523C8" w:rsidRPr="00533364" w:rsidRDefault="00C04DFC" w:rsidP="004523C8">
            <w:pPr>
              <w:ind w:right="76"/>
              <w:jc w:val="right"/>
              <w:rPr>
                <w:rFonts w:eastAsia="Arial Unicode MS"/>
                <w:sz w:val="22"/>
                <w:szCs w:val="22"/>
              </w:rPr>
            </w:pPr>
            <w:r>
              <w:rPr>
                <w:rFonts w:eastAsia="Arial Unicode MS"/>
                <w:sz w:val="22"/>
                <w:szCs w:val="22"/>
              </w:rPr>
              <w:t>(</w:t>
            </w:r>
            <w:r w:rsidR="002758B5">
              <w:rPr>
                <w:rFonts w:eastAsia="Arial Unicode MS"/>
                <w:sz w:val="22"/>
                <w:szCs w:val="22"/>
              </w:rPr>
              <w:t>54,523</w:t>
            </w:r>
            <w:r>
              <w:rPr>
                <w:rFonts w:eastAsia="Arial Unicode MS"/>
                <w:sz w:val="22"/>
                <w:szCs w:val="22"/>
              </w:rPr>
              <w:t>)</w:t>
            </w:r>
          </w:p>
        </w:tc>
      </w:tr>
      <w:tr w:rsidR="00AF47D2" w:rsidRPr="00533364" w14:paraId="5EA8366E"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16A6B2C9" w14:textId="7A11AFB9" w:rsidR="00AF47D2" w:rsidRPr="00533364" w:rsidDel="00AF47D2" w:rsidRDefault="00AF47D2" w:rsidP="004523C8">
            <w:pPr>
              <w:rPr>
                <w:sz w:val="22"/>
                <w:szCs w:val="22"/>
              </w:rPr>
            </w:pPr>
            <w:r w:rsidRPr="00533364">
              <w:rPr>
                <w:sz w:val="22"/>
                <w:szCs w:val="22"/>
              </w:rPr>
              <w:t xml:space="preserve">Proceeds from </w:t>
            </w:r>
            <w:r w:rsidR="00CD105C">
              <w:rPr>
                <w:sz w:val="22"/>
                <w:szCs w:val="22"/>
              </w:rPr>
              <w:t>sale of investments</w:t>
            </w:r>
          </w:p>
        </w:tc>
        <w:tc>
          <w:tcPr>
            <w:tcW w:w="752" w:type="pct"/>
            <w:tcBorders>
              <w:top w:val="nil"/>
              <w:left w:val="nil"/>
              <w:bottom w:val="nil"/>
              <w:right w:val="nil"/>
            </w:tcBorders>
            <w:noWrap/>
            <w:tcMar>
              <w:top w:w="15" w:type="dxa"/>
              <w:left w:w="15" w:type="dxa"/>
              <w:bottom w:w="0" w:type="dxa"/>
              <w:right w:w="15" w:type="dxa"/>
            </w:tcMar>
            <w:vAlign w:val="bottom"/>
          </w:tcPr>
          <w:p w14:paraId="142583FE" w14:textId="77777777" w:rsidR="00AF47D2" w:rsidRPr="00533364" w:rsidRDefault="00AF47D2" w:rsidP="004523C8">
            <w:pPr>
              <w:jc w:val="center"/>
              <w:rPr>
                <w:rFonts w:eastAsia="Arial Unicode MS"/>
                <w:b/>
                <w:bC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7E4558DF" w14:textId="7EADB716" w:rsidR="00AF47D2" w:rsidRPr="00533364" w:rsidRDefault="002758B5" w:rsidP="004523C8">
            <w:pPr>
              <w:ind w:right="76"/>
              <w:jc w:val="right"/>
              <w:rPr>
                <w:rFonts w:eastAsia="Arial Unicode MS"/>
                <w:sz w:val="22"/>
                <w:szCs w:val="22"/>
              </w:rPr>
            </w:pPr>
            <w:r>
              <w:rPr>
                <w:rFonts w:eastAsia="Arial Unicode MS"/>
                <w:sz w:val="22"/>
                <w:szCs w:val="22"/>
              </w:rPr>
              <w:t>102,467</w:t>
            </w:r>
          </w:p>
        </w:tc>
        <w:tc>
          <w:tcPr>
            <w:tcW w:w="756" w:type="pct"/>
            <w:tcBorders>
              <w:top w:val="nil"/>
              <w:left w:val="nil"/>
              <w:bottom w:val="nil"/>
              <w:right w:val="nil"/>
            </w:tcBorders>
            <w:vAlign w:val="center"/>
          </w:tcPr>
          <w:p w14:paraId="456F6CA8" w14:textId="25D7A369" w:rsidR="00AF47D2" w:rsidRPr="00533364" w:rsidRDefault="002758B5" w:rsidP="004523C8">
            <w:pPr>
              <w:ind w:right="76"/>
              <w:jc w:val="right"/>
              <w:rPr>
                <w:rFonts w:eastAsia="Arial Unicode MS"/>
                <w:sz w:val="22"/>
                <w:szCs w:val="22"/>
              </w:rPr>
            </w:pPr>
            <w:r>
              <w:rPr>
                <w:rFonts w:eastAsia="Arial Unicode MS"/>
                <w:sz w:val="22"/>
                <w:szCs w:val="22"/>
              </w:rPr>
              <w:t>39,360</w:t>
            </w:r>
          </w:p>
        </w:tc>
      </w:tr>
      <w:tr w:rsidR="00C34BF6" w:rsidRPr="00533364" w14:paraId="65F2C240"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281E460" w14:textId="0B414D7F" w:rsidR="00C34BF6" w:rsidRPr="00533364" w:rsidRDefault="00AF47D2" w:rsidP="00C34BF6">
            <w:pPr>
              <w:rPr>
                <w:sz w:val="22"/>
                <w:szCs w:val="22"/>
              </w:rPr>
            </w:pPr>
            <w:r w:rsidRPr="00533364">
              <w:rPr>
                <w:sz w:val="22"/>
                <w:szCs w:val="22"/>
              </w:rPr>
              <w:t xml:space="preserve">Purchase of </w:t>
            </w:r>
            <w:r w:rsidR="00C34BF6" w:rsidRPr="00533364">
              <w:rPr>
                <w:sz w:val="22"/>
                <w:szCs w:val="22"/>
              </w:rPr>
              <w:t xml:space="preserve">investments </w:t>
            </w:r>
          </w:p>
        </w:tc>
        <w:tc>
          <w:tcPr>
            <w:tcW w:w="752" w:type="pct"/>
            <w:tcBorders>
              <w:top w:val="nil"/>
              <w:left w:val="nil"/>
              <w:bottom w:val="nil"/>
              <w:right w:val="nil"/>
            </w:tcBorders>
            <w:noWrap/>
            <w:tcMar>
              <w:top w:w="15" w:type="dxa"/>
              <w:left w:w="15" w:type="dxa"/>
              <w:bottom w:w="0" w:type="dxa"/>
              <w:right w:w="15" w:type="dxa"/>
            </w:tcMar>
            <w:vAlign w:val="bottom"/>
          </w:tcPr>
          <w:p w14:paraId="3C22FD29" w14:textId="59F6157A" w:rsidR="00C34BF6" w:rsidRPr="00533364" w:rsidRDefault="00533364" w:rsidP="00C34BF6">
            <w:pPr>
              <w:jc w:val="center"/>
              <w:rPr>
                <w:rFonts w:eastAsia="Arial Unicode MS"/>
                <w:b/>
                <w:bCs/>
                <w:sz w:val="22"/>
                <w:szCs w:val="22"/>
              </w:rPr>
            </w:pPr>
            <w:r w:rsidRPr="00533364">
              <w:rPr>
                <w:rFonts w:eastAsia="Arial Unicode MS"/>
                <w:b/>
                <w:bCs/>
                <w:sz w:val="22"/>
                <w:szCs w:val="22"/>
              </w:rPr>
              <w:t>7</w:t>
            </w:r>
          </w:p>
        </w:tc>
        <w:tc>
          <w:tcPr>
            <w:tcW w:w="971" w:type="pct"/>
            <w:tcBorders>
              <w:top w:val="nil"/>
              <w:left w:val="nil"/>
              <w:bottom w:val="nil"/>
              <w:right w:val="nil"/>
            </w:tcBorders>
            <w:noWrap/>
            <w:tcMar>
              <w:top w:w="15" w:type="dxa"/>
              <w:left w:w="15" w:type="dxa"/>
              <w:bottom w:w="0" w:type="dxa"/>
              <w:right w:w="15" w:type="dxa"/>
            </w:tcMar>
            <w:vAlign w:val="center"/>
          </w:tcPr>
          <w:p w14:paraId="2556CFE9" w14:textId="1A926F06" w:rsidR="00C34BF6" w:rsidRPr="00533364" w:rsidRDefault="00CD105C" w:rsidP="00C34BF6">
            <w:pPr>
              <w:ind w:right="76"/>
              <w:jc w:val="right"/>
              <w:rPr>
                <w:rFonts w:eastAsia="Arial Unicode MS"/>
                <w:sz w:val="22"/>
                <w:szCs w:val="22"/>
              </w:rPr>
            </w:pPr>
            <w:r>
              <w:rPr>
                <w:rFonts w:eastAsia="Arial Unicode MS"/>
                <w:sz w:val="22"/>
                <w:szCs w:val="22"/>
              </w:rPr>
              <w:t>(</w:t>
            </w:r>
            <w:r w:rsidR="000D3DBE">
              <w:rPr>
                <w:rFonts w:eastAsia="Arial Unicode MS"/>
                <w:sz w:val="22"/>
                <w:szCs w:val="22"/>
              </w:rPr>
              <w:t>334,985</w:t>
            </w:r>
            <w:r>
              <w:rPr>
                <w:rFonts w:eastAsia="Arial Unicode MS"/>
                <w:sz w:val="22"/>
                <w:szCs w:val="22"/>
              </w:rPr>
              <w:t>)</w:t>
            </w:r>
          </w:p>
        </w:tc>
        <w:tc>
          <w:tcPr>
            <w:tcW w:w="756" w:type="pct"/>
            <w:tcBorders>
              <w:top w:val="nil"/>
              <w:left w:val="nil"/>
              <w:bottom w:val="nil"/>
              <w:right w:val="nil"/>
            </w:tcBorders>
            <w:vAlign w:val="center"/>
          </w:tcPr>
          <w:p w14:paraId="0E72D219" w14:textId="5CA4B3BB" w:rsidR="00C34BF6" w:rsidRPr="00533364" w:rsidRDefault="00C34BF6" w:rsidP="00C34BF6">
            <w:pPr>
              <w:ind w:right="76"/>
              <w:jc w:val="right"/>
              <w:rPr>
                <w:rFonts w:eastAsia="Arial Unicode MS"/>
                <w:sz w:val="22"/>
                <w:szCs w:val="22"/>
              </w:rPr>
            </w:pPr>
            <w:r w:rsidRPr="00533364">
              <w:rPr>
                <w:rFonts w:eastAsia="Arial Unicode MS"/>
                <w:sz w:val="22"/>
                <w:szCs w:val="22"/>
              </w:rPr>
              <w:t>(</w:t>
            </w:r>
            <w:r w:rsidR="002758B5">
              <w:rPr>
                <w:rFonts w:eastAsia="Arial Unicode MS"/>
                <w:sz w:val="22"/>
                <w:szCs w:val="22"/>
              </w:rPr>
              <w:t>38,845</w:t>
            </w:r>
            <w:r w:rsidRPr="00533364">
              <w:rPr>
                <w:rFonts w:eastAsia="Arial Unicode MS"/>
                <w:sz w:val="22"/>
                <w:szCs w:val="22"/>
              </w:rPr>
              <w:t>)</w:t>
            </w:r>
          </w:p>
        </w:tc>
      </w:tr>
      <w:tr w:rsidR="00C34BF6" w:rsidRPr="00533364" w14:paraId="5671E649"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70C27A4B" w14:textId="763CBAA2" w:rsidR="00C34BF6" w:rsidRPr="00533364" w:rsidRDefault="00C34BF6" w:rsidP="00C34BF6">
            <w:pPr>
              <w:rPr>
                <w:rFonts w:eastAsia="Arial Unicode MS"/>
                <w:b/>
                <w:bCs/>
                <w:sz w:val="22"/>
                <w:szCs w:val="22"/>
              </w:rPr>
            </w:pPr>
            <w:r w:rsidRPr="00533364">
              <w:rPr>
                <w:b/>
                <w:bCs/>
                <w:sz w:val="22"/>
                <w:szCs w:val="22"/>
              </w:rPr>
              <w:t>Net cash used in investing activities</w:t>
            </w:r>
          </w:p>
        </w:tc>
        <w:tc>
          <w:tcPr>
            <w:tcW w:w="752" w:type="pct"/>
            <w:tcBorders>
              <w:top w:val="nil"/>
              <w:left w:val="nil"/>
              <w:bottom w:val="nil"/>
              <w:right w:val="nil"/>
            </w:tcBorders>
            <w:noWrap/>
            <w:tcMar>
              <w:top w:w="15" w:type="dxa"/>
              <w:left w:w="15" w:type="dxa"/>
              <w:bottom w:w="0" w:type="dxa"/>
              <w:right w:w="15" w:type="dxa"/>
            </w:tcMar>
            <w:vAlign w:val="bottom"/>
          </w:tcPr>
          <w:p w14:paraId="6FDA8448" w14:textId="77777777" w:rsidR="00C34BF6" w:rsidRPr="00533364" w:rsidRDefault="00C34BF6" w:rsidP="00C34BF6">
            <w:pPr>
              <w:rPr>
                <w:rFonts w:eastAsia="Arial Unicode MS"/>
                <w:sz w:val="22"/>
                <w:szCs w:val="22"/>
              </w:rPr>
            </w:pPr>
          </w:p>
        </w:tc>
        <w:tc>
          <w:tcPr>
            <w:tcW w:w="97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2D11B3DF" w14:textId="4AFDB642" w:rsidR="00C34BF6" w:rsidRPr="00533364" w:rsidRDefault="00E44331" w:rsidP="00C34BF6">
            <w:pPr>
              <w:ind w:right="76"/>
              <w:jc w:val="right"/>
              <w:rPr>
                <w:rFonts w:eastAsia="Arial Unicode MS"/>
                <w:sz w:val="22"/>
                <w:szCs w:val="22"/>
              </w:rPr>
            </w:pPr>
            <w:r>
              <w:rPr>
                <w:rFonts w:eastAsia="Arial Unicode MS"/>
                <w:sz w:val="22"/>
                <w:szCs w:val="22"/>
              </w:rPr>
              <w:t>(</w:t>
            </w:r>
            <w:r w:rsidR="000D3DBE">
              <w:rPr>
                <w:rFonts w:eastAsia="Arial Unicode MS"/>
                <w:sz w:val="22"/>
                <w:szCs w:val="22"/>
              </w:rPr>
              <w:t>236,909</w:t>
            </w:r>
            <w:r>
              <w:rPr>
                <w:rFonts w:eastAsia="Arial Unicode MS"/>
                <w:sz w:val="22"/>
                <w:szCs w:val="22"/>
              </w:rPr>
              <w:t>)</w:t>
            </w:r>
          </w:p>
        </w:tc>
        <w:tc>
          <w:tcPr>
            <w:tcW w:w="756" w:type="pct"/>
            <w:tcBorders>
              <w:top w:val="single" w:sz="4" w:space="0" w:color="auto"/>
              <w:left w:val="nil"/>
              <w:bottom w:val="single" w:sz="4" w:space="0" w:color="auto"/>
              <w:right w:val="nil"/>
            </w:tcBorders>
            <w:vAlign w:val="center"/>
          </w:tcPr>
          <w:p w14:paraId="1B2E3347" w14:textId="358FFCCD" w:rsidR="00C34BF6" w:rsidRPr="00533364" w:rsidRDefault="00C34BF6" w:rsidP="00C34BF6">
            <w:pPr>
              <w:ind w:right="76"/>
              <w:jc w:val="right"/>
              <w:rPr>
                <w:rFonts w:eastAsia="Arial Unicode MS"/>
                <w:sz w:val="22"/>
                <w:szCs w:val="22"/>
              </w:rPr>
            </w:pPr>
            <w:r w:rsidRPr="00533364">
              <w:rPr>
                <w:rFonts w:eastAsia="Arial Unicode MS"/>
                <w:sz w:val="22"/>
                <w:szCs w:val="22"/>
              </w:rPr>
              <w:t>(</w:t>
            </w:r>
            <w:r w:rsidR="002758B5">
              <w:rPr>
                <w:rFonts w:eastAsia="Arial Unicode MS"/>
                <w:sz w:val="22"/>
                <w:szCs w:val="22"/>
              </w:rPr>
              <w:t>54,008</w:t>
            </w:r>
            <w:r w:rsidRPr="00533364">
              <w:rPr>
                <w:rFonts w:eastAsia="Arial Unicode MS"/>
                <w:sz w:val="22"/>
                <w:szCs w:val="22"/>
              </w:rPr>
              <w:t>)</w:t>
            </w:r>
          </w:p>
        </w:tc>
      </w:tr>
      <w:tr w:rsidR="00C34BF6" w:rsidRPr="00533364" w14:paraId="5EA55DDF"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6A9C60E6" w14:textId="77777777" w:rsidR="00C34BF6" w:rsidRPr="00533364" w:rsidRDefault="00C34BF6" w:rsidP="00C34BF6">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0C3E445B" w14:textId="77777777" w:rsidR="00C34BF6" w:rsidRPr="00533364" w:rsidRDefault="00C34BF6" w:rsidP="00C34BF6">
            <w:pPr>
              <w:jc w:val="right"/>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4BD100A5" w14:textId="77777777" w:rsidR="00C34BF6" w:rsidRPr="00533364" w:rsidRDefault="00C34BF6" w:rsidP="00C34BF6">
            <w:pPr>
              <w:ind w:right="76"/>
              <w:jc w:val="right"/>
              <w:rPr>
                <w:rFonts w:eastAsia="Arial Unicode MS"/>
                <w:sz w:val="22"/>
                <w:szCs w:val="22"/>
              </w:rPr>
            </w:pPr>
          </w:p>
        </w:tc>
        <w:tc>
          <w:tcPr>
            <w:tcW w:w="756" w:type="pct"/>
            <w:tcBorders>
              <w:top w:val="nil"/>
              <w:left w:val="nil"/>
              <w:bottom w:val="nil"/>
              <w:right w:val="nil"/>
            </w:tcBorders>
            <w:vAlign w:val="center"/>
          </w:tcPr>
          <w:p w14:paraId="2C128C84" w14:textId="77777777" w:rsidR="00C34BF6" w:rsidRPr="00533364" w:rsidRDefault="00C34BF6" w:rsidP="00C34BF6">
            <w:pPr>
              <w:ind w:right="76"/>
              <w:jc w:val="right"/>
              <w:rPr>
                <w:rFonts w:eastAsia="Arial Unicode MS"/>
                <w:sz w:val="22"/>
                <w:szCs w:val="22"/>
              </w:rPr>
            </w:pPr>
          </w:p>
        </w:tc>
      </w:tr>
      <w:tr w:rsidR="00C34BF6" w:rsidRPr="00533364" w14:paraId="15C127CC"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090F1D84" w14:textId="77777777" w:rsidR="00C34BF6" w:rsidRPr="00533364" w:rsidRDefault="00C34BF6" w:rsidP="00C34BF6">
            <w:pPr>
              <w:rPr>
                <w:rFonts w:eastAsia="Arial Unicode MS"/>
                <w:b/>
                <w:bCs/>
                <w:sz w:val="22"/>
                <w:szCs w:val="22"/>
              </w:rPr>
            </w:pPr>
            <w:r w:rsidRPr="00533364">
              <w:rPr>
                <w:b/>
                <w:bCs/>
                <w:sz w:val="22"/>
                <w:szCs w:val="22"/>
              </w:rPr>
              <w:t>Cash flows from financing activities</w:t>
            </w:r>
          </w:p>
        </w:tc>
        <w:tc>
          <w:tcPr>
            <w:tcW w:w="752" w:type="pct"/>
            <w:tcBorders>
              <w:top w:val="nil"/>
              <w:left w:val="nil"/>
              <w:bottom w:val="nil"/>
              <w:right w:val="nil"/>
            </w:tcBorders>
            <w:noWrap/>
            <w:tcMar>
              <w:top w:w="15" w:type="dxa"/>
              <w:left w:w="15" w:type="dxa"/>
              <w:bottom w:w="0" w:type="dxa"/>
              <w:right w:w="15" w:type="dxa"/>
            </w:tcMar>
            <w:vAlign w:val="bottom"/>
          </w:tcPr>
          <w:p w14:paraId="23EBFAD7" w14:textId="77777777" w:rsidR="00C34BF6" w:rsidRPr="00533364" w:rsidRDefault="00C34BF6"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2F02D230" w14:textId="77777777" w:rsidR="00C34BF6" w:rsidRPr="00533364" w:rsidRDefault="00C34BF6" w:rsidP="00C34BF6">
            <w:pPr>
              <w:ind w:right="76"/>
              <w:jc w:val="right"/>
              <w:rPr>
                <w:rFonts w:eastAsia="Arial Unicode MS"/>
                <w:sz w:val="22"/>
                <w:szCs w:val="22"/>
              </w:rPr>
            </w:pPr>
          </w:p>
        </w:tc>
        <w:tc>
          <w:tcPr>
            <w:tcW w:w="756" w:type="pct"/>
            <w:tcBorders>
              <w:top w:val="nil"/>
              <w:left w:val="nil"/>
              <w:bottom w:val="nil"/>
              <w:right w:val="nil"/>
            </w:tcBorders>
            <w:vAlign w:val="center"/>
          </w:tcPr>
          <w:p w14:paraId="1A464B3D" w14:textId="77777777" w:rsidR="00C34BF6" w:rsidRPr="00533364" w:rsidRDefault="00C34BF6" w:rsidP="00C34BF6">
            <w:pPr>
              <w:ind w:right="76"/>
              <w:jc w:val="right"/>
              <w:rPr>
                <w:rFonts w:eastAsia="Arial Unicode MS"/>
                <w:sz w:val="22"/>
                <w:szCs w:val="22"/>
              </w:rPr>
            </w:pPr>
          </w:p>
        </w:tc>
      </w:tr>
      <w:tr w:rsidR="00C34BF6" w:rsidRPr="00533364" w14:paraId="5701777B"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2E207F46" w14:textId="7E6406C1" w:rsidR="00C34BF6" w:rsidRPr="00533364" w:rsidRDefault="00C34BF6" w:rsidP="00C34BF6">
            <w:pPr>
              <w:rPr>
                <w:rFonts w:eastAsia="Arial Unicode MS"/>
                <w:sz w:val="22"/>
                <w:szCs w:val="22"/>
              </w:rPr>
            </w:pPr>
            <w:r w:rsidRPr="00533364">
              <w:rPr>
                <w:sz w:val="22"/>
                <w:szCs w:val="22"/>
              </w:rPr>
              <w:t xml:space="preserve">Proceeds from the issue of shares and warrants </w:t>
            </w:r>
          </w:p>
        </w:tc>
        <w:tc>
          <w:tcPr>
            <w:tcW w:w="752" w:type="pct"/>
            <w:tcBorders>
              <w:top w:val="nil"/>
              <w:left w:val="nil"/>
              <w:bottom w:val="nil"/>
              <w:right w:val="nil"/>
            </w:tcBorders>
            <w:noWrap/>
            <w:tcMar>
              <w:top w:w="15" w:type="dxa"/>
              <w:left w:w="15" w:type="dxa"/>
              <w:bottom w:w="0" w:type="dxa"/>
              <w:right w:w="15" w:type="dxa"/>
            </w:tcMar>
            <w:vAlign w:val="bottom"/>
          </w:tcPr>
          <w:p w14:paraId="2FBF62D1" w14:textId="77777777" w:rsidR="00C34BF6" w:rsidRPr="00533364" w:rsidRDefault="00C34BF6"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5C3EC337" w14:textId="3D200FDD" w:rsidR="00C34BF6" w:rsidRPr="00533364" w:rsidRDefault="002758B5" w:rsidP="00C34BF6">
            <w:pPr>
              <w:ind w:right="76"/>
              <w:jc w:val="right"/>
              <w:rPr>
                <w:rFonts w:eastAsia="Arial Unicode MS"/>
                <w:sz w:val="22"/>
                <w:szCs w:val="22"/>
              </w:rPr>
            </w:pPr>
            <w:r>
              <w:rPr>
                <w:rFonts w:eastAsia="Arial Unicode MS"/>
                <w:sz w:val="22"/>
                <w:szCs w:val="22"/>
              </w:rPr>
              <w:t>70,000</w:t>
            </w:r>
          </w:p>
        </w:tc>
        <w:tc>
          <w:tcPr>
            <w:tcW w:w="756" w:type="pct"/>
            <w:tcBorders>
              <w:top w:val="nil"/>
              <w:left w:val="nil"/>
              <w:bottom w:val="nil"/>
              <w:right w:val="nil"/>
            </w:tcBorders>
            <w:vAlign w:val="center"/>
          </w:tcPr>
          <w:p w14:paraId="6ED40645" w14:textId="72C82AE3" w:rsidR="00C34BF6" w:rsidRPr="00533364" w:rsidRDefault="002758B5" w:rsidP="00C34BF6">
            <w:pPr>
              <w:ind w:right="76"/>
              <w:jc w:val="right"/>
              <w:rPr>
                <w:rFonts w:eastAsia="Arial Unicode MS"/>
                <w:sz w:val="22"/>
                <w:szCs w:val="22"/>
              </w:rPr>
            </w:pPr>
            <w:r>
              <w:rPr>
                <w:rFonts w:eastAsia="Arial Unicode MS"/>
                <w:sz w:val="22"/>
                <w:szCs w:val="22"/>
              </w:rPr>
              <w:t>568,432</w:t>
            </w:r>
          </w:p>
        </w:tc>
      </w:tr>
      <w:tr w:rsidR="00E12425" w:rsidRPr="00533364" w14:paraId="56A53A0C"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3652EBC4" w14:textId="64F9354F" w:rsidR="00E12425" w:rsidRPr="00533364" w:rsidRDefault="00E12425" w:rsidP="00C34BF6">
            <w:pPr>
              <w:rPr>
                <w:sz w:val="22"/>
                <w:szCs w:val="22"/>
              </w:rPr>
            </w:pPr>
            <w:r>
              <w:rPr>
                <w:sz w:val="22"/>
                <w:szCs w:val="22"/>
              </w:rPr>
              <w:t>Cost of shares issued</w:t>
            </w:r>
          </w:p>
        </w:tc>
        <w:tc>
          <w:tcPr>
            <w:tcW w:w="752" w:type="pct"/>
            <w:tcBorders>
              <w:top w:val="nil"/>
              <w:left w:val="nil"/>
              <w:bottom w:val="nil"/>
              <w:right w:val="nil"/>
            </w:tcBorders>
            <w:noWrap/>
            <w:tcMar>
              <w:top w:w="15" w:type="dxa"/>
              <w:left w:w="15" w:type="dxa"/>
              <w:bottom w:w="0" w:type="dxa"/>
              <w:right w:w="15" w:type="dxa"/>
            </w:tcMar>
            <w:vAlign w:val="bottom"/>
          </w:tcPr>
          <w:p w14:paraId="262B9173" w14:textId="77777777" w:rsidR="00E12425" w:rsidRPr="00533364" w:rsidRDefault="00E12425"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7077BB0C" w14:textId="120D6881" w:rsidR="00E12425" w:rsidRDefault="002758B5" w:rsidP="00C34BF6">
            <w:pPr>
              <w:ind w:right="76"/>
              <w:jc w:val="right"/>
              <w:rPr>
                <w:rFonts w:eastAsia="Arial Unicode MS"/>
                <w:sz w:val="22"/>
                <w:szCs w:val="22"/>
              </w:rPr>
            </w:pPr>
            <w:r>
              <w:rPr>
                <w:rFonts w:eastAsia="Arial Unicode MS"/>
                <w:sz w:val="22"/>
                <w:szCs w:val="22"/>
              </w:rPr>
              <w:t>-</w:t>
            </w:r>
          </w:p>
        </w:tc>
        <w:tc>
          <w:tcPr>
            <w:tcW w:w="756" w:type="pct"/>
            <w:tcBorders>
              <w:top w:val="nil"/>
              <w:left w:val="nil"/>
              <w:bottom w:val="nil"/>
              <w:right w:val="nil"/>
            </w:tcBorders>
            <w:vAlign w:val="center"/>
          </w:tcPr>
          <w:p w14:paraId="3C4FA622" w14:textId="04224061" w:rsidR="00E12425" w:rsidRDefault="002758B5" w:rsidP="00C34BF6">
            <w:pPr>
              <w:ind w:right="76"/>
              <w:jc w:val="right"/>
              <w:rPr>
                <w:rFonts w:eastAsia="Arial Unicode MS"/>
                <w:sz w:val="22"/>
                <w:szCs w:val="22"/>
              </w:rPr>
            </w:pPr>
            <w:r>
              <w:rPr>
                <w:rFonts w:eastAsia="Arial Unicode MS"/>
                <w:sz w:val="22"/>
                <w:szCs w:val="22"/>
              </w:rPr>
              <w:t>(24,985)</w:t>
            </w:r>
          </w:p>
        </w:tc>
      </w:tr>
      <w:tr w:rsidR="002758B5" w:rsidRPr="00533364" w14:paraId="0DDF39BE"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16582C1A" w14:textId="59B5FD09" w:rsidR="002758B5" w:rsidRDefault="002758B5" w:rsidP="002758B5">
            <w:pPr>
              <w:rPr>
                <w:sz w:val="22"/>
                <w:szCs w:val="22"/>
              </w:rPr>
            </w:pPr>
            <w:r>
              <w:rPr>
                <w:sz w:val="22"/>
                <w:szCs w:val="22"/>
              </w:rPr>
              <w:t>Proceeds from issue of convertible loan notes</w:t>
            </w:r>
          </w:p>
        </w:tc>
        <w:tc>
          <w:tcPr>
            <w:tcW w:w="752" w:type="pct"/>
            <w:tcBorders>
              <w:top w:val="nil"/>
              <w:left w:val="nil"/>
              <w:bottom w:val="nil"/>
              <w:right w:val="nil"/>
            </w:tcBorders>
            <w:noWrap/>
            <w:tcMar>
              <w:top w:w="15" w:type="dxa"/>
              <w:left w:w="15" w:type="dxa"/>
              <w:bottom w:w="0" w:type="dxa"/>
              <w:right w:w="15" w:type="dxa"/>
            </w:tcMar>
            <w:vAlign w:val="bottom"/>
          </w:tcPr>
          <w:p w14:paraId="4FA0A8B4" w14:textId="77777777" w:rsidR="002758B5" w:rsidRPr="00533364" w:rsidRDefault="002758B5" w:rsidP="002758B5">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6174D143" w14:textId="01076B8A" w:rsidR="002758B5" w:rsidRDefault="002758B5" w:rsidP="002758B5">
            <w:pPr>
              <w:ind w:right="76"/>
              <w:jc w:val="right"/>
              <w:rPr>
                <w:rFonts w:eastAsia="Arial Unicode MS"/>
                <w:sz w:val="22"/>
                <w:szCs w:val="22"/>
              </w:rPr>
            </w:pPr>
            <w:r>
              <w:rPr>
                <w:rFonts w:eastAsia="Arial Unicode MS"/>
                <w:sz w:val="22"/>
                <w:szCs w:val="22"/>
              </w:rPr>
              <w:t>370,000</w:t>
            </w:r>
          </w:p>
        </w:tc>
        <w:tc>
          <w:tcPr>
            <w:tcW w:w="756" w:type="pct"/>
            <w:tcBorders>
              <w:top w:val="nil"/>
              <w:left w:val="nil"/>
              <w:bottom w:val="nil"/>
              <w:right w:val="nil"/>
            </w:tcBorders>
            <w:vAlign w:val="center"/>
          </w:tcPr>
          <w:p w14:paraId="598CE94E" w14:textId="47B6F0C9" w:rsidR="002758B5" w:rsidRDefault="002758B5" w:rsidP="002758B5">
            <w:pPr>
              <w:ind w:right="76"/>
              <w:jc w:val="right"/>
              <w:rPr>
                <w:rFonts w:eastAsia="Arial Unicode MS"/>
                <w:sz w:val="22"/>
                <w:szCs w:val="22"/>
              </w:rPr>
            </w:pPr>
            <w:r>
              <w:rPr>
                <w:rFonts w:eastAsia="Arial Unicode MS"/>
                <w:sz w:val="22"/>
                <w:szCs w:val="22"/>
              </w:rPr>
              <w:t>-</w:t>
            </w:r>
          </w:p>
        </w:tc>
      </w:tr>
      <w:tr w:rsidR="002758B5" w:rsidRPr="00533364" w14:paraId="705581C3"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6C71E14A" w14:textId="35B9392F" w:rsidR="002758B5" w:rsidRDefault="002758B5" w:rsidP="002758B5">
            <w:pPr>
              <w:rPr>
                <w:sz w:val="22"/>
                <w:szCs w:val="22"/>
              </w:rPr>
            </w:pPr>
            <w:r>
              <w:rPr>
                <w:sz w:val="22"/>
                <w:szCs w:val="22"/>
              </w:rPr>
              <w:t>Bridging and other loan financing</w:t>
            </w:r>
          </w:p>
        </w:tc>
        <w:tc>
          <w:tcPr>
            <w:tcW w:w="752" w:type="pct"/>
            <w:tcBorders>
              <w:top w:val="nil"/>
              <w:left w:val="nil"/>
              <w:bottom w:val="nil"/>
              <w:right w:val="nil"/>
            </w:tcBorders>
            <w:noWrap/>
            <w:tcMar>
              <w:top w:w="15" w:type="dxa"/>
              <w:left w:w="15" w:type="dxa"/>
              <w:bottom w:w="0" w:type="dxa"/>
              <w:right w:w="15" w:type="dxa"/>
            </w:tcMar>
            <w:vAlign w:val="bottom"/>
          </w:tcPr>
          <w:p w14:paraId="67DCCD6A" w14:textId="77777777" w:rsidR="002758B5" w:rsidRPr="00533364" w:rsidRDefault="002758B5" w:rsidP="002758B5">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1CC14D54" w14:textId="3406A028" w:rsidR="002758B5" w:rsidRDefault="0012082B" w:rsidP="002758B5">
            <w:pPr>
              <w:ind w:right="76"/>
              <w:jc w:val="right"/>
              <w:rPr>
                <w:rFonts w:eastAsia="Arial Unicode MS"/>
                <w:sz w:val="22"/>
                <w:szCs w:val="22"/>
              </w:rPr>
            </w:pPr>
            <w:r>
              <w:rPr>
                <w:rFonts w:eastAsia="Arial Unicode MS"/>
                <w:sz w:val="22"/>
                <w:szCs w:val="22"/>
              </w:rPr>
              <w:t>410,500</w:t>
            </w:r>
          </w:p>
        </w:tc>
        <w:tc>
          <w:tcPr>
            <w:tcW w:w="756" w:type="pct"/>
            <w:tcBorders>
              <w:top w:val="nil"/>
              <w:left w:val="nil"/>
              <w:bottom w:val="nil"/>
              <w:right w:val="nil"/>
            </w:tcBorders>
            <w:vAlign w:val="center"/>
          </w:tcPr>
          <w:p w14:paraId="3EC03F9F" w14:textId="504022CA" w:rsidR="002758B5" w:rsidRDefault="002758B5" w:rsidP="002758B5">
            <w:pPr>
              <w:ind w:right="76"/>
              <w:jc w:val="right"/>
              <w:rPr>
                <w:rFonts w:eastAsia="Arial Unicode MS"/>
                <w:sz w:val="22"/>
                <w:szCs w:val="22"/>
              </w:rPr>
            </w:pPr>
            <w:r>
              <w:rPr>
                <w:rFonts w:eastAsia="Arial Unicode MS"/>
                <w:sz w:val="22"/>
                <w:szCs w:val="22"/>
              </w:rPr>
              <w:t>-</w:t>
            </w:r>
          </w:p>
        </w:tc>
      </w:tr>
      <w:tr w:rsidR="00CD105C" w:rsidRPr="00533364" w14:paraId="50F5149F"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16CEAADF" w14:textId="014376BB" w:rsidR="00CD105C" w:rsidRPr="00533364" w:rsidRDefault="00CD105C" w:rsidP="00C34BF6">
            <w:pPr>
              <w:rPr>
                <w:sz w:val="22"/>
                <w:szCs w:val="22"/>
              </w:rPr>
            </w:pPr>
            <w:r>
              <w:rPr>
                <w:sz w:val="22"/>
                <w:szCs w:val="22"/>
              </w:rPr>
              <w:t>Interest received</w:t>
            </w:r>
          </w:p>
        </w:tc>
        <w:tc>
          <w:tcPr>
            <w:tcW w:w="752" w:type="pct"/>
            <w:tcBorders>
              <w:top w:val="nil"/>
              <w:left w:val="nil"/>
              <w:bottom w:val="nil"/>
              <w:right w:val="nil"/>
            </w:tcBorders>
            <w:noWrap/>
            <w:tcMar>
              <w:top w:w="15" w:type="dxa"/>
              <w:left w:w="15" w:type="dxa"/>
              <w:bottom w:w="0" w:type="dxa"/>
              <w:right w:w="15" w:type="dxa"/>
            </w:tcMar>
            <w:vAlign w:val="bottom"/>
          </w:tcPr>
          <w:p w14:paraId="117DDFF7" w14:textId="77777777" w:rsidR="00CD105C" w:rsidRPr="00533364" w:rsidRDefault="00CD105C"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2505CDFD" w14:textId="6F4B9FDD" w:rsidR="00CD105C" w:rsidRPr="00533364" w:rsidRDefault="00E12425" w:rsidP="00C34BF6">
            <w:pPr>
              <w:ind w:right="76"/>
              <w:jc w:val="right"/>
              <w:rPr>
                <w:rFonts w:eastAsia="Arial Unicode MS"/>
                <w:sz w:val="22"/>
                <w:szCs w:val="22"/>
              </w:rPr>
            </w:pPr>
            <w:r>
              <w:rPr>
                <w:rFonts w:eastAsia="Arial Unicode MS"/>
                <w:sz w:val="22"/>
                <w:szCs w:val="22"/>
              </w:rPr>
              <w:t>-</w:t>
            </w:r>
          </w:p>
        </w:tc>
        <w:tc>
          <w:tcPr>
            <w:tcW w:w="756" w:type="pct"/>
            <w:tcBorders>
              <w:top w:val="nil"/>
              <w:left w:val="nil"/>
              <w:bottom w:val="nil"/>
              <w:right w:val="nil"/>
            </w:tcBorders>
            <w:vAlign w:val="center"/>
          </w:tcPr>
          <w:p w14:paraId="6ABC32C8" w14:textId="310C6ABC" w:rsidR="00CD105C" w:rsidRPr="00533364" w:rsidRDefault="002758B5" w:rsidP="00C34BF6">
            <w:pPr>
              <w:ind w:right="76"/>
              <w:jc w:val="right"/>
              <w:rPr>
                <w:rFonts w:eastAsia="Arial Unicode MS"/>
                <w:sz w:val="22"/>
                <w:szCs w:val="22"/>
              </w:rPr>
            </w:pPr>
            <w:r>
              <w:rPr>
                <w:rFonts w:eastAsia="Arial Unicode MS"/>
                <w:sz w:val="22"/>
                <w:szCs w:val="22"/>
              </w:rPr>
              <w:t>-</w:t>
            </w:r>
          </w:p>
        </w:tc>
      </w:tr>
      <w:tr w:rsidR="00C34BF6" w:rsidRPr="00533364" w14:paraId="7B36963F"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6E51919B" w14:textId="77777777" w:rsidR="00C34BF6" w:rsidRPr="00533364" w:rsidRDefault="00C34BF6" w:rsidP="00C34BF6">
            <w:pPr>
              <w:rPr>
                <w:rFonts w:eastAsia="Arial Unicode MS"/>
                <w:b/>
                <w:bCs/>
                <w:sz w:val="22"/>
                <w:szCs w:val="22"/>
              </w:rPr>
            </w:pPr>
            <w:r w:rsidRPr="00533364">
              <w:rPr>
                <w:b/>
                <w:bCs/>
                <w:sz w:val="22"/>
                <w:szCs w:val="22"/>
              </w:rPr>
              <w:t>Net cash generated from financing activities</w:t>
            </w:r>
          </w:p>
        </w:tc>
        <w:tc>
          <w:tcPr>
            <w:tcW w:w="752" w:type="pct"/>
            <w:tcBorders>
              <w:top w:val="nil"/>
              <w:left w:val="nil"/>
              <w:bottom w:val="nil"/>
              <w:right w:val="nil"/>
            </w:tcBorders>
            <w:noWrap/>
            <w:tcMar>
              <w:top w:w="15" w:type="dxa"/>
              <w:left w:w="15" w:type="dxa"/>
              <w:bottom w:w="0" w:type="dxa"/>
              <w:right w:w="15" w:type="dxa"/>
            </w:tcMar>
            <w:vAlign w:val="bottom"/>
          </w:tcPr>
          <w:p w14:paraId="4A4BE50A" w14:textId="77777777" w:rsidR="00C34BF6" w:rsidRPr="00533364" w:rsidRDefault="00C34BF6" w:rsidP="00C34BF6">
            <w:pPr>
              <w:rPr>
                <w:rFonts w:eastAsia="Arial Unicode MS"/>
                <w:sz w:val="22"/>
                <w:szCs w:val="22"/>
              </w:rPr>
            </w:pPr>
          </w:p>
        </w:tc>
        <w:tc>
          <w:tcPr>
            <w:tcW w:w="971" w:type="pct"/>
            <w:tcBorders>
              <w:top w:val="single" w:sz="4" w:space="0" w:color="auto"/>
              <w:left w:val="nil"/>
              <w:bottom w:val="single" w:sz="4" w:space="0" w:color="auto"/>
              <w:right w:val="nil"/>
            </w:tcBorders>
            <w:noWrap/>
            <w:tcMar>
              <w:top w:w="15" w:type="dxa"/>
              <w:left w:w="15" w:type="dxa"/>
              <w:bottom w:w="0" w:type="dxa"/>
              <w:right w:w="15" w:type="dxa"/>
            </w:tcMar>
            <w:vAlign w:val="center"/>
          </w:tcPr>
          <w:p w14:paraId="5C9E82AE" w14:textId="276AFB9F" w:rsidR="00C34BF6" w:rsidRPr="00533364" w:rsidRDefault="0012082B" w:rsidP="00C34BF6">
            <w:pPr>
              <w:ind w:right="76"/>
              <w:jc w:val="right"/>
              <w:rPr>
                <w:rFonts w:eastAsia="Arial Unicode MS"/>
                <w:sz w:val="22"/>
                <w:szCs w:val="22"/>
              </w:rPr>
            </w:pPr>
            <w:r>
              <w:rPr>
                <w:rFonts w:eastAsia="Arial Unicode MS"/>
                <w:sz w:val="22"/>
                <w:szCs w:val="22"/>
              </w:rPr>
              <w:t>850,500</w:t>
            </w:r>
          </w:p>
        </w:tc>
        <w:tc>
          <w:tcPr>
            <w:tcW w:w="756" w:type="pct"/>
            <w:tcBorders>
              <w:top w:val="single" w:sz="4" w:space="0" w:color="auto"/>
              <w:left w:val="nil"/>
              <w:bottom w:val="single" w:sz="4" w:space="0" w:color="auto"/>
              <w:right w:val="nil"/>
            </w:tcBorders>
            <w:vAlign w:val="center"/>
          </w:tcPr>
          <w:p w14:paraId="48082314" w14:textId="11512FF0" w:rsidR="00C34BF6" w:rsidRPr="00533364" w:rsidRDefault="002758B5" w:rsidP="00C34BF6">
            <w:pPr>
              <w:ind w:right="76"/>
              <w:jc w:val="right"/>
              <w:rPr>
                <w:rFonts w:eastAsia="Arial Unicode MS"/>
                <w:sz w:val="22"/>
                <w:szCs w:val="22"/>
              </w:rPr>
            </w:pPr>
            <w:r>
              <w:rPr>
                <w:rFonts w:eastAsia="Arial Unicode MS"/>
                <w:sz w:val="22"/>
                <w:szCs w:val="22"/>
              </w:rPr>
              <w:t>543,447</w:t>
            </w:r>
          </w:p>
        </w:tc>
      </w:tr>
      <w:tr w:rsidR="00C34BF6" w:rsidRPr="00533364" w14:paraId="6D150A5E"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782EE2DF" w14:textId="77777777" w:rsidR="00C34BF6" w:rsidRPr="00533364" w:rsidRDefault="00C34BF6" w:rsidP="00C34BF6">
            <w:pPr>
              <w:rPr>
                <w:rFonts w:eastAsia="Arial Unicode MS"/>
                <w:sz w:val="22"/>
                <w:szCs w:val="22"/>
              </w:rPr>
            </w:pPr>
          </w:p>
        </w:tc>
        <w:tc>
          <w:tcPr>
            <w:tcW w:w="752" w:type="pct"/>
            <w:tcBorders>
              <w:top w:val="nil"/>
              <w:left w:val="nil"/>
              <w:bottom w:val="nil"/>
              <w:right w:val="nil"/>
            </w:tcBorders>
            <w:noWrap/>
            <w:tcMar>
              <w:top w:w="15" w:type="dxa"/>
              <w:left w:w="15" w:type="dxa"/>
              <w:bottom w:w="0" w:type="dxa"/>
              <w:right w:w="15" w:type="dxa"/>
            </w:tcMar>
            <w:vAlign w:val="bottom"/>
          </w:tcPr>
          <w:p w14:paraId="39C28C1C" w14:textId="77777777" w:rsidR="00C34BF6" w:rsidRPr="00533364" w:rsidRDefault="00C34BF6" w:rsidP="00C34BF6">
            <w:pPr>
              <w:jc w:val="right"/>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7785D4D4" w14:textId="77777777" w:rsidR="00C34BF6" w:rsidRPr="00533364" w:rsidRDefault="00C34BF6" w:rsidP="00C34BF6">
            <w:pPr>
              <w:ind w:right="76"/>
              <w:jc w:val="right"/>
              <w:rPr>
                <w:rFonts w:eastAsia="Arial Unicode MS"/>
                <w:sz w:val="22"/>
                <w:szCs w:val="22"/>
              </w:rPr>
            </w:pPr>
          </w:p>
        </w:tc>
        <w:tc>
          <w:tcPr>
            <w:tcW w:w="756" w:type="pct"/>
            <w:tcBorders>
              <w:top w:val="nil"/>
              <w:left w:val="nil"/>
              <w:bottom w:val="nil"/>
              <w:right w:val="nil"/>
            </w:tcBorders>
            <w:vAlign w:val="center"/>
          </w:tcPr>
          <w:p w14:paraId="6442ADDE" w14:textId="77777777" w:rsidR="00C34BF6" w:rsidRPr="00533364" w:rsidRDefault="00C34BF6" w:rsidP="00C34BF6">
            <w:pPr>
              <w:ind w:right="76"/>
              <w:jc w:val="right"/>
              <w:rPr>
                <w:rFonts w:eastAsia="Arial Unicode MS"/>
                <w:sz w:val="22"/>
                <w:szCs w:val="22"/>
              </w:rPr>
            </w:pPr>
          </w:p>
        </w:tc>
      </w:tr>
      <w:tr w:rsidR="00C34BF6" w:rsidRPr="00533364" w14:paraId="7EBD5CA1"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5B3BA77E" w14:textId="066852E0" w:rsidR="00C34BF6" w:rsidRPr="00533364" w:rsidRDefault="00C34BF6" w:rsidP="00C34BF6">
            <w:pPr>
              <w:rPr>
                <w:rFonts w:eastAsia="Arial Unicode MS"/>
                <w:b/>
                <w:bCs/>
                <w:sz w:val="22"/>
                <w:szCs w:val="22"/>
              </w:rPr>
            </w:pPr>
            <w:r w:rsidRPr="00533364">
              <w:rPr>
                <w:b/>
                <w:bCs/>
                <w:sz w:val="22"/>
                <w:szCs w:val="22"/>
              </w:rPr>
              <w:t xml:space="preserve">Net </w:t>
            </w:r>
            <w:r w:rsidR="002758B5">
              <w:rPr>
                <w:b/>
                <w:bCs/>
                <w:sz w:val="22"/>
                <w:szCs w:val="22"/>
              </w:rPr>
              <w:t>(decrease)/</w:t>
            </w:r>
            <w:r w:rsidRPr="00533364">
              <w:rPr>
                <w:b/>
                <w:bCs/>
                <w:sz w:val="22"/>
                <w:szCs w:val="22"/>
              </w:rPr>
              <w:t>increase in cash and cash equivalents</w:t>
            </w:r>
          </w:p>
        </w:tc>
        <w:tc>
          <w:tcPr>
            <w:tcW w:w="752" w:type="pct"/>
            <w:tcBorders>
              <w:top w:val="nil"/>
              <w:left w:val="nil"/>
              <w:bottom w:val="nil"/>
              <w:right w:val="nil"/>
            </w:tcBorders>
            <w:noWrap/>
            <w:tcMar>
              <w:top w:w="15" w:type="dxa"/>
              <w:left w:w="15" w:type="dxa"/>
              <w:bottom w:w="0" w:type="dxa"/>
              <w:right w:w="15" w:type="dxa"/>
            </w:tcMar>
            <w:vAlign w:val="bottom"/>
          </w:tcPr>
          <w:p w14:paraId="1A95639E" w14:textId="77777777" w:rsidR="00C34BF6" w:rsidRPr="00533364" w:rsidRDefault="00C34BF6"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701B6BE1" w14:textId="0080FA10" w:rsidR="00C34BF6" w:rsidRPr="00533364" w:rsidRDefault="002758B5" w:rsidP="00C34BF6">
            <w:pPr>
              <w:ind w:right="76"/>
              <w:jc w:val="right"/>
              <w:rPr>
                <w:rFonts w:eastAsia="Arial Unicode MS"/>
                <w:sz w:val="22"/>
                <w:szCs w:val="22"/>
              </w:rPr>
            </w:pPr>
            <w:r>
              <w:rPr>
                <w:rFonts w:eastAsia="Arial Unicode MS"/>
                <w:sz w:val="22"/>
                <w:szCs w:val="22"/>
              </w:rPr>
              <w:t>(75,303)</w:t>
            </w:r>
          </w:p>
        </w:tc>
        <w:tc>
          <w:tcPr>
            <w:tcW w:w="756" w:type="pct"/>
            <w:tcBorders>
              <w:top w:val="nil"/>
              <w:left w:val="nil"/>
              <w:bottom w:val="nil"/>
              <w:right w:val="nil"/>
            </w:tcBorders>
            <w:vAlign w:val="center"/>
          </w:tcPr>
          <w:p w14:paraId="67067B84" w14:textId="3606CF8D" w:rsidR="00C34BF6" w:rsidRPr="00533364" w:rsidRDefault="002758B5" w:rsidP="00C34BF6">
            <w:pPr>
              <w:ind w:right="76"/>
              <w:jc w:val="right"/>
              <w:rPr>
                <w:rFonts w:eastAsia="Arial Unicode MS"/>
                <w:sz w:val="22"/>
                <w:szCs w:val="22"/>
              </w:rPr>
            </w:pPr>
            <w:r>
              <w:rPr>
                <w:rFonts w:eastAsia="Arial Unicode MS"/>
                <w:sz w:val="22"/>
                <w:szCs w:val="22"/>
              </w:rPr>
              <w:t>115,059</w:t>
            </w:r>
          </w:p>
        </w:tc>
      </w:tr>
      <w:tr w:rsidR="00C34BF6" w:rsidRPr="00533364" w14:paraId="5E11DFE5" w14:textId="77777777" w:rsidTr="00AB2EA5">
        <w:trPr>
          <w:trHeight w:val="315"/>
        </w:trPr>
        <w:tc>
          <w:tcPr>
            <w:tcW w:w="2521" w:type="pct"/>
            <w:tcBorders>
              <w:top w:val="nil"/>
              <w:left w:val="nil"/>
              <w:bottom w:val="nil"/>
              <w:right w:val="nil"/>
            </w:tcBorders>
            <w:noWrap/>
            <w:tcMar>
              <w:top w:w="15" w:type="dxa"/>
              <w:left w:w="15" w:type="dxa"/>
              <w:bottom w:w="0" w:type="dxa"/>
              <w:right w:w="15" w:type="dxa"/>
            </w:tcMar>
            <w:vAlign w:val="bottom"/>
          </w:tcPr>
          <w:p w14:paraId="419778FC" w14:textId="77777777" w:rsidR="00C34BF6" w:rsidRPr="00533364" w:rsidRDefault="00C34BF6" w:rsidP="00C34BF6">
            <w:pPr>
              <w:rPr>
                <w:rFonts w:eastAsia="Arial Unicode MS"/>
                <w:sz w:val="22"/>
                <w:szCs w:val="22"/>
              </w:rPr>
            </w:pPr>
            <w:r w:rsidRPr="00533364">
              <w:rPr>
                <w:sz w:val="22"/>
                <w:szCs w:val="22"/>
              </w:rPr>
              <w:t>Cash and cash equivalents at beginning of period</w:t>
            </w:r>
          </w:p>
        </w:tc>
        <w:tc>
          <w:tcPr>
            <w:tcW w:w="752" w:type="pct"/>
            <w:tcBorders>
              <w:top w:val="nil"/>
              <w:left w:val="nil"/>
              <w:bottom w:val="nil"/>
              <w:right w:val="nil"/>
            </w:tcBorders>
            <w:noWrap/>
            <w:tcMar>
              <w:top w:w="15" w:type="dxa"/>
              <w:left w:w="15" w:type="dxa"/>
              <w:bottom w:w="0" w:type="dxa"/>
              <w:right w:w="15" w:type="dxa"/>
            </w:tcMar>
            <w:vAlign w:val="bottom"/>
          </w:tcPr>
          <w:p w14:paraId="6B0935FC" w14:textId="77777777" w:rsidR="00C34BF6" w:rsidRPr="00533364" w:rsidRDefault="00C34BF6" w:rsidP="00C34BF6">
            <w:pPr>
              <w:rPr>
                <w:rFonts w:eastAsia="Arial Unicode MS"/>
                <w:sz w:val="22"/>
                <w:szCs w:val="22"/>
              </w:rPr>
            </w:pPr>
          </w:p>
        </w:tc>
        <w:tc>
          <w:tcPr>
            <w:tcW w:w="971" w:type="pct"/>
            <w:tcBorders>
              <w:top w:val="nil"/>
              <w:left w:val="nil"/>
              <w:bottom w:val="nil"/>
              <w:right w:val="nil"/>
            </w:tcBorders>
            <w:noWrap/>
            <w:tcMar>
              <w:top w:w="15" w:type="dxa"/>
              <w:left w:w="15" w:type="dxa"/>
              <w:bottom w:w="0" w:type="dxa"/>
              <w:right w:w="15" w:type="dxa"/>
            </w:tcMar>
            <w:vAlign w:val="center"/>
          </w:tcPr>
          <w:p w14:paraId="5B68E79A" w14:textId="6F05D99A" w:rsidR="00C34BF6" w:rsidRPr="00533364" w:rsidRDefault="002758B5" w:rsidP="00C34BF6">
            <w:pPr>
              <w:ind w:right="76"/>
              <w:jc w:val="right"/>
              <w:rPr>
                <w:rFonts w:eastAsia="Arial Unicode MS"/>
                <w:sz w:val="22"/>
                <w:szCs w:val="22"/>
              </w:rPr>
            </w:pPr>
            <w:r>
              <w:rPr>
                <w:rFonts w:eastAsia="Arial Unicode MS"/>
                <w:sz w:val="22"/>
                <w:szCs w:val="22"/>
              </w:rPr>
              <w:t>138,905</w:t>
            </w:r>
          </w:p>
        </w:tc>
        <w:tc>
          <w:tcPr>
            <w:tcW w:w="756" w:type="pct"/>
            <w:tcBorders>
              <w:top w:val="nil"/>
              <w:left w:val="nil"/>
              <w:bottom w:val="nil"/>
              <w:right w:val="nil"/>
            </w:tcBorders>
            <w:vAlign w:val="center"/>
          </w:tcPr>
          <w:p w14:paraId="6289DDE1" w14:textId="3E5537BA" w:rsidR="00C34BF6" w:rsidRPr="00533364" w:rsidRDefault="002758B5" w:rsidP="00C34BF6">
            <w:pPr>
              <w:ind w:right="76"/>
              <w:jc w:val="right"/>
              <w:rPr>
                <w:rFonts w:eastAsia="Arial Unicode MS"/>
                <w:sz w:val="22"/>
                <w:szCs w:val="22"/>
              </w:rPr>
            </w:pPr>
            <w:r>
              <w:rPr>
                <w:rFonts w:eastAsia="Arial Unicode MS"/>
                <w:sz w:val="22"/>
                <w:szCs w:val="22"/>
              </w:rPr>
              <w:t>23,846</w:t>
            </w:r>
          </w:p>
        </w:tc>
      </w:tr>
      <w:tr w:rsidR="00C34BF6" w:rsidRPr="00C40661" w14:paraId="495F6E3F" w14:textId="77777777" w:rsidTr="00AB2EA5">
        <w:trPr>
          <w:trHeight w:val="330"/>
        </w:trPr>
        <w:tc>
          <w:tcPr>
            <w:tcW w:w="2521" w:type="pct"/>
            <w:tcBorders>
              <w:top w:val="nil"/>
              <w:left w:val="nil"/>
              <w:bottom w:val="nil"/>
              <w:right w:val="nil"/>
            </w:tcBorders>
            <w:noWrap/>
            <w:tcMar>
              <w:top w:w="15" w:type="dxa"/>
              <w:left w:w="15" w:type="dxa"/>
              <w:bottom w:w="0" w:type="dxa"/>
              <w:right w:w="15" w:type="dxa"/>
            </w:tcMar>
            <w:vAlign w:val="bottom"/>
          </w:tcPr>
          <w:p w14:paraId="6EC74841" w14:textId="77777777" w:rsidR="00C34BF6" w:rsidRPr="00533364" w:rsidRDefault="00C34BF6" w:rsidP="00C34BF6">
            <w:pPr>
              <w:rPr>
                <w:rFonts w:eastAsia="Arial Unicode MS"/>
                <w:b/>
                <w:bCs/>
                <w:sz w:val="22"/>
                <w:szCs w:val="22"/>
              </w:rPr>
            </w:pPr>
            <w:r w:rsidRPr="00533364">
              <w:rPr>
                <w:b/>
                <w:bCs/>
                <w:sz w:val="22"/>
                <w:szCs w:val="22"/>
              </w:rPr>
              <w:t>Cash and cash equivalents at end of year</w:t>
            </w:r>
          </w:p>
        </w:tc>
        <w:tc>
          <w:tcPr>
            <w:tcW w:w="752" w:type="pct"/>
            <w:tcBorders>
              <w:top w:val="nil"/>
              <w:left w:val="nil"/>
              <w:bottom w:val="nil"/>
              <w:right w:val="nil"/>
            </w:tcBorders>
            <w:noWrap/>
            <w:tcMar>
              <w:top w:w="15" w:type="dxa"/>
              <w:left w:w="15" w:type="dxa"/>
              <w:bottom w:w="0" w:type="dxa"/>
              <w:right w:w="15" w:type="dxa"/>
            </w:tcMar>
            <w:vAlign w:val="bottom"/>
          </w:tcPr>
          <w:p w14:paraId="6E2BCD50" w14:textId="714ACAE8" w:rsidR="00C34BF6" w:rsidRPr="00533364" w:rsidRDefault="00533364" w:rsidP="00C34BF6">
            <w:pPr>
              <w:jc w:val="center"/>
              <w:rPr>
                <w:rFonts w:eastAsia="Arial Unicode MS"/>
                <w:b/>
                <w:bCs/>
                <w:sz w:val="22"/>
                <w:szCs w:val="22"/>
              </w:rPr>
            </w:pPr>
            <w:r w:rsidRPr="00533364">
              <w:rPr>
                <w:b/>
                <w:bCs/>
                <w:sz w:val="22"/>
                <w:szCs w:val="22"/>
              </w:rPr>
              <w:t>1</w:t>
            </w:r>
            <w:r w:rsidR="00613836">
              <w:rPr>
                <w:b/>
                <w:bCs/>
                <w:sz w:val="22"/>
                <w:szCs w:val="22"/>
              </w:rPr>
              <w:t>1</w:t>
            </w:r>
          </w:p>
        </w:tc>
        <w:tc>
          <w:tcPr>
            <w:tcW w:w="971" w:type="pct"/>
            <w:tcBorders>
              <w:top w:val="single" w:sz="4" w:space="0" w:color="auto"/>
              <w:left w:val="nil"/>
              <w:bottom w:val="double" w:sz="6" w:space="0" w:color="auto"/>
              <w:right w:val="nil"/>
            </w:tcBorders>
            <w:noWrap/>
            <w:tcMar>
              <w:top w:w="15" w:type="dxa"/>
              <w:left w:w="15" w:type="dxa"/>
              <w:bottom w:w="0" w:type="dxa"/>
              <w:right w:w="15" w:type="dxa"/>
            </w:tcMar>
            <w:vAlign w:val="center"/>
          </w:tcPr>
          <w:p w14:paraId="21705EE4" w14:textId="0DA86CB8" w:rsidR="00C34BF6" w:rsidRPr="00533364" w:rsidRDefault="002758B5" w:rsidP="00C34BF6">
            <w:pPr>
              <w:ind w:right="76"/>
              <w:jc w:val="right"/>
              <w:rPr>
                <w:rFonts w:eastAsia="Arial Unicode MS"/>
                <w:sz w:val="22"/>
                <w:szCs w:val="22"/>
              </w:rPr>
            </w:pPr>
            <w:r>
              <w:rPr>
                <w:rFonts w:eastAsia="Arial Unicode MS"/>
                <w:sz w:val="22"/>
                <w:szCs w:val="22"/>
              </w:rPr>
              <w:t>63,602</w:t>
            </w:r>
          </w:p>
        </w:tc>
        <w:tc>
          <w:tcPr>
            <w:tcW w:w="756" w:type="pct"/>
            <w:tcBorders>
              <w:top w:val="single" w:sz="4" w:space="0" w:color="auto"/>
              <w:left w:val="nil"/>
              <w:bottom w:val="double" w:sz="6" w:space="0" w:color="auto"/>
              <w:right w:val="nil"/>
            </w:tcBorders>
            <w:vAlign w:val="center"/>
          </w:tcPr>
          <w:p w14:paraId="6EF508CC" w14:textId="6647BCCD" w:rsidR="00C34BF6" w:rsidRPr="00C40661" w:rsidRDefault="002758B5" w:rsidP="00C34BF6">
            <w:pPr>
              <w:ind w:right="76"/>
              <w:jc w:val="right"/>
              <w:rPr>
                <w:rFonts w:eastAsia="Arial Unicode MS"/>
                <w:sz w:val="22"/>
                <w:szCs w:val="22"/>
              </w:rPr>
            </w:pPr>
            <w:r>
              <w:rPr>
                <w:rFonts w:eastAsia="Arial Unicode MS"/>
                <w:sz w:val="22"/>
                <w:szCs w:val="22"/>
              </w:rPr>
              <w:t>138,905</w:t>
            </w:r>
          </w:p>
        </w:tc>
      </w:tr>
    </w:tbl>
    <w:p w14:paraId="6D1555B4" w14:textId="77777777" w:rsidR="007623F0" w:rsidRPr="00C40661" w:rsidRDefault="007623F0">
      <w:pPr>
        <w:ind w:left="-90"/>
        <w:jc w:val="both"/>
        <w:rPr>
          <w:sz w:val="22"/>
          <w:szCs w:val="22"/>
        </w:rPr>
      </w:pPr>
    </w:p>
    <w:p w14:paraId="6685CD07" w14:textId="77777777" w:rsidR="007623F0" w:rsidRPr="00C40661" w:rsidRDefault="007623F0">
      <w:pPr>
        <w:ind w:left="-90"/>
        <w:jc w:val="both"/>
        <w:rPr>
          <w:sz w:val="22"/>
          <w:szCs w:val="22"/>
        </w:rPr>
      </w:pPr>
    </w:p>
    <w:p w14:paraId="1C856838" w14:textId="77777777" w:rsidR="00DD62C6" w:rsidRDefault="00DD62C6" w:rsidP="00DD62C6">
      <w:pPr>
        <w:rPr>
          <w:sz w:val="22"/>
          <w:szCs w:val="22"/>
        </w:rPr>
      </w:pPr>
    </w:p>
    <w:p w14:paraId="36178273" w14:textId="4694B262" w:rsidR="007623F0" w:rsidRPr="00C40661" w:rsidRDefault="007623F0" w:rsidP="00DD62C6">
      <w:pPr>
        <w:rPr>
          <w:b/>
        </w:rPr>
      </w:pPr>
      <w:r>
        <w:br w:type="page"/>
      </w:r>
    </w:p>
    <w:p w14:paraId="6F86CA35" w14:textId="77777777" w:rsidR="001E3BD1" w:rsidRDefault="001E3BD1">
      <w:pPr>
        <w:ind w:left="567"/>
        <w:jc w:val="center"/>
        <w:rPr>
          <w:b/>
          <w:sz w:val="32"/>
          <w:szCs w:val="32"/>
        </w:rPr>
        <w:sectPr w:rsidR="001E3BD1" w:rsidSect="002E4AA5">
          <w:headerReference w:type="first" r:id="rId31"/>
          <w:pgSz w:w="11909" w:h="16834" w:code="9"/>
          <w:pgMar w:top="567" w:right="936" w:bottom="720" w:left="936" w:header="706" w:footer="706" w:gutter="0"/>
          <w:cols w:space="720"/>
          <w:titlePg/>
        </w:sectPr>
      </w:pPr>
    </w:p>
    <w:p w14:paraId="0097172C" w14:textId="5FFB86B3" w:rsidR="006A198A" w:rsidRPr="00C40661" w:rsidRDefault="006A198A" w:rsidP="006A198A">
      <w:pPr>
        <w:pStyle w:val="Heading2"/>
        <w:rPr>
          <w:sz w:val="22"/>
          <w:szCs w:val="22"/>
        </w:rPr>
      </w:pPr>
      <w:r>
        <w:rPr>
          <w:sz w:val="22"/>
          <w:szCs w:val="22"/>
        </w:rPr>
        <w:t>NOTES TO THE FINANCIAL STATEMENTS</w:t>
      </w:r>
    </w:p>
    <w:p w14:paraId="57D0AE19" w14:textId="77777777" w:rsidR="006A198A" w:rsidRDefault="006A198A">
      <w:pPr>
        <w:pStyle w:val="Heading8"/>
        <w:rPr>
          <w:sz w:val="22"/>
          <w:szCs w:val="22"/>
        </w:rPr>
      </w:pPr>
    </w:p>
    <w:p w14:paraId="1C135466" w14:textId="1F4B5653" w:rsidR="007623F0" w:rsidRPr="00C40661" w:rsidRDefault="007623F0">
      <w:pPr>
        <w:pStyle w:val="Heading8"/>
        <w:rPr>
          <w:sz w:val="22"/>
          <w:szCs w:val="22"/>
        </w:rPr>
      </w:pPr>
      <w:r w:rsidRPr="00C40661">
        <w:rPr>
          <w:sz w:val="22"/>
          <w:szCs w:val="22"/>
        </w:rPr>
        <w:t>1.</w:t>
      </w:r>
      <w:r w:rsidRPr="00C40661">
        <w:rPr>
          <w:sz w:val="22"/>
          <w:szCs w:val="22"/>
        </w:rPr>
        <w:tab/>
        <w:t>ACCOUNTING POLICIES AND BASIS OF PREPARATION</w:t>
      </w:r>
    </w:p>
    <w:p w14:paraId="430CFCAF" w14:textId="77777777" w:rsidR="009A1EF7" w:rsidRDefault="009A1EF7" w:rsidP="009A1EF7">
      <w:pPr>
        <w:widowControl w:val="0"/>
        <w:tabs>
          <w:tab w:val="left" w:pos="725"/>
        </w:tabs>
        <w:overflowPunct/>
        <w:autoSpaceDE/>
        <w:autoSpaceDN/>
        <w:adjustRightInd/>
        <w:spacing w:before="75"/>
        <w:jc w:val="both"/>
        <w:textAlignment w:val="auto"/>
        <w:rPr>
          <w:sz w:val="22"/>
          <w:szCs w:val="22"/>
        </w:rPr>
      </w:pPr>
    </w:p>
    <w:p w14:paraId="5FA3393E" w14:textId="0F22BF2E" w:rsidR="00AF47D2" w:rsidRPr="009A1EF7" w:rsidRDefault="00AF47D2" w:rsidP="009A1EF7">
      <w:pPr>
        <w:widowControl w:val="0"/>
        <w:tabs>
          <w:tab w:val="left" w:pos="725"/>
        </w:tabs>
        <w:overflowPunct/>
        <w:autoSpaceDE/>
        <w:autoSpaceDN/>
        <w:adjustRightInd/>
        <w:spacing w:before="75"/>
        <w:jc w:val="both"/>
        <w:textAlignment w:val="auto"/>
        <w:rPr>
          <w:rFonts w:eastAsia="Arial"/>
          <w:sz w:val="22"/>
          <w:szCs w:val="22"/>
          <w:lang w:val="en-US"/>
        </w:rPr>
      </w:pPr>
      <w:r w:rsidRPr="009A1EF7">
        <w:rPr>
          <w:rFonts w:eastAsia="Calibri"/>
          <w:b/>
          <w:color w:val="231F20"/>
          <w:spacing w:val="-2"/>
          <w:sz w:val="22"/>
          <w:szCs w:val="22"/>
          <w:lang w:val="en-US"/>
        </w:rPr>
        <w:t>General</w:t>
      </w:r>
      <w:r w:rsidRPr="009A1EF7">
        <w:rPr>
          <w:rFonts w:eastAsia="Calibri"/>
          <w:b/>
          <w:color w:val="231F20"/>
          <w:spacing w:val="5"/>
          <w:sz w:val="22"/>
          <w:szCs w:val="22"/>
          <w:lang w:val="en-US"/>
        </w:rPr>
        <w:t xml:space="preserve"> </w:t>
      </w:r>
      <w:r w:rsidRPr="009A1EF7">
        <w:rPr>
          <w:rFonts w:eastAsia="Calibri"/>
          <w:b/>
          <w:color w:val="231F20"/>
          <w:spacing w:val="-1"/>
          <w:sz w:val="22"/>
          <w:szCs w:val="22"/>
          <w:lang w:val="en-US"/>
        </w:rPr>
        <w:t>information</w:t>
      </w:r>
    </w:p>
    <w:p w14:paraId="13D7E0EF" w14:textId="5075460F"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The Company is a public company limited by shares which is incorporated in England. The registered office of the Company is 1 Ely Place</w:t>
      </w:r>
      <w:r w:rsidR="007D061B">
        <w:rPr>
          <w:rFonts w:eastAsia="Arial"/>
          <w:color w:val="231F20"/>
          <w:sz w:val="22"/>
          <w:szCs w:val="22"/>
          <w:lang w:val="en-US"/>
        </w:rPr>
        <w:t>,</w:t>
      </w:r>
      <w:r w:rsidRPr="00AC2DE9">
        <w:rPr>
          <w:rFonts w:eastAsia="Arial"/>
          <w:color w:val="231F20"/>
          <w:sz w:val="22"/>
          <w:szCs w:val="22"/>
          <w:lang w:val="en-US"/>
        </w:rPr>
        <w:t xml:space="preserve"> London EC1N 6RY, United Kingdom. The registered number of the Company is 05714562.</w:t>
      </w:r>
    </w:p>
    <w:p w14:paraId="476613BD" w14:textId="77777777" w:rsidR="009512FE" w:rsidRPr="009A1EF7" w:rsidRDefault="009512FE" w:rsidP="009A1EF7"/>
    <w:p w14:paraId="5BDCE965" w14:textId="5F4CEFFF" w:rsidR="00AF47D2" w:rsidRDefault="00AF47D2" w:rsidP="009A1EF7">
      <w:pPr>
        <w:widowControl w:val="0"/>
        <w:tabs>
          <w:tab w:val="left" w:pos="725"/>
        </w:tabs>
        <w:overflowPunct/>
        <w:autoSpaceDE/>
        <w:autoSpaceDN/>
        <w:adjustRightInd/>
        <w:spacing w:before="75"/>
        <w:jc w:val="both"/>
        <w:textAlignment w:val="auto"/>
        <w:rPr>
          <w:rFonts w:eastAsia="Calibri"/>
          <w:b/>
          <w:color w:val="231F20"/>
          <w:spacing w:val="5"/>
          <w:sz w:val="22"/>
          <w:szCs w:val="22"/>
          <w:lang w:val="en-US"/>
        </w:rPr>
      </w:pPr>
      <w:r w:rsidRPr="009A1EF7">
        <w:rPr>
          <w:rFonts w:eastAsia="Calibri"/>
          <w:b/>
          <w:color w:val="231F20"/>
          <w:spacing w:val="5"/>
          <w:sz w:val="22"/>
          <w:szCs w:val="22"/>
          <w:lang w:val="en-US"/>
        </w:rPr>
        <w:t>Statement of compliance</w:t>
      </w:r>
    </w:p>
    <w:p w14:paraId="44F2A6DA" w14:textId="58777971"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 xml:space="preserve">The Historical Financial Information has been prepared in accordance with IFRS, including </w:t>
      </w:r>
      <w:bookmarkStart w:id="12" w:name="_Hlk12351285"/>
      <w:r w:rsidRPr="00AC2DE9">
        <w:rPr>
          <w:rFonts w:eastAsia="Arial"/>
          <w:color w:val="231F20"/>
          <w:sz w:val="22"/>
          <w:szCs w:val="22"/>
          <w:lang w:val="en-US"/>
        </w:rPr>
        <w:t>interpretations made</w:t>
      </w:r>
      <w:bookmarkEnd w:id="12"/>
      <w:r w:rsidRPr="00AC2DE9">
        <w:rPr>
          <w:rFonts w:eastAsia="Arial"/>
          <w:color w:val="231F20"/>
          <w:sz w:val="22"/>
          <w:szCs w:val="22"/>
          <w:lang w:val="en-US"/>
        </w:rPr>
        <w:t xml:space="preserve"> by the International Financial Reporting Interpretations Committee (IFRIC) as adopted by </w:t>
      </w:r>
      <w:r w:rsidR="00916D64">
        <w:rPr>
          <w:rFonts w:eastAsia="Arial"/>
          <w:color w:val="231F20"/>
          <w:sz w:val="22"/>
          <w:szCs w:val="22"/>
          <w:lang w:val="en-US"/>
        </w:rPr>
        <w:t xml:space="preserve">the </w:t>
      </w:r>
      <w:r w:rsidRPr="00AC2DE9">
        <w:rPr>
          <w:rFonts w:eastAsia="Arial"/>
          <w:color w:val="231F20"/>
          <w:sz w:val="22"/>
          <w:szCs w:val="22"/>
          <w:lang w:val="en-US"/>
        </w:rPr>
        <w:t>European Union issued by the International Accounting Standards Board (IASB). The standards have been applied consistently.</w:t>
      </w:r>
    </w:p>
    <w:p w14:paraId="2BF7C6E6" w14:textId="1620C9EF"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The Historical Financial Information is presented in pounds sterling.</w:t>
      </w:r>
    </w:p>
    <w:p w14:paraId="5B9626E4" w14:textId="77777777" w:rsidR="00AF47D2" w:rsidRPr="009A1EF7" w:rsidRDefault="00AF47D2" w:rsidP="00AC2DE9">
      <w:pPr>
        <w:rPr>
          <w:b/>
          <w:sz w:val="22"/>
          <w:szCs w:val="22"/>
        </w:rPr>
      </w:pPr>
    </w:p>
    <w:p w14:paraId="2A5EE1A8" w14:textId="77777777" w:rsidR="00AF47D2" w:rsidRPr="00920DB6" w:rsidRDefault="00AF47D2" w:rsidP="009A1EF7">
      <w:pPr>
        <w:widowControl w:val="0"/>
        <w:tabs>
          <w:tab w:val="left" w:pos="725"/>
        </w:tabs>
        <w:overflowPunct/>
        <w:autoSpaceDE/>
        <w:autoSpaceDN/>
        <w:adjustRightInd/>
        <w:spacing w:before="75"/>
        <w:jc w:val="both"/>
        <w:textAlignment w:val="auto"/>
        <w:rPr>
          <w:rFonts w:eastAsia="Calibri"/>
          <w:b/>
          <w:color w:val="231F20"/>
          <w:spacing w:val="-2"/>
          <w:sz w:val="22"/>
          <w:szCs w:val="22"/>
          <w:lang w:val="en-US"/>
        </w:rPr>
      </w:pPr>
      <w:r w:rsidRPr="00920DB6">
        <w:rPr>
          <w:rFonts w:eastAsia="Calibri"/>
          <w:b/>
          <w:color w:val="231F20"/>
          <w:spacing w:val="-2"/>
          <w:sz w:val="22"/>
          <w:szCs w:val="22"/>
          <w:lang w:val="en-US"/>
        </w:rPr>
        <w:t>Accounting policies</w:t>
      </w:r>
    </w:p>
    <w:p w14:paraId="1503A1EE" w14:textId="77777777" w:rsidR="00AF47D2" w:rsidRPr="007D15C4" w:rsidRDefault="00AF47D2" w:rsidP="009A1EF7">
      <w:pPr>
        <w:widowControl w:val="0"/>
        <w:spacing w:before="75"/>
        <w:ind w:left="157" w:hanging="157"/>
        <w:jc w:val="both"/>
        <w:rPr>
          <w:rFonts w:eastAsia="Arial"/>
          <w:sz w:val="22"/>
          <w:szCs w:val="22"/>
          <w:lang w:val="en-US"/>
        </w:rPr>
      </w:pPr>
      <w:r w:rsidRPr="007D15C4">
        <w:rPr>
          <w:rFonts w:eastAsia="Calibri"/>
          <w:b/>
          <w:i/>
          <w:color w:val="231F20"/>
          <w:spacing w:val="-1"/>
          <w:sz w:val="22"/>
          <w:szCs w:val="22"/>
          <w:lang w:val="en-US"/>
        </w:rPr>
        <w:t>Basis</w:t>
      </w:r>
      <w:r w:rsidRPr="007D15C4">
        <w:rPr>
          <w:rFonts w:eastAsia="Calibri"/>
          <w:b/>
          <w:i/>
          <w:color w:val="231F20"/>
          <w:spacing w:val="5"/>
          <w:sz w:val="22"/>
          <w:szCs w:val="22"/>
          <w:lang w:val="en-US"/>
        </w:rPr>
        <w:t xml:space="preserve"> </w:t>
      </w:r>
      <w:r w:rsidRPr="007D15C4">
        <w:rPr>
          <w:rFonts w:eastAsia="Calibri"/>
          <w:b/>
          <w:i/>
          <w:color w:val="231F20"/>
          <w:spacing w:val="-1"/>
          <w:sz w:val="22"/>
          <w:szCs w:val="22"/>
          <w:lang w:val="en-US"/>
        </w:rPr>
        <w:t>of</w:t>
      </w:r>
      <w:r w:rsidRPr="007D15C4">
        <w:rPr>
          <w:rFonts w:eastAsia="Calibri"/>
          <w:b/>
          <w:i/>
          <w:color w:val="231F20"/>
          <w:spacing w:val="34"/>
          <w:sz w:val="22"/>
          <w:szCs w:val="22"/>
          <w:lang w:val="en-US"/>
        </w:rPr>
        <w:t xml:space="preserve"> </w:t>
      </w:r>
      <w:r w:rsidRPr="007D15C4">
        <w:rPr>
          <w:rFonts w:eastAsia="Calibri"/>
          <w:b/>
          <w:i/>
          <w:color w:val="231F20"/>
          <w:spacing w:val="-1"/>
          <w:sz w:val="22"/>
          <w:szCs w:val="22"/>
          <w:lang w:val="en-US"/>
        </w:rPr>
        <w:t>preparation</w:t>
      </w:r>
    </w:p>
    <w:p w14:paraId="4767EE45" w14:textId="77777777" w:rsidR="00AF47D2" w:rsidRPr="007D15C4" w:rsidRDefault="00AF47D2" w:rsidP="009A1EF7">
      <w:pPr>
        <w:widowControl w:val="0"/>
        <w:spacing w:before="75"/>
        <w:jc w:val="both"/>
        <w:rPr>
          <w:rFonts w:eastAsia="Arial"/>
          <w:sz w:val="22"/>
          <w:szCs w:val="22"/>
          <w:lang w:val="en-US"/>
        </w:rPr>
      </w:pPr>
      <w:r w:rsidRPr="007D15C4">
        <w:rPr>
          <w:rFonts w:eastAsia="Arial"/>
          <w:color w:val="231F20"/>
          <w:sz w:val="22"/>
          <w:szCs w:val="22"/>
          <w:lang w:val="en-US"/>
        </w:rPr>
        <w:t>The</w:t>
      </w:r>
      <w:r w:rsidRPr="007D15C4">
        <w:rPr>
          <w:rFonts w:eastAsia="Arial"/>
          <w:color w:val="231F20"/>
          <w:spacing w:val="8"/>
          <w:sz w:val="22"/>
          <w:szCs w:val="22"/>
          <w:lang w:val="en-US"/>
        </w:rPr>
        <w:t xml:space="preserve"> </w:t>
      </w:r>
      <w:r w:rsidRPr="007D15C4">
        <w:rPr>
          <w:rFonts w:eastAsia="Arial"/>
          <w:color w:val="231F20"/>
          <w:spacing w:val="-1"/>
          <w:sz w:val="22"/>
          <w:szCs w:val="22"/>
          <w:lang w:val="en-US"/>
        </w:rPr>
        <w:t>Historical</w:t>
      </w:r>
      <w:r w:rsidRPr="007D15C4">
        <w:rPr>
          <w:rFonts w:eastAsia="Arial"/>
          <w:color w:val="231F20"/>
          <w:spacing w:val="10"/>
          <w:sz w:val="22"/>
          <w:szCs w:val="22"/>
          <w:lang w:val="en-US"/>
        </w:rPr>
        <w:t xml:space="preserve"> </w:t>
      </w:r>
      <w:r w:rsidRPr="007D15C4">
        <w:rPr>
          <w:rFonts w:eastAsia="Arial"/>
          <w:color w:val="231F20"/>
          <w:sz w:val="22"/>
          <w:szCs w:val="22"/>
          <w:lang w:val="en-US"/>
        </w:rPr>
        <w:t>Financial</w:t>
      </w:r>
      <w:r w:rsidRPr="007D15C4">
        <w:rPr>
          <w:rFonts w:eastAsia="Arial"/>
          <w:color w:val="231F20"/>
          <w:spacing w:val="9"/>
          <w:sz w:val="22"/>
          <w:szCs w:val="22"/>
          <w:lang w:val="en-US"/>
        </w:rPr>
        <w:t xml:space="preserve"> </w:t>
      </w:r>
      <w:r w:rsidRPr="007D15C4">
        <w:rPr>
          <w:rFonts w:eastAsia="Arial"/>
          <w:color w:val="231F20"/>
          <w:sz w:val="22"/>
          <w:szCs w:val="22"/>
          <w:lang w:val="en-US"/>
        </w:rPr>
        <w:t>Information</w:t>
      </w:r>
      <w:r w:rsidRPr="007D15C4">
        <w:rPr>
          <w:rFonts w:eastAsia="Arial"/>
          <w:color w:val="231F20"/>
          <w:spacing w:val="9"/>
          <w:sz w:val="22"/>
          <w:szCs w:val="22"/>
          <w:lang w:val="en-US"/>
        </w:rPr>
        <w:t xml:space="preserve"> </w:t>
      </w:r>
      <w:r w:rsidRPr="007D15C4">
        <w:rPr>
          <w:rFonts w:eastAsia="Arial"/>
          <w:color w:val="231F20"/>
          <w:spacing w:val="-1"/>
          <w:sz w:val="22"/>
          <w:szCs w:val="22"/>
          <w:lang w:val="en-US"/>
        </w:rPr>
        <w:t>has</w:t>
      </w:r>
      <w:r w:rsidRPr="007D15C4">
        <w:rPr>
          <w:rFonts w:eastAsia="Arial"/>
          <w:color w:val="231F20"/>
          <w:spacing w:val="10"/>
          <w:sz w:val="22"/>
          <w:szCs w:val="22"/>
          <w:lang w:val="en-US"/>
        </w:rPr>
        <w:t xml:space="preserve"> </w:t>
      </w:r>
      <w:r w:rsidRPr="007D15C4">
        <w:rPr>
          <w:rFonts w:eastAsia="Arial"/>
          <w:color w:val="231F20"/>
          <w:spacing w:val="-1"/>
          <w:sz w:val="22"/>
          <w:szCs w:val="22"/>
          <w:lang w:val="en-US"/>
        </w:rPr>
        <w:t>been</w:t>
      </w:r>
      <w:r w:rsidRPr="007D15C4">
        <w:rPr>
          <w:rFonts w:eastAsia="Arial"/>
          <w:color w:val="231F20"/>
          <w:spacing w:val="10"/>
          <w:sz w:val="22"/>
          <w:szCs w:val="22"/>
          <w:lang w:val="en-US"/>
        </w:rPr>
        <w:t xml:space="preserve"> </w:t>
      </w:r>
      <w:r w:rsidRPr="007D15C4">
        <w:rPr>
          <w:rFonts w:eastAsia="Arial"/>
          <w:color w:val="231F20"/>
          <w:spacing w:val="-1"/>
          <w:sz w:val="22"/>
          <w:szCs w:val="22"/>
          <w:lang w:val="en-US"/>
        </w:rPr>
        <w:t>prepared</w:t>
      </w:r>
      <w:r w:rsidRPr="007D15C4">
        <w:rPr>
          <w:rFonts w:eastAsia="Arial"/>
          <w:color w:val="231F20"/>
          <w:spacing w:val="10"/>
          <w:sz w:val="22"/>
          <w:szCs w:val="22"/>
          <w:lang w:val="en-US"/>
        </w:rPr>
        <w:t xml:space="preserve"> </w:t>
      </w:r>
      <w:r w:rsidRPr="007D15C4">
        <w:rPr>
          <w:rFonts w:eastAsia="Arial"/>
          <w:color w:val="231F20"/>
          <w:spacing w:val="-1"/>
          <w:sz w:val="22"/>
          <w:szCs w:val="22"/>
          <w:lang w:val="en-US"/>
        </w:rPr>
        <w:t>on</w:t>
      </w:r>
      <w:r w:rsidRPr="007D15C4">
        <w:rPr>
          <w:rFonts w:eastAsia="Arial"/>
          <w:color w:val="231F20"/>
          <w:spacing w:val="8"/>
          <w:sz w:val="22"/>
          <w:szCs w:val="22"/>
          <w:lang w:val="en-US"/>
        </w:rPr>
        <w:t xml:space="preserve"> </w:t>
      </w:r>
      <w:r w:rsidRPr="007D15C4">
        <w:rPr>
          <w:rFonts w:eastAsia="Arial"/>
          <w:color w:val="231F20"/>
          <w:sz w:val="22"/>
          <w:szCs w:val="22"/>
          <w:lang w:val="en-US"/>
        </w:rPr>
        <w:t>a</w:t>
      </w:r>
      <w:r w:rsidRPr="007D15C4">
        <w:rPr>
          <w:rFonts w:eastAsia="Arial"/>
          <w:color w:val="231F20"/>
          <w:spacing w:val="9"/>
          <w:sz w:val="22"/>
          <w:szCs w:val="22"/>
          <w:lang w:val="en-US"/>
        </w:rPr>
        <w:t xml:space="preserve"> </w:t>
      </w:r>
      <w:r w:rsidRPr="007D15C4">
        <w:rPr>
          <w:rFonts w:eastAsia="Arial"/>
          <w:color w:val="231F20"/>
          <w:spacing w:val="-1"/>
          <w:sz w:val="22"/>
          <w:szCs w:val="22"/>
          <w:lang w:val="en-US"/>
        </w:rPr>
        <w:t>historical</w:t>
      </w:r>
      <w:r w:rsidRPr="007D15C4">
        <w:rPr>
          <w:rFonts w:eastAsia="Arial"/>
          <w:color w:val="231F20"/>
          <w:spacing w:val="10"/>
          <w:sz w:val="22"/>
          <w:szCs w:val="22"/>
          <w:lang w:val="en-US"/>
        </w:rPr>
        <w:t xml:space="preserve"> </w:t>
      </w:r>
      <w:r w:rsidRPr="007D15C4">
        <w:rPr>
          <w:rFonts w:eastAsia="Arial"/>
          <w:color w:val="231F20"/>
          <w:sz w:val="22"/>
          <w:szCs w:val="22"/>
          <w:lang w:val="en-US"/>
        </w:rPr>
        <w:t>cost</w:t>
      </w:r>
      <w:r w:rsidRPr="007D15C4">
        <w:rPr>
          <w:rFonts w:eastAsia="Arial"/>
          <w:color w:val="231F20"/>
          <w:spacing w:val="9"/>
          <w:sz w:val="22"/>
          <w:szCs w:val="22"/>
          <w:lang w:val="en-US"/>
        </w:rPr>
        <w:t xml:space="preserve"> </w:t>
      </w:r>
      <w:r w:rsidRPr="007D15C4">
        <w:rPr>
          <w:rFonts w:eastAsia="Arial"/>
          <w:color w:val="231F20"/>
          <w:spacing w:val="-1"/>
          <w:sz w:val="22"/>
          <w:szCs w:val="22"/>
          <w:lang w:val="en-US"/>
        </w:rPr>
        <w:t>basis,</w:t>
      </w:r>
      <w:r w:rsidRPr="007D15C4">
        <w:rPr>
          <w:rFonts w:eastAsia="Arial"/>
          <w:color w:val="231F20"/>
          <w:spacing w:val="10"/>
          <w:sz w:val="22"/>
          <w:szCs w:val="22"/>
          <w:lang w:val="en-US"/>
        </w:rPr>
        <w:t xml:space="preserve"> </w:t>
      </w:r>
      <w:r w:rsidRPr="007D15C4">
        <w:rPr>
          <w:rFonts w:eastAsia="Arial"/>
          <w:color w:val="231F20"/>
          <w:spacing w:val="-1"/>
          <w:sz w:val="22"/>
          <w:szCs w:val="22"/>
          <w:lang w:val="en-US"/>
        </w:rPr>
        <w:t>as</w:t>
      </w:r>
      <w:r w:rsidRPr="007D15C4">
        <w:rPr>
          <w:rFonts w:eastAsia="Arial"/>
          <w:color w:val="231F20"/>
          <w:spacing w:val="10"/>
          <w:sz w:val="22"/>
          <w:szCs w:val="22"/>
          <w:lang w:val="en-US"/>
        </w:rPr>
        <w:t xml:space="preserve"> </w:t>
      </w:r>
      <w:r w:rsidRPr="007D15C4">
        <w:rPr>
          <w:rFonts w:eastAsia="Arial"/>
          <w:color w:val="231F20"/>
          <w:sz w:val="22"/>
          <w:szCs w:val="22"/>
          <w:lang w:val="en-US"/>
        </w:rPr>
        <w:t>modified</w:t>
      </w:r>
      <w:r w:rsidRPr="007D15C4">
        <w:rPr>
          <w:rFonts w:eastAsia="Arial"/>
          <w:color w:val="231F20"/>
          <w:spacing w:val="9"/>
          <w:sz w:val="22"/>
          <w:szCs w:val="22"/>
          <w:lang w:val="en-US"/>
        </w:rPr>
        <w:t xml:space="preserve"> </w:t>
      </w:r>
      <w:r w:rsidRPr="007D15C4">
        <w:rPr>
          <w:rFonts w:eastAsia="Arial"/>
          <w:color w:val="231F20"/>
          <w:spacing w:val="-1"/>
          <w:sz w:val="22"/>
          <w:szCs w:val="22"/>
          <w:lang w:val="en-US"/>
        </w:rPr>
        <w:t>by</w:t>
      </w:r>
      <w:r w:rsidRPr="007D15C4">
        <w:rPr>
          <w:rFonts w:eastAsia="Arial"/>
          <w:color w:val="231F20"/>
          <w:spacing w:val="28"/>
          <w:sz w:val="22"/>
          <w:szCs w:val="22"/>
          <w:lang w:val="en-US"/>
        </w:rPr>
        <w:t xml:space="preserve"> </w:t>
      </w:r>
      <w:r w:rsidRPr="007D15C4">
        <w:rPr>
          <w:rFonts w:eastAsia="Arial"/>
          <w:color w:val="231F20"/>
          <w:sz w:val="22"/>
          <w:szCs w:val="22"/>
          <w:lang w:val="en-US"/>
        </w:rPr>
        <w:t>the</w:t>
      </w:r>
      <w:r w:rsidRPr="007D15C4">
        <w:rPr>
          <w:rFonts w:eastAsia="Arial"/>
          <w:color w:val="231F20"/>
          <w:spacing w:val="-4"/>
          <w:sz w:val="22"/>
          <w:szCs w:val="22"/>
          <w:lang w:val="en-US"/>
        </w:rPr>
        <w:t xml:space="preserve"> </w:t>
      </w:r>
      <w:r w:rsidRPr="007D15C4">
        <w:rPr>
          <w:rFonts w:eastAsia="Arial"/>
          <w:color w:val="231F20"/>
          <w:sz w:val="22"/>
          <w:szCs w:val="22"/>
          <w:lang w:val="en-US"/>
        </w:rPr>
        <w:t>revaluation</w:t>
      </w:r>
      <w:r w:rsidRPr="007D15C4">
        <w:rPr>
          <w:rFonts w:eastAsia="Arial"/>
          <w:color w:val="231F20"/>
          <w:spacing w:val="-4"/>
          <w:sz w:val="22"/>
          <w:szCs w:val="22"/>
          <w:lang w:val="en-US"/>
        </w:rPr>
        <w:t xml:space="preserve"> </w:t>
      </w:r>
      <w:r w:rsidRPr="007D15C4">
        <w:rPr>
          <w:rFonts w:eastAsia="Arial"/>
          <w:color w:val="231F20"/>
          <w:spacing w:val="-1"/>
          <w:sz w:val="22"/>
          <w:szCs w:val="22"/>
          <w:lang w:val="en-US"/>
        </w:rPr>
        <w:t>of</w:t>
      </w:r>
      <w:r w:rsidRPr="007D15C4">
        <w:rPr>
          <w:rFonts w:eastAsia="Arial"/>
          <w:color w:val="231F20"/>
          <w:spacing w:val="-3"/>
          <w:sz w:val="22"/>
          <w:szCs w:val="22"/>
          <w:lang w:val="en-US"/>
        </w:rPr>
        <w:t xml:space="preserve"> </w:t>
      </w:r>
      <w:r w:rsidRPr="007D15C4">
        <w:rPr>
          <w:rFonts w:eastAsia="Arial"/>
          <w:color w:val="231F20"/>
          <w:sz w:val="22"/>
          <w:szCs w:val="22"/>
          <w:lang w:val="en-US"/>
        </w:rPr>
        <w:t>certain</w:t>
      </w:r>
      <w:r w:rsidRPr="007D15C4">
        <w:rPr>
          <w:rFonts w:eastAsia="Arial"/>
          <w:color w:val="231F20"/>
          <w:spacing w:val="-3"/>
          <w:sz w:val="22"/>
          <w:szCs w:val="22"/>
          <w:lang w:val="en-US"/>
        </w:rPr>
        <w:t xml:space="preserve"> </w:t>
      </w:r>
      <w:r w:rsidRPr="007D15C4">
        <w:rPr>
          <w:rFonts w:eastAsia="Arial"/>
          <w:color w:val="231F20"/>
          <w:sz w:val="22"/>
          <w:szCs w:val="22"/>
          <w:lang w:val="en-US"/>
        </w:rPr>
        <w:t>financial</w:t>
      </w:r>
      <w:r w:rsidRPr="007D15C4">
        <w:rPr>
          <w:rFonts w:eastAsia="Arial"/>
          <w:color w:val="231F20"/>
          <w:spacing w:val="-4"/>
          <w:sz w:val="22"/>
          <w:szCs w:val="22"/>
          <w:lang w:val="en-US"/>
        </w:rPr>
        <w:t xml:space="preserve"> </w:t>
      </w:r>
      <w:r w:rsidRPr="007D15C4">
        <w:rPr>
          <w:rFonts w:eastAsia="Arial"/>
          <w:color w:val="231F20"/>
          <w:spacing w:val="-1"/>
          <w:sz w:val="22"/>
          <w:szCs w:val="22"/>
          <w:lang w:val="en-US"/>
        </w:rPr>
        <w:t>assets</w:t>
      </w:r>
      <w:r w:rsidRPr="007D15C4">
        <w:rPr>
          <w:rFonts w:eastAsia="Arial"/>
          <w:color w:val="231F20"/>
          <w:spacing w:val="-3"/>
          <w:sz w:val="22"/>
          <w:szCs w:val="22"/>
          <w:lang w:val="en-US"/>
        </w:rPr>
        <w:t xml:space="preserve"> </w:t>
      </w:r>
      <w:r w:rsidRPr="007D15C4">
        <w:rPr>
          <w:rFonts w:eastAsia="Arial"/>
          <w:color w:val="231F20"/>
          <w:spacing w:val="-1"/>
          <w:sz w:val="22"/>
          <w:szCs w:val="22"/>
          <w:lang w:val="en-US"/>
        </w:rPr>
        <w:t>and</w:t>
      </w:r>
      <w:r w:rsidRPr="007D15C4">
        <w:rPr>
          <w:rFonts w:eastAsia="Arial"/>
          <w:color w:val="231F20"/>
          <w:spacing w:val="-3"/>
          <w:sz w:val="22"/>
          <w:szCs w:val="22"/>
          <w:lang w:val="en-US"/>
        </w:rPr>
        <w:t xml:space="preserve"> </w:t>
      </w:r>
      <w:r w:rsidRPr="007D15C4">
        <w:rPr>
          <w:rFonts w:eastAsia="Arial"/>
          <w:color w:val="231F20"/>
          <w:spacing w:val="-1"/>
          <w:sz w:val="22"/>
          <w:szCs w:val="22"/>
          <w:lang w:val="en-US"/>
        </w:rPr>
        <w:t>liabilities</w:t>
      </w:r>
      <w:r w:rsidRPr="007D15C4">
        <w:rPr>
          <w:rFonts w:eastAsia="Arial"/>
          <w:color w:val="231F20"/>
          <w:spacing w:val="-4"/>
          <w:sz w:val="22"/>
          <w:szCs w:val="22"/>
          <w:lang w:val="en-US"/>
        </w:rPr>
        <w:t xml:space="preserve"> </w:t>
      </w:r>
      <w:r w:rsidRPr="007D15C4">
        <w:rPr>
          <w:rFonts w:eastAsia="Arial"/>
          <w:color w:val="231F20"/>
          <w:spacing w:val="-1"/>
          <w:sz w:val="22"/>
          <w:szCs w:val="22"/>
          <w:lang w:val="en-US"/>
        </w:rPr>
        <w:t>and</w:t>
      </w:r>
      <w:r w:rsidRPr="007D15C4">
        <w:rPr>
          <w:rFonts w:eastAsia="Arial"/>
          <w:color w:val="231F20"/>
          <w:spacing w:val="-3"/>
          <w:sz w:val="22"/>
          <w:szCs w:val="22"/>
          <w:lang w:val="en-US"/>
        </w:rPr>
        <w:t xml:space="preserve"> </w:t>
      </w:r>
      <w:r w:rsidRPr="007D15C4">
        <w:rPr>
          <w:rFonts w:eastAsia="Arial"/>
          <w:color w:val="231F20"/>
          <w:spacing w:val="-1"/>
          <w:sz w:val="22"/>
          <w:szCs w:val="22"/>
          <w:lang w:val="en-US"/>
        </w:rPr>
        <w:t>investment</w:t>
      </w:r>
      <w:r w:rsidRPr="007D15C4">
        <w:rPr>
          <w:rFonts w:eastAsia="Arial"/>
          <w:color w:val="231F20"/>
          <w:spacing w:val="-3"/>
          <w:sz w:val="22"/>
          <w:szCs w:val="22"/>
          <w:lang w:val="en-US"/>
        </w:rPr>
        <w:t xml:space="preserve"> </w:t>
      </w:r>
      <w:r w:rsidRPr="007D15C4">
        <w:rPr>
          <w:rFonts w:eastAsia="Arial"/>
          <w:color w:val="231F20"/>
          <w:spacing w:val="-1"/>
          <w:sz w:val="22"/>
          <w:szCs w:val="22"/>
          <w:lang w:val="en-US"/>
        </w:rPr>
        <w:t>properties</w:t>
      </w:r>
      <w:r w:rsidRPr="007D15C4">
        <w:rPr>
          <w:rFonts w:eastAsia="Arial"/>
          <w:color w:val="231F20"/>
          <w:spacing w:val="-3"/>
          <w:sz w:val="22"/>
          <w:szCs w:val="22"/>
          <w:lang w:val="en-US"/>
        </w:rPr>
        <w:t xml:space="preserve"> </w:t>
      </w:r>
      <w:r w:rsidRPr="007D15C4">
        <w:rPr>
          <w:rFonts w:eastAsia="Arial"/>
          <w:color w:val="231F20"/>
          <w:sz w:val="22"/>
          <w:szCs w:val="22"/>
          <w:lang w:val="en-US"/>
        </w:rPr>
        <w:t>measured</w:t>
      </w:r>
      <w:r w:rsidRPr="007D15C4">
        <w:rPr>
          <w:rFonts w:eastAsia="Arial"/>
          <w:color w:val="231F20"/>
          <w:spacing w:val="-3"/>
          <w:sz w:val="22"/>
          <w:szCs w:val="22"/>
          <w:lang w:val="en-US"/>
        </w:rPr>
        <w:t xml:space="preserve"> </w:t>
      </w:r>
      <w:r w:rsidRPr="007D15C4">
        <w:rPr>
          <w:rFonts w:eastAsia="Arial"/>
          <w:color w:val="231F20"/>
          <w:spacing w:val="-1"/>
          <w:sz w:val="22"/>
          <w:szCs w:val="22"/>
          <w:lang w:val="en-US"/>
        </w:rPr>
        <w:t>at</w:t>
      </w:r>
      <w:r w:rsidRPr="007D15C4">
        <w:rPr>
          <w:rFonts w:eastAsia="Arial"/>
          <w:color w:val="231F20"/>
          <w:spacing w:val="-3"/>
          <w:sz w:val="22"/>
          <w:szCs w:val="22"/>
          <w:lang w:val="en-US"/>
        </w:rPr>
        <w:t xml:space="preserve"> </w:t>
      </w:r>
      <w:r w:rsidRPr="007D15C4">
        <w:rPr>
          <w:rFonts w:eastAsia="Arial"/>
          <w:color w:val="231F20"/>
          <w:sz w:val="22"/>
          <w:szCs w:val="22"/>
          <w:lang w:val="en-US"/>
        </w:rPr>
        <w:t>fair</w:t>
      </w:r>
      <w:r w:rsidRPr="007D15C4">
        <w:rPr>
          <w:rFonts w:eastAsia="Arial"/>
          <w:color w:val="231F20"/>
          <w:spacing w:val="29"/>
          <w:sz w:val="22"/>
          <w:szCs w:val="22"/>
          <w:lang w:val="en-US"/>
        </w:rPr>
        <w:t xml:space="preserve"> </w:t>
      </w:r>
      <w:r w:rsidRPr="007D15C4">
        <w:rPr>
          <w:rFonts w:eastAsia="Arial"/>
          <w:color w:val="231F20"/>
          <w:sz w:val="22"/>
          <w:szCs w:val="22"/>
          <w:lang w:val="en-US"/>
        </w:rPr>
        <w:t>value</w:t>
      </w:r>
      <w:r w:rsidRPr="007D15C4">
        <w:rPr>
          <w:rFonts w:eastAsia="Arial"/>
          <w:color w:val="231F20"/>
          <w:spacing w:val="5"/>
          <w:sz w:val="22"/>
          <w:szCs w:val="22"/>
          <w:lang w:val="en-US"/>
        </w:rPr>
        <w:t xml:space="preserve"> </w:t>
      </w:r>
      <w:r w:rsidRPr="007D15C4">
        <w:rPr>
          <w:rFonts w:eastAsia="Arial"/>
          <w:color w:val="231F20"/>
          <w:sz w:val="22"/>
          <w:szCs w:val="22"/>
          <w:lang w:val="en-US"/>
        </w:rPr>
        <w:t>through</w:t>
      </w:r>
      <w:r w:rsidRPr="007D15C4">
        <w:rPr>
          <w:rFonts w:eastAsia="Arial"/>
          <w:color w:val="231F20"/>
          <w:spacing w:val="5"/>
          <w:sz w:val="22"/>
          <w:szCs w:val="22"/>
          <w:lang w:val="en-US"/>
        </w:rPr>
        <w:t xml:space="preserve"> </w:t>
      </w:r>
      <w:r w:rsidRPr="007D15C4">
        <w:rPr>
          <w:rFonts w:eastAsia="Arial"/>
          <w:color w:val="231F20"/>
          <w:spacing w:val="-1"/>
          <w:sz w:val="22"/>
          <w:szCs w:val="22"/>
          <w:lang w:val="en-US"/>
        </w:rPr>
        <w:t>profit</w:t>
      </w:r>
      <w:r w:rsidRPr="007D15C4">
        <w:rPr>
          <w:rFonts w:eastAsia="Arial"/>
          <w:color w:val="231F20"/>
          <w:spacing w:val="6"/>
          <w:sz w:val="22"/>
          <w:szCs w:val="22"/>
          <w:lang w:val="en-US"/>
        </w:rPr>
        <w:t xml:space="preserve"> </w:t>
      </w:r>
      <w:r w:rsidRPr="007D15C4">
        <w:rPr>
          <w:rFonts w:eastAsia="Arial"/>
          <w:color w:val="231F20"/>
          <w:spacing w:val="-1"/>
          <w:sz w:val="22"/>
          <w:szCs w:val="22"/>
          <w:lang w:val="en-US"/>
        </w:rPr>
        <w:t>or</w:t>
      </w:r>
      <w:r w:rsidRPr="007D15C4">
        <w:rPr>
          <w:rFonts w:eastAsia="Arial"/>
          <w:color w:val="231F20"/>
          <w:spacing w:val="5"/>
          <w:sz w:val="22"/>
          <w:szCs w:val="22"/>
          <w:lang w:val="en-US"/>
        </w:rPr>
        <w:t xml:space="preserve"> </w:t>
      </w:r>
      <w:r w:rsidRPr="007D15C4">
        <w:rPr>
          <w:rFonts w:eastAsia="Arial"/>
          <w:color w:val="231F20"/>
          <w:spacing w:val="-1"/>
          <w:sz w:val="22"/>
          <w:szCs w:val="22"/>
          <w:lang w:val="en-US"/>
        </w:rPr>
        <w:t>loss.</w:t>
      </w:r>
    </w:p>
    <w:p w14:paraId="792C997D" w14:textId="77777777" w:rsidR="00AF47D2" w:rsidRPr="00AC2DE9" w:rsidRDefault="00AF47D2" w:rsidP="00AC2DE9">
      <w:pPr>
        <w:widowControl w:val="0"/>
        <w:spacing w:before="75"/>
        <w:jc w:val="both"/>
        <w:rPr>
          <w:rFonts w:eastAsia="Arial"/>
          <w:color w:val="231F20"/>
          <w:sz w:val="22"/>
          <w:szCs w:val="22"/>
          <w:lang w:val="en-US"/>
        </w:rPr>
      </w:pPr>
      <w:r w:rsidRPr="007D15C4">
        <w:rPr>
          <w:rFonts w:eastAsia="Arial"/>
          <w:color w:val="231F20"/>
          <w:sz w:val="22"/>
          <w:szCs w:val="22"/>
          <w:lang w:val="en-US"/>
        </w:rPr>
        <w:t>The</w:t>
      </w:r>
      <w:r w:rsidRPr="00AC2DE9">
        <w:rPr>
          <w:rFonts w:eastAsia="Arial"/>
          <w:color w:val="231F20"/>
          <w:sz w:val="22"/>
          <w:szCs w:val="22"/>
          <w:lang w:val="en-US"/>
        </w:rPr>
        <w:t xml:space="preserve"> Historical </w:t>
      </w:r>
      <w:r w:rsidRPr="007D15C4">
        <w:rPr>
          <w:rFonts w:eastAsia="Arial"/>
          <w:color w:val="231F20"/>
          <w:sz w:val="22"/>
          <w:szCs w:val="22"/>
          <w:lang w:val="en-US"/>
        </w:rPr>
        <w:t>Financial</w:t>
      </w:r>
      <w:r w:rsidRPr="00AC2DE9">
        <w:rPr>
          <w:rFonts w:eastAsia="Arial"/>
          <w:color w:val="231F20"/>
          <w:sz w:val="22"/>
          <w:szCs w:val="22"/>
          <w:lang w:val="en-US"/>
        </w:rPr>
        <w:t xml:space="preserve"> </w:t>
      </w:r>
      <w:r w:rsidRPr="007D15C4">
        <w:rPr>
          <w:rFonts w:eastAsia="Arial"/>
          <w:color w:val="231F20"/>
          <w:sz w:val="22"/>
          <w:szCs w:val="22"/>
          <w:lang w:val="en-US"/>
        </w:rPr>
        <w:t>Information</w:t>
      </w:r>
      <w:r w:rsidRPr="00AC2DE9">
        <w:rPr>
          <w:rFonts w:eastAsia="Arial"/>
          <w:color w:val="231F20"/>
          <w:sz w:val="22"/>
          <w:szCs w:val="22"/>
          <w:lang w:val="en-US"/>
        </w:rPr>
        <w:t xml:space="preserve"> is prepared in pounds </w:t>
      </w:r>
      <w:r w:rsidRPr="007D15C4">
        <w:rPr>
          <w:rFonts w:eastAsia="Arial"/>
          <w:color w:val="231F20"/>
          <w:sz w:val="22"/>
          <w:szCs w:val="22"/>
          <w:lang w:val="en-US"/>
        </w:rPr>
        <w:t>sterling,</w:t>
      </w:r>
      <w:r w:rsidRPr="00AC2DE9">
        <w:rPr>
          <w:rFonts w:eastAsia="Arial"/>
          <w:color w:val="231F20"/>
          <w:sz w:val="22"/>
          <w:szCs w:val="22"/>
          <w:lang w:val="en-US"/>
        </w:rPr>
        <w:t xml:space="preserve"> which is </w:t>
      </w:r>
      <w:r w:rsidRPr="007D15C4">
        <w:rPr>
          <w:rFonts w:eastAsia="Arial"/>
          <w:color w:val="231F20"/>
          <w:sz w:val="22"/>
          <w:szCs w:val="22"/>
          <w:lang w:val="en-US"/>
        </w:rPr>
        <w:t>the</w:t>
      </w:r>
      <w:r w:rsidRPr="00AC2DE9">
        <w:rPr>
          <w:rFonts w:eastAsia="Arial"/>
          <w:color w:val="231F20"/>
          <w:sz w:val="22"/>
          <w:szCs w:val="22"/>
          <w:lang w:val="en-US"/>
        </w:rPr>
        <w:t xml:space="preserve"> </w:t>
      </w:r>
      <w:r w:rsidRPr="007D15C4">
        <w:rPr>
          <w:rFonts w:eastAsia="Arial"/>
          <w:color w:val="231F20"/>
          <w:sz w:val="22"/>
          <w:szCs w:val="22"/>
          <w:lang w:val="en-US"/>
        </w:rPr>
        <w:t>functional</w:t>
      </w:r>
      <w:r w:rsidRPr="00AC2DE9">
        <w:rPr>
          <w:rFonts w:eastAsia="Arial"/>
          <w:color w:val="231F20"/>
          <w:sz w:val="22"/>
          <w:szCs w:val="22"/>
          <w:lang w:val="en-US"/>
        </w:rPr>
        <w:t xml:space="preserve"> </w:t>
      </w:r>
      <w:r w:rsidRPr="007D15C4">
        <w:rPr>
          <w:rFonts w:eastAsia="Arial"/>
          <w:color w:val="231F20"/>
          <w:sz w:val="22"/>
          <w:szCs w:val="22"/>
          <w:lang w:val="en-US"/>
        </w:rPr>
        <w:t>currency</w:t>
      </w:r>
      <w:r w:rsidRPr="00AC2DE9">
        <w:rPr>
          <w:rFonts w:eastAsia="Arial"/>
          <w:color w:val="231F20"/>
          <w:sz w:val="22"/>
          <w:szCs w:val="22"/>
          <w:lang w:val="en-US"/>
        </w:rPr>
        <w:t xml:space="preserve"> of </w:t>
      </w:r>
      <w:r w:rsidRPr="007D15C4">
        <w:rPr>
          <w:rFonts w:eastAsia="Arial"/>
          <w:color w:val="231F20"/>
          <w:sz w:val="22"/>
          <w:szCs w:val="22"/>
          <w:lang w:val="en-US"/>
        </w:rPr>
        <w:t>the</w:t>
      </w:r>
      <w:r w:rsidRPr="00AC2DE9">
        <w:rPr>
          <w:rFonts w:eastAsia="Arial"/>
          <w:color w:val="231F20"/>
          <w:sz w:val="22"/>
          <w:szCs w:val="22"/>
          <w:lang w:val="en-US"/>
        </w:rPr>
        <w:t xml:space="preserve"> Company.</w:t>
      </w:r>
    </w:p>
    <w:p w14:paraId="3F095B1A" w14:textId="0FDBD49B" w:rsidR="00AF47D2" w:rsidRDefault="00AF47D2" w:rsidP="00AF47D2">
      <w:pPr>
        <w:widowControl w:val="0"/>
        <w:tabs>
          <w:tab w:val="left" w:pos="464"/>
          <w:tab w:val="left" w:pos="929"/>
        </w:tabs>
        <w:jc w:val="both"/>
        <w:rPr>
          <w:rFonts w:eastAsiaTheme="minorHAnsi"/>
          <w:b/>
          <w:bCs/>
          <w:color w:val="000000"/>
          <w:sz w:val="22"/>
          <w:szCs w:val="22"/>
        </w:rPr>
      </w:pPr>
    </w:p>
    <w:p w14:paraId="4EAD7070" w14:textId="77777777" w:rsidR="00AE731D" w:rsidRPr="007A6C8E" w:rsidRDefault="00AE731D" w:rsidP="00920DB6">
      <w:pPr>
        <w:rPr>
          <w:b/>
          <w:i/>
          <w:iCs/>
          <w:sz w:val="22"/>
          <w:szCs w:val="22"/>
        </w:rPr>
      </w:pPr>
      <w:r w:rsidRPr="007A6C8E">
        <w:rPr>
          <w:b/>
          <w:i/>
          <w:iCs/>
          <w:sz w:val="22"/>
          <w:szCs w:val="22"/>
        </w:rPr>
        <w:t>Changes in accounting policies</w:t>
      </w:r>
    </w:p>
    <w:p w14:paraId="0741B6B8" w14:textId="037060A1" w:rsidR="00BB0A40" w:rsidRPr="00916D64" w:rsidRDefault="00916D64" w:rsidP="00BB0A40">
      <w:pPr>
        <w:widowControl w:val="0"/>
        <w:spacing w:before="75"/>
        <w:jc w:val="both"/>
        <w:rPr>
          <w:rFonts w:eastAsia="Arial"/>
          <w:b/>
          <w:bCs/>
          <w:i/>
          <w:iCs/>
          <w:color w:val="231F20"/>
          <w:sz w:val="22"/>
          <w:szCs w:val="22"/>
          <w:u w:val="single"/>
          <w:lang w:val="en-US"/>
        </w:rPr>
      </w:pPr>
      <w:r w:rsidRPr="00916D64">
        <w:rPr>
          <w:rFonts w:eastAsia="Arial"/>
          <w:b/>
          <w:bCs/>
          <w:i/>
          <w:iCs/>
          <w:color w:val="231F20"/>
          <w:sz w:val="22"/>
          <w:szCs w:val="22"/>
          <w:u w:val="single"/>
          <w:lang w:val="en-US"/>
        </w:rPr>
        <w:t>New and amended standards adopted by the Company</w:t>
      </w:r>
    </w:p>
    <w:p w14:paraId="71FFE815" w14:textId="77777777" w:rsidR="007A6C8E" w:rsidRPr="00737440" w:rsidRDefault="00BB0A40" w:rsidP="007A6C8E">
      <w:pPr>
        <w:pStyle w:val="ListParagraph"/>
        <w:widowControl w:val="0"/>
        <w:numPr>
          <w:ilvl w:val="0"/>
          <w:numId w:val="23"/>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Amendments to References to Conceptual Framework in IFRS Standards</w:t>
      </w:r>
      <w:r w:rsidR="007A6C8E" w:rsidRPr="00737440">
        <w:rPr>
          <w:rFonts w:ascii="Times New Roman" w:eastAsia="Arial" w:hAnsi="Times New Roman"/>
          <w:color w:val="231F20"/>
          <w:lang w:val="en-US"/>
        </w:rPr>
        <w:t>, 01 Jan 2020</w:t>
      </w:r>
    </w:p>
    <w:p w14:paraId="0D996D47" w14:textId="63AC0348" w:rsidR="00ED0857" w:rsidRPr="00737440" w:rsidRDefault="00BB0A40" w:rsidP="007A6C8E">
      <w:pPr>
        <w:pStyle w:val="ListParagraph"/>
        <w:widowControl w:val="0"/>
        <w:numPr>
          <w:ilvl w:val="0"/>
          <w:numId w:val="23"/>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Insights into IFRS (2.8.25)</w:t>
      </w:r>
      <w:r w:rsidR="00484262" w:rsidRPr="00737440">
        <w:rPr>
          <w:rFonts w:ascii="Times New Roman" w:eastAsia="Arial" w:hAnsi="Times New Roman"/>
          <w:color w:val="231F20"/>
          <w:lang w:val="en-US"/>
        </w:rPr>
        <w:t xml:space="preserve">, </w:t>
      </w:r>
      <w:r w:rsidR="00ED0857" w:rsidRPr="00737440">
        <w:rPr>
          <w:rFonts w:ascii="Times New Roman" w:eastAsia="Arial" w:hAnsi="Times New Roman"/>
          <w:color w:val="231F20"/>
          <w:lang w:val="en-US"/>
        </w:rPr>
        <w:t>Definition of a Business (Amendments to IFRS 3)</w:t>
      </w:r>
      <w:r w:rsidR="007A6C8E" w:rsidRPr="00737440">
        <w:rPr>
          <w:rFonts w:ascii="Times New Roman" w:eastAsia="Arial" w:hAnsi="Times New Roman"/>
          <w:color w:val="231F20"/>
          <w:lang w:val="en-US"/>
        </w:rPr>
        <w:t>, 01 Jan 2020</w:t>
      </w:r>
    </w:p>
    <w:p w14:paraId="57CC22EB" w14:textId="3278D29F" w:rsidR="00ED0857" w:rsidRPr="00737440" w:rsidRDefault="00BB0A40" w:rsidP="007A6C8E">
      <w:pPr>
        <w:pStyle w:val="ListParagraph"/>
        <w:widowControl w:val="0"/>
        <w:numPr>
          <w:ilvl w:val="0"/>
          <w:numId w:val="23"/>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Insights into IFRS (2.6.20), </w:t>
      </w:r>
      <w:r w:rsidR="00ED0857" w:rsidRPr="00737440">
        <w:rPr>
          <w:rFonts w:ascii="Times New Roman" w:eastAsia="Arial" w:hAnsi="Times New Roman"/>
          <w:color w:val="231F20"/>
          <w:lang w:val="en-US"/>
        </w:rPr>
        <w:t>Definition of Material (Amendments to IAS 1 and IAS 8)</w:t>
      </w:r>
      <w:r w:rsidR="007A6C8E" w:rsidRPr="00737440">
        <w:rPr>
          <w:rFonts w:ascii="Times New Roman" w:eastAsia="Arial" w:hAnsi="Times New Roman"/>
          <w:color w:val="231F20"/>
          <w:lang w:val="en-US"/>
        </w:rPr>
        <w:t>, 01 Jan 2020</w:t>
      </w:r>
    </w:p>
    <w:p w14:paraId="5498800B" w14:textId="2CC5120F" w:rsidR="00ED0857" w:rsidRPr="00737440" w:rsidRDefault="00BB0A40" w:rsidP="007A6C8E">
      <w:pPr>
        <w:pStyle w:val="ListParagraph"/>
        <w:widowControl w:val="0"/>
        <w:numPr>
          <w:ilvl w:val="0"/>
          <w:numId w:val="23"/>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Insights into IFRS (1.2.40.10), </w:t>
      </w:r>
      <w:r w:rsidR="00ED0857" w:rsidRPr="00737440">
        <w:rPr>
          <w:rFonts w:ascii="Times New Roman" w:eastAsia="Arial" w:hAnsi="Times New Roman"/>
          <w:color w:val="231F20"/>
          <w:lang w:val="en-US"/>
        </w:rPr>
        <w:t>Interest Rate Benchmark Reform (Amendments to IFRS 9, IAS 39 and IFRS 7)</w:t>
      </w:r>
      <w:r w:rsidR="007A6C8E" w:rsidRPr="00737440">
        <w:rPr>
          <w:rFonts w:ascii="Times New Roman" w:eastAsia="Arial" w:hAnsi="Times New Roman"/>
          <w:color w:val="231F20"/>
          <w:lang w:val="en-US"/>
        </w:rPr>
        <w:t>, 01 Jan 2020</w:t>
      </w:r>
    </w:p>
    <w:p w14:paraId="2C8BFA49" w14:textId="012337EC" w:rsidR="007A6C8E" w:rsidRPr="00737440" w:rsidRDefault="00BB0A40" w:rsidP="007A6C8E">
      <w:pPr>
        <w:pStyle w:val="ListParagraph"/>
        <w:widowControl w:val="0"/>
        <w:numPr>
          <w:ilvl w:val="0"/>
          <w:numId w:val="23"/>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Insights into IFRS (Chapter 7.9.1172, 7.10.455, 7.11.220.30, 229 and 230.15) </w:t>
      </w:r>
    </w:p>
    <w:p w14:paraId="39E91ACB" w14:textId="2F4A539D" w:rsidR="00ED0857" w:rsidRPr="00916D64" w:rsidRDefault="00916D64" w:rsidP="00ED0857">
      <w:pPr>
        <w:widowControl w:val="0"/>
        <w:spacing w:before="75"/>
        <w:jc w:val="both"/>
        <w:rPr>
          <w:rFonts w:eastAsia="Arial"/>
          <w:b/>
          <w:bCs/>
          <w:i/>
          <w:iCs/>
          <w:color w:val="231F20"/>
          <w:sz w:val="22"/>
          <w:szCs w:val="22"/>
          <w:u w:val="single"/>
          <w:lang w:val="en-US"/>
        </w:rPr>
      </w:pPr>
      <w:r w:rsidRPr="00916D64">
        <w:rPr>
          <w:rFonts w:eastAsia="Arial"/>
          <w:b/>
          <w:bCs/>
          <w:i/>
          <w:iCs/>
          <w:color w:val="231F20"/>
          <w:sz w:val="22"/>
          <w:szCs w:val="22"/>
          <w:u w:val="single"/>
          <w:lang w:val="en-US"/>
        </w:rPr>
        <w:t>New standards and amendments issued but not effective for the financial year beginning 1 January 2020 and not early adopted</w:t>
      </w:r>
    </w:p>
    <w:p w14:paraId="6B771003" w14:textId="0318149F" w:rsidR="00BB0A40" w:rsidRPr="00737440" w:rsidRDefault="00BB0A40" w:rsidP="007A6C8E">
      <w:pPr>
        <w:pStyle w:val="ListParagraph"/>
        <w:widowControl w:val="0"/>
        <w:numPr>
          <w:ilvl w:val="0"/>
          <w:numId w:val="24"/>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COVID-19-Related Rent Concessions (Amendment to IFRS 16)</w:t>
      </w:r>
      <w:r w:rsidR="007A6C8E" w:rsidRPr="00737440">
        <w:rPr>
          <w:rFonts w:ascii="Times New Roman" w:eastAsia="Arial" w:hAnsi="Times New Roman"/>
          <w:color w:val="231F20"/>
          <w:lang w:val="en-US"/>
        </w:rPr>
        <w:t>, 01 Jun 2020</w:t>
      </w:r>
    </w:p>
    <w:p w14:paraId="51FB36AD" w14:textId="754E549B" w:rsidR="00BB0A40" w:rsidRPr="00737440" w:rsidRDefault="00BB0A40" w:rsidP="007A6C8E">
      <w:pPr>
        <w:pStyle w:val="ListParagraph"/>
        <w:widowControl w:val="0"/>
        <w:numPr>
          <w:ilvl w:val="0"/>
          <w:numId w:val="24"/>
        </w:numPr>
        <w:spacing w:before="75"/>
        <w:jc w:val="both"/>
        <w:rPr>
          <w:rFonts w:ascii="Times New Roman" w:eastAsia="Arial" w:hAnsi="Times New Roman"/>
          <w:color w:val="231F20"/>
          <w:lang w:val="en-US"/>
        </w:rPr>
      </w:pPr>
      <w:r w:rsidRPr="00737440">
        <w:rPr>
          <w:rFonts w:ascii="Times New Roman" w:eastAsia="Arial" w:hAnsi="Times New Roman"/>
          <w:color w:val="231F20"/>
          <w:lang w:val="en-US"/>
        </w:rPr>
        <w:t>Interest Rate Benchmark Reform – Phase 2 (Amendments to IFRS 9, IAS 39, IFRS 7, IFRS 4 and IFRS 16)</w:t>
      </w:r>
      <w:r w:rsidR="007A6C8E" w:rsidRPr="00737440">
        <w:rPr>
          <w:rFonts w:ascii="Times New Roman" w:eastAsia="Arial" w:hAnsi="Times New Roman"/>
          <w:color w:val="231F20"/>
          <w:lang w:val="en-US"/>
        </w:rPr>
        <w:t>, 01 Jan 2021</w:t>
      </w:r>
    </w:p>
    <w:p w14:paraId="554EC3C9" w14:textId="0C8079D1" w:rsidR="00920DB6" w:rsidRDefault="00920DB6" w:rsidP="00920DB6">
      <w:pPr>
        <w:widowControl w:val="0"/>
        <w:tabs>
          <w:tab w:val="left" w:pos="725"/>
        </w:tabs>
        <w:overflowPunct/>
        <w:autoSpaceDE/>
        <w:autoSpaceDN/>
        <w:adjustRightInd/>
        <w:spacing w:before="75"/>
        <w:jc w:val="both"/>
        <w:textAlignment w:val="auto"/>
        <w:rPr>
          <w:rFonts w:eastAsia="Calibri"/>
          <w:b/>
          <w:color w:val="231F20"/>
          <w:spacing w:val="5"/>
          <w:sz w:val="22"/>
          <w:szCs w:val="22"/>
          <w:lang w:val="en-US"/>
        </w:rPr>
      </w:pPr>
      <w:bookmarkStart w:id="13" w:name="DBG1442"/>
      <w:bookmarkStart w:id="14" w:name="DBG1444"/>
      <w:bookmarkStart w:id="15" w:name="DBG1451"/>
      <w:bookmarkEnd w:id="13"/>
      <w:bookmarkEnd w:id="14"/>
      <w:bookmarkEnd w:id="15"/>
      <w:r>
        <w:rPr>
          <w:rFonts w:eastAsia="Calibri"/>
          <w:b/>
          <w:color w:val="231F20"/>
          <w:spacing w:val="5"/>
          <w:sz w:val="22"/>
          <w:szCs w:val="22"/>
          <w:lang w:val="en-US"/>
        </w:rPr>
        <w:t>Revenue recognition</w:t>
      </w:r>
    </w:p>
    <w:p w14:paraId="797622A8" w14:textId="45BB9848" w:rsidR="00AF47D2" w:rsidRPr="00862439" w:rsidRDefault="00AF47D2" w:rsidP="00862439">
      <w:pPr>
        <w:widowControl w:val="0"/>
        <w:spacing w:before="75"/>
        <w:jc w:val="both"/>
        <w:rPr>
          <w:rFonts w:eastAsia="Arial"/>
          <w:color w:val="231F20"/>
          <w:sz w:val="22"/>
          <w:szCs w:val="22"/>
          <w:lang w:val="en-US"/>
        </w:rPr>
      </w:pPr>
      <w:r w:rsidRPr="00862439">
        <w:rPr>
          <w:rFonts w:eastAsia="Arial"/>
          <w:color w:val="231F20"/>
          <w:sz w:val="22"/>
          <w:szCs w:val="22"/>
          <w:lang w:val="en-US"/>
        </w:rPr>
        <w:t>Revenue is recognised to the extent that it is probable that the economic benefits will flow</w:t>
      </w:r>
      <w:r w:rsidR="007D15C4" w:rsidRPr="00862439">
        <w:rPr>
          <w:rFonts w:eastAsia="Arial"/>
          <w:color w:val="231F20"/>
          <w:sz w:val="22"/>
          <w:szCs w:val="22"/>
          <w:lang w:val="en-US"/>
        </w:rPr>
        <w:t xml:space="preserve"> </w:t>
      </w:r>
      <w:r w:rsidRPr="00862439">
        <w:rPr>
          <w:rFonts w:eastAsia="Arial"/>
          <w:color w:val="231F20"/>
          <w:sz w:val="22"/>
          <w:szCs w:val="22"/>
          <w:lang w:val="en-US"/>
        </w:rPr>
        <w:t>to the Company and the revenue can be reliably measured, regardless of when the payment</w:t>
      </w:r>
      <w:r w:rsidR="007D15C4" w:rsidRPr="00862439">
        <w:rPr>
          <w:rFonts w:eastAsia="Arial"/>
          <w:color w:val="231F20"/>
          <w:sz w:val="22"/>
          <w:szCs w:val="22"/>
          <w:lang w:val="en-US"/>
        </w:rPr>
        <w:t xml:space="preserve"> </w:t>
      </w:r>
      <w:r w:rsidRPr="00862439">
        <w:rPr>
          <w:rFonts w:eastAsia="Arial"/>
          <w:color w:val="231F20"/>
          <w:sz w:val="22"/>
          <w:szCs w:val="22"/>
          <w:lang w:val="en-US"/>
        </w:rPr>
        <w:t>is being made. Revenue is measured at the fair value of the consideration received or</w:t>
      </w:r>
      <w:r w:rsidR="007D15C4" w:rsidRPr="00862439">
        <w:rPr>
          <w:rFonts w:eastAsia="Arial"/>
          <w:color w:val="231F20"/>
          <w:sz w:val="22"/>
          <w:szCs w:val="22"/>
          <w:lang w:val="en-US"/>
        </w:rPr>
        <w:t xml:space="preserve"> </w:t>
      </w:r>
      <w:r w:rsidRPr="00862439">
        <w:rPr>
          <w:rFonts w:eastAsia="Arial"/>
          <w:color w:val="231F20"/>
          <w:sz w:val="22"/>
          <w:szCs w:val="22"/>
          <w:lang w:val="en-US"/>
        </w:rPr>
        <w:t>receivable, taking into account contractually defined terms of payment and excluding taxes</w:t>
      </w:r>
      <w:r w:rsidR="007D15C4" w:rsidRPr="00862439">
        <w:rPr>
          <w:rFonts w:eastAsia="Arial"/>
          <w:color w:val="231F20"/>
          <w:sz w:val="22"/>
          <w:szCs w:val="22"/>
          <w:lang w:val="en-US"/>
        </w:rPr>
        <w:t xml:space="preserve"> </w:t>
      </w:r>
      <w:r w:rsidRPr="00862439">
        <w:rPr>
          <w:rFonts w:eastAsia="Arial"/>
          <w:color w:val="231F20"/>
          <w:sz w:val="22"/>
          <w:szCs w:val="22"/>
          <w:lang w:val="en-US"/>
        </w:rPr>
        <w:t>or duty.</w:t>
      </w:r>
    </w:p>
    <w:p w14:paraId="441C73D4" w14:textId="03535B83" w:rsidR="00AF47D2" w:rsidRDefault="00AF47D2" w:rsidP="00AF47D2">
      <w:pPr>
        <w:ind w:left="142"/>
        <w:rPr>
          <w:b/>
          <w:i/>
          <w:iCs/>
          <w:sz w:val="21"/>
          <w:szCs w:val="21"/>
        </w:rPr>
      </w:pPr>
    </w:p>
    <w:p w14:paraId="12945BF8" w14:textId="77777777" w:rsidR="00AF47D2" w:rsidRPr="007D15C4" w:rsidRDefault="00AF47D2" w:rsidP="007D15C4">
      <w:pPr>
        <w:rPr>
          <w:b/>
          <w:i/>
          <w:iCs/>
          <w:sz w:val="22"/>
          <w:szCs w:val="22"/>
        </w:rPr>
      </w:pPr>
      <w:r w:rsidRPr="007D15C4">
        <w:rPr>
          <w:b/>
          <w:i/>
          <w:iCs/>
          <w:sz w:val="22"/>
          <w:szCs w:val="22"/>
        </w:rPr>
        <w:t>Basis of consolidation</w:t>
      </w:r>
    </w:p>
    <w:p w14:paraId="64A19B41" w14:textId="0D92B582"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 xml:space="preserve">The consolidated financial statements incorporate the financial statements of the Company and companies controlled by the Company, the Subsidiary Companies, drawn up to </w:t>
      </w:r>
      <w:r w:rsidR="001256C3">
        <w:rPr>
          <w:rFonts w:eastAsia="Arial"/>
          <w:color w:val="231F20"/>
          <w:sz w:val="22"/>
          <w:szCs w:val="22"/>
          <w:lang w:val="en-US"/>
        </w:rPr>
        <w:t>31 December</w:t>
      </w:r>
      <w:r w:rsidRPr="00AC2DE9">
        <w:rPr>
          <w:rFonts w:eastAsia="Arial"/>
          <w:color w:val="231F20"/>
          <w:sz w:val="22"/>
          <w:szCs w:val="22"/>
          <w:lang w:val="en-US"/>
        </w:rPr>
        <w:t xml:space="preserve"> each year</w:t>
      </w:r>
      <w:r w:rsidR="001256C3">
        <w:rPr>
          <w:rFonts w:eastAsia="Arial"/>
          <w:color w:val="231F20"/>
          <w:sz w:val="22"/>
          <w:szCs w:val="22"/>
          <w:lang w:val="en-US"/>
        </w:rPr>
        <w:t>.</w:t>
      </w:r>
      <w:r w:rsidR="003B3679" w:rsidRPr="00AC2DE9">
        <w:rPr>
          <w:rFonts w:eastAsia="Arial"/>
          <w:color w:val="231F20"/>
          <w:sz w:val="22"/>
          <w:szCs w:val="22"/>
          <w:lang w:val="en-US"/>
        </w:rPr>
        <w:t xml:space="preserve"> </w:t>
      </w:r>
    </w:p>
    <w:p w14:paraId="2A0301BE" w14:textId="77777777" w:rsidR="00862439" w:rsidRDefault="00862439" w:rsidP="00862439">
      <w:pPr>
        <w:ind w:left="142"/>
        <w:jc w:val="center"/>
        <w:rPr>
          <w:rFonts w:eastAsia="Arial"/>
          <w:color w:val="231F20"/>
          <w:sz w:val="22"/>
          <w:szCs w:val="22"/>
          <w:lang w:val="en-US"/>
        </w:rPr>
      </w:pPr>
    </w:p>
    <w:p w14:paraId="0BEBE030" w14:textId="5049E97C" w:rsidR="00862439" w:rsidRDefault="00862439" w:rsidP="00862439">
      <w:pPr>
        <w:ind w:left="142"/>
        <w:jc w:val="center"/>
        <w:rPr>
          <w:rFonts w:eastAsia="Arial"/>
          <w:color w:val="231F20"/>
          <w:sz w:val="22"/>
          <w:szCs w:val="22"/>
          <w:lang w:val="en-US"/>
        </w:rPr>
      </w:pPr>
    </w:p>
    <w:p w14:paraId="3E8F08CC" w14:textId="3F2513DA" w:rsidR="008813F2" w:rsidRDefault="008813F2" w:rsidP="00862439">
      <w:pPr>
        <w:ind w:left="142"/>
        <w:jc w:val="center"/>
        <w:rPr>
          <w:rFonts w:eastAsia="Arial"/>
          <w:color w:val="231F20"/>
          <w:sz w:val="22"/>
          <w:szCs w:val="22"/>
          <w:lang w:val="en-US"/>
        </w:rPr>
      </w:pPr>
    </w:p>
    <w:p w14:paraId="0C77781A" w14:textId="41A88E76" w:rsidR="007A6C8E" w:rsidRDefault="007A6C8E" w:rsidP="00862439">
      <w:pPr>
        <w:ind w:left="142"/>
        <w:jc w:val="center"/>
        <w:rPr>
          <w:rFonts w:eastAsia="Arial"/>
          <w:color w:val="231F20"/>
          <w:sz w:val="22"/>
          <w:szCs w:val="22"/>
          <w:lang w:val="en-US"/>
        </w:rPr>
      </w:pPr>
    </w:p>
    <w:p w14:paraId="7A6E09CC" w14:textId="77777777" w:rsidR="007A6C8E" w:rsidRDefault="007A6C8E" w:rsidP="00862439">
      <w:pPr>
        <w:ind w:left="142"/>
        <w:jc w:val="center"/>
        <w:rPr>
          <w:rFonts w:eastAsia="Arial"/>
          <w:color w:val="231F20"/>
          <w:sz w:val="22"/>
          <w:szCs w:val="22"/>
          <w:lang w:val="en-US"/>
        </w:rPr>
      </w:pPr>
    </w:p>
    <w:p w14:paraId="7C3E0A57" w14:textId="73044F1A" w:rsidR="00862439" w:rsidRDefault="00862439" w:rsidP="00862439">
      <w:pPr>
        <w:ind w:left="142"/>
        <w:jc w:val="center"/>
        <w:rPr>
          <w:b/>
          <w:bCs/>
          <w:sz w:val="22"/>
          <w:szCs w:val="22"/>
        </w:rPr>
      </w:pPr>
      <w:r w:rsidRPr="006A198A">
        <w:rPr>
          <w:b/>
          <w:bCs/>
          <w:sz w:val="22"/>
          <w:szCs w:val="22"/>
        </w:rPr>
        <w:t>NOTES TO THE FINANCIAL STATEMENTS</w:t>
      </w:r>
      <w:r>
        <w:rPr>
          <w:b/>
          <w:bCs/>
          <w:sz w:val="22"/>
          <w:szCs w:val="22"/>
        </w:rPr>
        <w:t xml:space="preserve"> (continued)</w:t>
      </w:r>
    </w:p>
    <w:p w14:paraId="56266532" w14:textId="77777777" w:rsidR="00862439" w:rsidRDefault="00862439" w:rsidP="00AC2DE9">
      <w:pPr>
        <w:widowControl w:val="0"/>
        <w:spacing w:before="75"/>
        <w:jc w:val="both"/>
        <w:rPr>
          <w:rFonts w:eastAsia="Arial"/>
          <w:color w:val="231F20"/>
          <w:sz w:val="22"/>
          <w:szCs w:val="22"/>
          <w:lang w:val="en-US"/>
        </w:rPr>
      </w:pPr>
    </w:p>
    <w:p w14:paraId="46CD27D0" w14:textId="7087BF7C" w:rsidR="00AC2DE9" w:rsidRPr="00AC2DE9" w:rsidRDefault="00862439"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 xml:space="preserve">Control is recognised where the Company has the power to govern the financial and operating policies of an investee entity so as to obtain benefits from its activities. The results of subsidiaries acquired or disposed of during the year are included in the consolidated income statement from the effective date of acquisition </w:t>
      </w:r>
      <w:r w:rsidR="00AC2DE9" w:rsidRPr="00AC2DE9">
        <w:rPr>
          <w:rFonts w:eastAsia="Arial"/>
          <w:color w:val="231F20"/>
          <w:sz w:val="22"/>
          <w:szCs w:val="22"/>
          <w:lang w:val="en-US"/>
        </w:rPr>
        <w:t xml:space="preserve">or up to the effective date of disposal, where appropriate. </w:t>
      </w:r>
    </w:p>
    <w:p w14:paraId="26CDF61D" w14:textId="79CD436D" w:rsidR="00AF47D2" w:rsidRDefault="00AF47D2" w:rsidP="007D15C4">
      <w:pPr>
        <w:jc w:val="both"/>
        <w:rPr>
          <w:sz w:val="22"/>
          <w:szCs w:val="22"/>
        </w:rPr>
      </w:pPr>
    </w:p>
    <w:p w14:paraId="0726D63F" w14:textId="179FBC47"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 xml:space="preserve">Where necessary, adjustments are made to the financial statements of subsidiaries to bring the accounting policies used into line with those used by the Group. All intra-group transactions, balances, income and expenses are eliminated on consolidation. Non-controlling interests in the net assets of consolidated subsidiaries are identified separately from the Group’s equity therein. </w:t>
      </w:r>
    </w:p>
    <w:p w14:paraId="318C1DD8" w14:textId="77777777" w:rsidR="00AF47D2" w:rsidRPr="00AC2DE9" w:rsidRDefault="00AF47D2" w:rsidP="00AC2DE9">
      <w:pPr>
        <w:widowControl w:val="0"/>
        <w:spacing w:before="75"/>
        <w:jc w:val="both"/>
        <w:rPr>
          <w:rFonts w:eastAsia="Arial"/>
          <w:color w:val="231F20"/>
          <w:sz w:val="22"/>
          <w:szCs w:val="22"/>
          <w:lang w:val="en-US"/>
        </w:rPr>
      </w:pPr>
      <w:r w:rsidRPr="00AC2DE9">
        <w:rPr>
          <w:rFonts w:eastAsia="Arial"/>
          <w:color w:val="231F20"/>
          <w:sz w:val="22"/>
          <w:szCs w:val="22"/>
          <w:lang w:val="en-US"/>
        </w:rPr>
        <w:t>Non-controlling interests consist of the amounts of those interests at the date of the original business combination and the minority’s share of changes in equity since the date of the combination.</w:t>
      </w:r>
    </w:p>
    <w:p w14:paraId="700391C9" w14:textId="39C7335D" w:rsidR="003E1C58" w:rsidRPr="00920DB6" w:rsidRDefault="003E1C58" w:rsidP="003E1C58">
      <w:pPr>
        <w:widowControl w:val="0"/>
        <w:spacing w:before="8"/>
        <w:ind w:hanging="15"/>
        <w:rPr>
          <w:rFonts w:eastAsia="Arial"/>
          <w:iCs/>
          <w:sz w:val="22"/>
          <w:szCs w:val="22"/>
          <w:lang w:val="en-US"/>
        </w:rPr>
      </w:pPr>
    </w:p>
    <w:p w14:paraId="28C0EDB9" w14:textId="77777777" w:rsidR="00AF47D2" w:rsidRPr="00920DB6" w:rsidRDefault="00AF47D2" w:rsidP="00920DB6">
      <w:pPr>
        <w:rPr>
          <w:b/>
          <w:i/>
          <w:iCs/>
          <w:sz w:val="22"/>
          <w:szCs w:val="22"/>
        </w:rPr>
      </w:pPr>
      <w:r w:rsidRPr="00920DB6">
        <w:rPr>
          <w:b/>
          <w:i/>
          <w:iCs/>
          <w:sz w:val="22"/>
          <w:szCs w:val="22"/>
        </w:rPr>
        <w:t>Short term debtors and creditors</w:t>
      </w:r>
    </w:p>
    <w:p w14:paraId="0C6C9905" w14:textId="77777777" w:rsidR="00AF47D2" w:rsidRPr="00920DB6" w:rsidRDefault="00AF47D2" w:rsidP="00AC2DE9">
      <w:pPr>
        <w:widowControl w:val="0"/>
        <w:spacing w:before="75"/>
        <w:jc w:val="both"/>
        <w:rPr>
          <w:sz w:val="22"/>
          <w:szCs w:val="22"/>
        </w:rPr>
      </w:pPr>
      <w:r w:rsidRPr="00920DB6">
        <w:rPr>
          <w:sz w:val="22"/>
          <w:szCs w:val="22"/>
        </w:rPr>
        <w:t>Debtors and creditors with no stated interest rate and receivable or payable within one year are recorded at transaction price. Any losses arising from impairment are recognised in the income statement in other operating expenses.</w:t>
      </w:r>
    </w:p>
    <w:p w14:paraId="114338F3" w14:textId="77777777" w:rsidR="003E1C58" w:rsidRPr="007D15C4" w:rsidRDefault="003E1C58" w:rsidP="007D15C4">
      <w:pPr>
        <w:widowControl w:val="0"/>
        <w:spacing w:before="8"/>
        <w:ind w:hanging="15"/>
        <w:rPr>
          <w:rFonts w:eastAsia="Arial"/>
          <w:sz w:val="22"/>
          <w:szCs w:val="22"/>
          <w:lang w:val="en-US"/>
        </w:rPr>
      </w:pPr>
    </w:p>
    <w:p w14:paraId="01436E12" w14:textId="77777777" w:rsidR="00AF47D2" w:rsidRPr="007D15C4" w:rsidRDefault="00AF47D2" w:rsidP="007D15C4">
      <w:pPr>
        <w:widowControl w:val="0"/>
        <w:ind w:hanging="15"/>
        <w:jc w:val="both"/>
        <w:rPr>
          <w:rFonts w:eastAsia="Arial"/>
          <w:sz w:val="22"/>
          <w:szCs w:val="22"/>
          <w:lang w:val="en-US"/>
        </w:rPr>
      </w:pPr>
      <w:r w:rsidRPr="007D15C4">
        <w:rPr>
          <w:rFonts w:eastAsia="Calibri"/>
          <w:b/>
          <w:i/>
          <w:color w:val="231F20"/>
          <w:spacing w:val="-2"/>
          <w:sz w:val="22"/>
          <w:szCs w:val="22"/>
          <w:lang w:val="en-US"/>
        </w:rPr>
        <w:t>Judgements</w:t>
      </w:r>
      <w:r w:rsidRPr="007D15C4">
        <w:rPr>
          <w:rFonts w:eastAsia="Calibri"/>
          <w:b/>
          <w:i/>
          <w:color w:val="231F20"/>
          <w:spacing w:val="5"/>
          <w:sz w:val="22"/>
          <w:szCs w:val="22"/>
          <w:lang w:val="en-US"/>
        </w:rPr>
        <w:t xml:space="preserve"> </w:t>
      </w:r>
      <w:r w:rsidRPr="007D15C4">
        <w:rPr>
          <w:rFonts w:eastAsia="Calibri"/>
          <w:b/>
          <w:i/>
          <w:color w:val="231F20"/>
          <w:spacing w:val="-1"/>
          <w:sz w:val="22"/>
          <w:szCs w:val="22"/>
          <w:lang w:val="en-US"/>
        </w:rPr>
        <w:t>and</w:t>
      </w:r>
      <w:r w:rsidRPr="007D15C4">
        <w:rPr>
          <w:rFonts w:eastAsia="Calibri"/>
          <w:b/>
          <w:i/>
          <w:color w:val="231F20"/>
          <w:spacing w:val="5"/>
          <w:sz w:val="22"/>
          <w:szCs w:val="22"/>
          <w:lang w:val="en-US"/>
        </w:rPr>
        <w:t xml:space="preserve"> </w:t>
      </w:r>
      <w:r w:rsidRPr="007D15C4">
        <w:rPr>
          <w:rFonts w:eastAsia="Calibri"/>
          <w:b/>
          <w:i/>
          <w:color w:val="231F20"/>
          <w:spacing w:val="-4"/>
          <w:sz w:val="22"/>
          <w:szCs w:val="22"/>
          <w:lang w:val="en-US"/>
        </w:rPr>
        <w:t>key</w:t>
      </w:r>
      <w:r w:rsidRPr="007D15C4">
        <w:rPr>
          <w:rFonts w:eastAsia="Calibri"/>
          <w:b/>
          <w:i/>
          <w:color w:val="231F20"/>
          <w:spacing w:val="5"/>
          <w:sz w:val="22"/>
          <w:szCs w:val="22"/>
          <w:lang w:val="en-US"/>
        </w:rPr>
        <w:t xml:space="preserve"> </w:t>
      </w:r>
      <w:r w:rsidRPr="007D15C4">
        <w:rPr>
          <w:rFonts w:eastAsia="Calibri"/>
          <w:b/>
          <w:i/>
          <w:color w:val="231F20"/>
          <w:spacing w:val="-1"/>
          <w:sz w:val="22"/>
          <w:szCs w:val="22"/>
          <w:lang w:val="en-US"/>
        </w:rPr>
        <w:t>sources</w:t>
      </w:r>
      <w:r w:rsidRPr="007D15C4">
        <w:rPr>
          <w:rFonts w:eastAsia="Calibri"/>
          <w:b/>
          <w:i/>
          <w:color w:val="231F20"/>
          <w:spacing w:val="5"/>
          <w:sz w:val="22"/>
          <w:szCs w:val="22"/>
          <w:lang w:val="en-US"/>
        </w:rPr>
        <w:t xml:space="preserve"> </w:t>
      </w:r>
      <w:r w:rsidRPr="007D15C4">
        <w:rPr>
          <w:rFonts w:eastAsia="Calibri"/>
          <w:b/>
          <w:i/>
          <w:color w:val="231F20"/>
          <w:spacing w:val="-1"/>
          <w:sz w:val="22"/>
          <w:szCs w:val="22"/>
          <w:lang w:val="en-US"/>
        </w:rPr>
        <w:t>of</w:t>
      </w:r>
      <w:r w:rsidRPr="007D15C4">
        <w:rPr>
          <w:rFonts w:eastAsia="Calibri"/>
          <w:b/>
          <w:i/>
          <w:color w:val="231F20"/>
          <w:spacing w:val="34"/>
          <w:sz w:val="22"/>
          <w:szCs w:val="22"/>
          <w:lang w:val="en-US"/>
        </w:rPr>
        <w:t xml:space="preserve"> </w:t>
      </w:r>
      <w:r w:rsidRPr="007D15C4">
        <w:rPr>
          <w:rFonts w:eastAsia="Calibri"/>
          <w:b/>
          <w:i/>
          <w:color w:val="231F20"/>
          <w:spacing w:val="-2"/>
          <w:sz w:val="22"/>
          <w:szCs w:val="22"/>
          <w:lang w:val="en-US"/>
        </w:rPr>
        <w:t>estimation</w:t>
      </w:r>
      <w:r w:rsidRPr="007D15C4">
        <w:rPr>
          <w:rFonts w:eastAsia="Calibri"/>
          <w:b/>
          <w:i/>
          <w:color w:val="231F20"/>
          <w:spacing w:val="5"/>
          <w:sz w:val="22"/>
          <w:szCs w:val="22"/>
          <w:lang w:val="en-US"/>
        </w:rPr>
        <w:t xml:space="preserve"> </w:t>
      </w:r>
      <w:r w:rsidRPr="007D15C4">
        <w:rPr>
          <w:rFonts w:eastAsia="Calibri"/>
          <w:b/>
          <w:i/>
          <w:color w:val="231F20"/>
          <w:sz w:val="22"/>
          <w:szCs w:val="22"/>
          <w:lang w:val="en-US"/>
        </w:rPr>
        <w:t>uncertainty</w:t>
      </w:r>
    </w:p>
    <w:p w14:paraId="12E26456" w14:textId="2A13722B" w:rsidR="00AF47D2" w:rsidRPr="00AC2DE9" w:rsidRDefault="00AF47D2" w:rsidP="00AC2DE9">
      <w:pPr>
        <w:widowControl w:val="0"/>
        <w:spacing w:before="75"/>
        <w:jc w:val="both"/>
        <w:rPr>
          <w:rFonts w:eastAsia="Arial"/>
          <w:color w:val="231F20"/>
          <w:sz w:val="22"/>
          <w:szCs w:val="22"/>
          <w:lang w:val="en-US"/>
        </w:rPr>
      </w:pPr>
      <w:r w:rsidRPr="00920DB6">
        <w:rPr>
          <w:sz w:val="22"/>
          <w:szCs w:val="22"/>
        </w:rPr>
        <w:t xml:space="preserve">The preparation of the Historical Financial Information requires the </w:t>
      </w:r>
      <w:r w:rsidR="00B15E11" w:rsidRPr="00920DB6">
        <w:rPr>
          <w:sz w:val="22"/>
          <w:szCs w:val="22"/>
        </w:rPr>
        <w:t>d</w:t>
      </w:r>
      <w:r w:rsidRPr="00920DB6">
        <w:rPr>
          <w:sz w:val="22"/>
          <w:szCs w:val="22"/>
        </w:rPr>
        <w:t xml:space="preserve">irectors to make judgements, </w:t>
      </w:r>
      <w:r w:rsidRPr="00AC2DE9">
        <w:rPr>
          <w:rFonts w:eastAsia="Arial"/>
          <w:color w:val="231F20"/>
          <w:sz w:val="22"/>
          <w:szCs w:val="22"/>
          <w:lang w:val="en-US"/>
        </w:rPr>
        <w:t>estimates and assumptions that affect the amounts reported. These estimates and judgements are continually reviewed and are based on experience and other factors, including expectations of future events that are believed to be reasonable under the circumstances.</w:t>
      </w:r>
    </w:p>
    <w:p w14:paraId="5301B561" w14:textId="77777777" w:rsidR="00AF47D2" w:rsidRPr="00AC2DE9" w:rsidRDefault="00AF47D2" w:rsidP="00AC2DE9">
      <w:pPr>
        <w:widowControl w:val="0"/>
        <w:spacing w:before="75"/>
        <w:jc w:val="both"/>
        <w:rPr>
          <w:rFonts w:eastAsia="Arial"/>
          <w:color w:val="231F20"/>
          <w:sz w:val="22"/>
          <w:szCs w:val="22"/>
          <w:lang w:val="en-US"/>
        </w:rPr>
      </w:pPr>
      <w:r w:rsidRPr="007D15C4">
        <w:rPr>
          <w:rFonts w:eastAsia="Arial"/>
          <w:color w:val="231F20"/>
          <w:sz w:val="22"/>
          <w:szCs w:val="22"/>
          <w:lang w:val="en-US"/>
        </w:rPr>
        <w:t>Accounting</w:t>
      </w:r>
      <w:r w:rsidRPr="00AC2DE9">
        <w:rPr>
          <w:rFonts w:eastAsia="Arial"/>
          <w:color w:val="231F20"/>
          <w:sz w:val="22"/>
          <w:szCs w:val="22"/>
          <w:lang w:val="en-US"/>
        </w:rPr>
        <w:t xml:space="preserve"> estimates and assumptions are </w:t>
      </w:r>
      <w:r w:rsidRPr="007D15C4">
        <w:rPr>
          <w:rFonts w:eastAsia="Arial"/>
          <w:color w:val="231F20"/>
          <w:sz w:val="22"/>
          <w:szCs w:val="22"/>
          <w:lang w:val="en-US"/>
        </w:rPr>
        <w:t>made</w:t>
      </w:r>
      <w:r w:rsidRPr="00AC2DE9">
        <w:rPr>
          <w:rFonts w:eastAsia="Arial"/>
          <w:color w:val="231F20"/>
          <w:sz w:val="22"/>
          <w:szCs w:val="22"/>
          <w:lang w:val="en-US"/>
        </w:rPr>
        <w:t xml:space="preserve"> </w:t>
      </w:r>
      <w:r w:rsidRPr="007D15C4">
        <w:rPr>
          <w:rFonts w:eastAsia="Arial"/>
          <w:color w:val="231F20"/>
          <w:sz w:val="22"/>
          <w:szCs w:val="22"/>
          <w:lang w:val="en-US"/>
        </w:rPr>
        <w:t>concerning</w:t>
      </w:r>
      <w:r w:rsidRPr="00AC2DE9">
        <w:rPr>
          <w:rFonts w:eastAsia="Arial"/>
          <w:color w:val="231F20"/>
          <w:sz w:val="22"/>
          <w:szCs w:val="22"/>
          <w:lang w:val="en-US"/>
        </w:rPr>
        <w:t xml:space="preserve"> </w:t>
      </w:r>
      <w:r w:rsidRPr="007D15C4">
        <w:rPr>
          <w:rFonts w:eastAsia="Arial"/>
          <w:color w:val="231F20"/>
          <w:sz w:val="22"/>
          <w:szCs w:val="22"/>
          <w:lang w:val="en-US"/>
        </w:rPr>
        <w:t>the</w:t>
      </w:r>
      <w:r w:rsidRPr="00AC2DE9">
        <w:rPr>
          <w:rFonts w:eastAsia="Arial"/>
          <w:color w:val="231F20"/>
          <w:sz w:val="22"/>
          <w:szCs w:val="22"/>
          <w:lang w:val="en-US"/>
        </w:rPr>
        <w:t xml:space="preserve"> </w:t>
      </w:r>
      <w:r w:rsidRPr="007D15C4">
        <w:rPr>
          <w:rFonts w:eastAsia="Arial"/>
          <w:color w:val="231F20"/>
          <w:sz w:val="22"/>
          <w:szCs w:val="22"/>
          <w:lang w:val="en-US"/>
        </w:rPr>
        <w:t>future</w:t>
      </w:r>
      <w:r w:rsidRPr="00AC2DE9">
        <w:rPr>
          <w:rFonts w:eastAsia="Arial"/>
          <w:color w:val="231F20"/>
          <w:sz w:val="22"/>
          <w:szCs w:val="22"/>
          <w:lang w:val="en-US"/>
        </w:rPr>
        <w:t xml:space="preserve"> and, by </w:t>
      </w:r>
      <w:r w:rsidRPr="007D15C4">
        <w:rPr>
          <w:rFonts w:eastAsia="Arial"/>
          <w:color w:val="231F20"/>
          <w:sz w:val="22"/>
          <w:szCs w:val="22"/>
          <w:lang w:val="en-US"/>
        </w:rPr>
        <w:t>their</w:t>
      </w:r>
      <w:r w:rsidRPr="00AC2DE9">
        <w:rPr>
          <w:rFonts w:eastAsia="Arial"/>
          <w:color w:val="231F20"/>
          <w:sz w:val="22"/>
          <w:szCs w:val="22"/>
          <w:lang w:val="en-US"/>
        </w:rPr>
        <w:t xml:space="preserve"> nature, </w:t>
      </w:r>
      <w:r w:rsidRPr="007D15C4">
        <w:rPr>
          <w:rFonts w:eastAsia="Arial"/>
          <w:color w:val="231F20"/>
          <w:sz w:val="22"/>
          <w:szCs w:val="22"/>
          <w:lang w:val="en-US"/>
        </w:rPr>
        <w:t>may</w:t>
      </w:r>
      <w:r w:rsidRPr="00AC2DE9">
        <w:rPr>
          <w:rFonts w:eastAsia="Arial"/>
          <w:color w:val="231F20"/>
          <w:sz w:val="22"/>
          <w:szCs w:val="22"/>
          <w:lang w:val="en-US"/>
        </w:rPr>
        <w:t xml:space="preserve"> not accurately </w:t>
      </w:r>
      <w:r w:rsidRPr="007D15C4">
        <w:rPr>
          <w:rFonts w:eastAsia="Arial"/>
          <w:color w:val="231F20"/>
          <w:sz w:val="22"/>
          <w:szCs w:val="22"/>
          <w:lang w:val="en-US"/>
        </w:rPr>
        <w:t>reflect</w:t>
      </w:r>
      <w:r w:rsidRPr="00AC2DE9">
        <w:rPr>
          <w:rFonts w:eastAsia="Arial"/>
          <w:color w:val="231F20"/>
          <w:sz w:val="22"/>
          <w:szCs w:val="22"/>
          <w:lang w:val="en-US"/>
        </w:rPr>
        <w:t xml:space="preserve"> </w:t>
      </w:r>
      <w:r w:rsidRPr="007D15C4">
        <w:rPr>
          <w:rFonts w:eastAsia="Arial"/>
          <w:color w:val="231F20"/>
          <w:sz w:val="22"/>
          <w:szCs w:val="22"/>
          <w:lang w:val="en-US"/>
        </w:rPr>
        <w:t>the</w:t>
      </w:r>
      <w:r w:rsidRPr="00AC2DE9">
        <w:rPr>
          <w:rFonts w:eastAsia="Arial"/>
          <w:color w:val="231F20"/>
          <w:sz w:val="22"/>
          <w:szCs w:val="22"/>
          <w:lang w:val="en-US"/>
        </w:rPr>
        <w:t xml:space="preserve"> </w:t>
      </w:r>
      <w:r w:rsidRPr="007D15C4">
        <w:rPr>
          <w:rFonts w:eastAsia="Arial"/>
          <w:color w:val="231F20"/>
          <w:sz w:val="22"/>
          <w:szCs w:val="22"/>
          <w:lang w:val="en-US"/>
        </w:rPr>
        <w:t>related</w:t>
      </w:r>
      <w:r w:rsidRPr="00AC2DE9">
        <w:rPr>
          <w:rFonts w:eastAsia="Arial"/>
          <w:color w:val="231F20"/>
          <w:sz w:val="22"/>
          <w:szCs w:val="22"/>
          <w:lang w:val="en-US"/>
        </w:rPr>
        <w:t xml:space="preserve"> actual outcome. </w:t>
      </w:r>
      <w:r w:rsidRPr="007D15C4">
        <w:rPr>
          <w:rFonts w:eastAsia="Arial"/>
          <w:color w:val="231F20"/>
          <w:sz w:val="22"/>
          <w:szCs w:val="22"/>
          <w:lang w:val="en-US"/>
        </w:rPr>
        <w:t>There</w:t>
      </w:r>
      <w:r w:rsidRPr="00AC2DE9">
        <w:rPr>
          <w:rFonts w:eastAsia="Arial"/>
          <w:color w:val="231F20"/>
          <w:sz w:val="22"/>
          <w:szCs w:val="22"/>
          <w:lang w:val="en-US"/>
        </w:rPr>
        <w:t xml:space="preserve"> are no </w:t>
      </w:r>
      <w:r w:rsidRPr="007D15C4">
        <w:rPr>
          <w:rFonts w:eastAsia="Arial"/>
          <w:color w:val="231F20"/>
          <w:sz w:val="22"/>
          <w:szCs w:val="22"/>
          <w:lang w:val="en-US"/>
        </w:rPr>
        <w:t>key</w:t>
      </w:r>
      <w:r w:rsidRPr="00AC2DE9">
        <w:rPr>
          <w:rFonts w:eastAsia="Arial"/>
          <w:color w:val="231F20"/>
          <w:sz w:val="22"/>
          <w:szCs w:val="22"/>
          <w:lang w:val="en-US"/>
        </w:rPr>
        <w:t xml:space="preserve"> assumptions and other </w:t>
      </w:r>
      <w:r w:rsidRPr="007D15C4">
        <w:rPr>
          <w:rFonts w:eastAsia="Arial"/>
          <w:color w:val="231F20"/>
          <w:sz w:val="22"/>
          <w:szCs w:val="22"/>
          <w:lang w:val="en-US"/>
        </w:rPr>
        <w:t>sources</w:t>
      </w:r>
      <w:r w:rsidRPr="00AC2DE9">
        <w:rPr>
          <w:rFonts w:eastAsia="Arial"/>
          <w:color w:val="231F20"/>
          <w:sz w:val="22"/>
          <w:szCs w:val="22"/>
          <w:lang w:val="en-US"/>
        </w:rPr>
        <w:t xml:space="preserve"> of estimation uncertainty </w:t>
      </w:r>
      <w:r w:rsidRPr="007D15C4">
        <w:rPr>
          <w:rFonts w:eastAsia="Arial"/>
          <w:color w:val="231F20"/>
          <w:sz w:val="22"/>
          <w:szCs w:val="22"/>
          <w:lang w:val="en-US"/>
        </w:rPr>
        <w:t>that</w:t>
      </w:r>
      <w:r w:rsidRPr="00AC2DE9">
        <w:rPr>
          <w:rFonts w:eastAsia="Arial"/>
          <w:color w:val="231F20"/>
          <w:sz w:val="22"/>
          <w:szCs w:val="22"/>
          <w:lang w:val="en-US"/>
        </w:rPr>
        <w:t xml:space="preserve"> have </w:t>
      </w:r>
      <w:r w:rsidRPr="007D15C4">
        <w:rPr>
          <w:rFonts w:eastAsia="Arial"/>
          <w:color w:val="231F20"/>
          <w:sz w:val="22"/>
          <w:szCs w:val="22"/>
          <w:lang w:val="en-US"/>
        </w:rPr>
        <w:t>a</w:t>
      </w:r>
      <w:r w:rsidRPr="00AC2DE9">
        <w:rPr>
          <w:rFonts w:eastAsia="Arial"/>
          <w:color w:val="231F20"/>
          <w:sz w:val="22"/>
          <w:szCs w:val="22"/>
          <w:lang w:val="en-US"/>
        </w:rPr>
        <w:t xml:space="preserve"> </w:t>
      </w:r>
      <w:r w:rsidRPr="007D15C4">
        <w:rPr>
          <w:rFonts w:eastAsia="Arial"/>
          <w:color w:val="231F20"/>
          <w:sz w:val="22"/>
          <w:szCs w:val="22"/>
          <w:lang w:val="en-US"/>
        </w:rPr>
        <w:t>significant</w:t>
      </w:r>
      <w:r w:rsidRPr="00AC2DE9">
        <w:rPr>
          <w:rFonts w:eastAsia="Arial"/>
          <w:color w:val="231F20"/>
          <w:sz w:val="22"/>
          <w:szCs w:val="22"/>
          <w:lang w:val="en-US"/>
        </w:rPr>
        <w:t xml:space="preserve"> </w:t>
      </w:r>
      <w:r w:rsidRPr="007D15C4">
        <w:rPr>
          <w:rFonts w:eastAsia="Arial"/>
          <w:color w:val="231F20"/>
          <w:sz w:val="22"/>
          <w:szCs w:val="22"/>
          <w:lang w:val="en-US"/>
        </w:rPr>
        <w:t>risk</w:t>
      </w:r>
      <w:r w:rsidRPr="00AC2DE9">
        <w:rPr>
          <w:rFonts w:eastAsia="Arial"/>
          <w:color w:val="231F20"/>
          <w:sz w:val="22"/>
          <w:szCs w:val="22"/>
          <w:lang w:val="en-US"/>
        </w:rPr>
        <w:t xml:space="preserve"> of </w:t>
      </w:r>
      <w:r w:rsidRPr="007D15C4">
        <w:rPr>
          <w:rFonts w:eastAsia="Arial"/>
          <w:color w:val="231F20"/>
          <w:sz w:val="22"/>
          <w:szCs w:val="22"/>
          <w:lang w:val="en-US"/>
        </w:rPr>
        <w:t>causing</w:t>
      </w:r>
      <w:r w:rsidRPr="00AC2DE9">
        <w:rPr>
          <w:rFonts w:eastAsia="Arial"/>
          <w:color w:val="231F20"/>
          <w:sz w:val="22"/>
          <w:szCs w:val="22"/>
          <w:lang w:val="en-US"/>
        </w:rPr>
        <w:t xml:space="preserve"> </w:t>
      </w:r>
      <w:r w:rsidRPr="007D15C4">
        <w:rPr>
          <w:rFonts w:eastAsia="Arial"/>
          <w:color w:val="231F20"/>
          <w:sz w:val="22"/>
          <w:szCs w:val="22"/>
          <w:lang w:val="en-US"/>
        </w:rPr>
        <w:t>a</w:t>
      </w:r>
      <w:r w:rsidRPr="00AC2DE9">
        <w:rPr>
          <w:rFonts w:eastAsia="Arial"/>
          <w:color w:val="231F20"/>
          <w:sz w:val="22"/>
          <w:szCs w:val="22"/>
          <w:lang w:val="en-US"/>
        </w:rPr>
        <w:t xml:space="preserve"> </w:t>
      </w:r>
      <w:r w:rsidRPr="007D15C4">
        <w:rPr>
          <w:rFonts w:eastAsia="Arial"/>
          <w:color w:val="231F20"/>
          <w:sz w:val="22"/>
          <w:szCs w:val="22"/>
          <w:lang w:val="en-US"/>
        </w:rPr>
        <w:t>material</w:t>
      </w:r>
      <w:r w:rsidRPr="00AC2DE9">
        <w:rPr>
          <w:rFonts w:eastAsia="Arial"/>
          <w:color w:val="231F20"/>
          <w:sz w:val="22"/>
          <w:szCs w:val="22"/>
          <w:lang w:val="en-US"/>
        </w:rPr>
        <w:t xml:space="preserve"> adjustment </w:t>
      </w:r>
      <w:r w:rsidRPr="007D15C4">
        <w:rPr>
          <w:rFonts w:eastAsia="Arial"/>
          <w:color w:val="231F20"/>
          <w:sz w:val="22"/>
          <w:szCs w:val="22"/>
          <w:lang w:val="en-US"/>
        </w:rPr>
        <w:t>to</w:t>
      </w:r>
      <w:r w:rsidRPr="00AC2DE9">
        <w:rPr>
          <w:rFonts w:eastAsia="Arial"/>
          <w:color w:val="231F20"/>
          <w:sz w:val="22"/>
          <w:szCs w:val="22"/>
          <w:lang w:val="en-US"/>
        </w:rPr>
        <w:t xml:space="preserve"> </w:t>
      </w:r>
      <w:r w:rsidRPr="007D15C4">
        <w:rPr>
          <w:rFonts w:eastAsia="Arial"/>
          <w:color w:val="231F20"/>
          <w:sz w:val="22"/>
          <w:szCs w:val="22"/>
          <w:lang w:val="en-US"/>
        </w:rPr>
        <w:t>the</w:t>
      </w:r>
      <w:r w:rsidRPr="00AC2DE9">
        <w:rPr>
          <w:rFonts w:eastAsia="Arial"/>
          <w:color w:val="231F20"/>
          <w:sz w:val="22"/>
          <w:szCs w:val="22"/>
          <w:lang w:val="en-US"/>
        </w:rPr>
        <w:t xml:space="preserve"> </w:t>
      </w:r>
      <w:r w:rsidRPr="007D15C4">
        <w:rPr>
          <w:rFonts w:eastAsia="Arial"/>
          <w:color w:val="231F20"/>
          <w:sz w:val="22"/>
          <w:szCs w:val="22"/>
          <w:lang w:val="en-US"/>
        </w:rPr>
        <w:t>carrying</w:t>
      </w:r>
      <w:r w:rsidRPr="00AC2DE9">
        <w:rPr>
          <w:rFonts w:eastAsia="Arial"/>
          <w:color w:val="231F20"/>
          <w:sz w:val="22"/>
          <w:szCs w:val="22"/>
          <w:lang w:val="en-US"/>
        </w:rPr>
        <w:t xml:space="preserve"> amounts of assets and liabilities within </w:t>
      </w:r>
      <w:r w:rsidRPr="007D15C4">
        <w:rPr>
          <w:rFonts w:eastAsia="Arial"/>
          <w:color w:val="231F20"/>
          <w:sz w:val="22"/>
          <w:szCs w:val="22"/>
          <w:lang w:val="en-US"/>
        </w:rPr>
        <w:t>the</w:t>
      </w:r>
      <w:r w:rsidRPr="00AC2DE9">
        <w:rPr>
          <w:rFonts w:eastAsia="Arial"/>
          <w:color w:val="231F20"/>
          <w:sz w:val="22"/>
          <w:szCs w:val="22"/>
          <w:lang w:val="en-US"/>
        </w:rPr>
        <w:t xml:space="preserve"> next </w:t>
      </w:r>
      <w:r w:rsidRPr="007D15C4">
        <w:rPr>
          <w:rFonts w:eastAsia="Arial"/>
          <w:color w:val="231F20"/>
          <w:sz w:val="22"/>
          <w:szCs w:val="22"/>
          <w:lang w:val="en-US"/>
        </w:rPr>
        <w:t>financial</w:t>
      </w:r>
      <w:r w:rsidRPr="00AC2DE9">
        <w:rPr>
          <w:rFonts w:eastAsia="Arial"/>
          <w:color w:val="231F20"/>
          <w:sz w:val="22"/>
          <w:szCs w:val="22"/>
          <w:lang w:val="en-US"/>
        </w:rPr>
        <w:t xml:space="preserve"> year.</w:t>
      </w:r>
    </w:p>
    <w:p w14:paraId="03982A56" w14:textId="77777777" w:rsidR="00AF47D2" w:rsidRPr="007D15C4" w:rsidRDefault="00AF47D2" w:rsidP="007D15C4">
      <w:pPr>
        <w:widowControl w:val="0"/>
        <w:spacing w:before="8"/>
        <w:ind w:hanging="15"/>
        <w:rPr>
          <w:rFonts w:eastAsia="Arial"/>
          <w:sz w:val="22"/>
          <w:szCs w:val="22"/>
          <w:lang w:val="en-US"/>
        </w:rPr>
      </w:pPr>
    </w:p>
    <w:p w14:paraId="7F9CEA2C" w14:textId="77777777" w:rsidR="00AF47D2" w:rsidRPr="007D15C4" w:rsidRDefault="00AF47D2" w:rsidP="007D15C4">
      <w:pPr>
        <w:widowControl w:val="0"/>
        <w:ind w:hanging="15"/>
        <w:jc w:val="both"/>
        <w:rPr>
          <w:rFonts w:eastAsia="Calibri"/>
          <w:b/>
          <w:i/>
          <w:color w:val="231F20"/>
          <w:spacing w:val="-1"/>
          <w:sz w:val="22"/>
          <w:szCs w:val="22"/>
          <w:lang w:val="en-US"/>
        </w:rPr>
      </w:pPr>
      <w:r w:rsidRPr="007D15C4">
        <w:rPr>
          <w:rFonts w:eastAsia="Calibri"/>
          <w:b/>
          <w:i/>
          <w:color w:val="231F20"/>
          <w:spacing w:val="-2"/>
          <w:sz w:val="22"/>
          <w:szCs w:val="22"/>
          <w:lang w:val="en-US"/>
        </w:rPr>
        <w:t>Foreign</w:t>
      </w:r>
      <w:r w:rsidRPr="007D15C4">
        <w:rPr>
          <w:rFonts w:eastAsia="Calibri"/>
          <w:b/>
          <w:i/>
          <w:color w:val="231F20"/>
          <w:spacing w:val="5"/>
          <w:sz w:val="22"/>
          <w:szCs w:val="22"/>
          <w:lang w:val="en-US"/>
        </w:rPr>
        <w:t xml:space="preserve"> </w:t>
      </w:r>
      <w:r w:rsidRPr="007D15C4">
        <w:rPr>
          <w:rFonts w:eastAsia="Calibri"/>
          <w:b/>
          <w:i/>
          <w:color w:val="231F20"/>
          <w:spacing w:val="-1"/>
          <w:sz w:val="22"/>
          <w:szCs w:val="22"/>
          <w:lang w:val="en-US"/>
        </w:rPr>
        <w:t>currencies</w:t>
      </w:r>
    </w:p>
    <w:p w14:paraId="7B58EDF0" w14:textId="77777777" w:rsidR="00AF47D2" w:rsidRPr="00AC2DE9" w:rsidRDefault="00AF47D2" w:rsidP="00AC2DE9">
      <w:pPr>
        <w:widowControl w:val="0"/>
        <w:spacing w:before="75"/>
        <w:jc w:val="both"/>
        <w:rPr>
          <w:sz w:val="22"/>
          <w:szCs w:val="22"/>
        </w:rPr>
      </w:pPr>
      <w:r w:rsidRPr="007D15C4">
        <w:rPr>
          <w:sz w:val="22"/>
          <w:szCs w:val="22"/>
        </w:rPr>
        <w:t>For the purposes of the consolidated financial statements, the results and financial position of each Group entity are expressed in pounds sterling, which is the presentation currency for the consolidated financial statements.</w:t>
      </w:r>
    </w:p>
    <w:p w14:paraId="143DB3F0" w14:textId="77777777" w:rsidR="00AF47D2" w:rsidRPr="007D15C4" w:rsidRDefault="00AF47D2" w:rsidP="00AC2DE9">
      <w:pPr>
        <w:widowControl w:val="0"/>
        <w:spacing w:before="75"/>
        <w:jc w:val="both"/>
        <w:rPr>
          <w:sz w:val="22"/>
          <w:szCs w:val="22"/>
        </w:rPr>
      </w:pPr>
      <w:r w:rsidRPr="007D15C4">
        <w:rPr>
          <w:sz w:val="22"/>
          <w:szCs w:val="22"/>
        </w:rPr>
        <w:t>In preparing the financial statements of the individual entities, transactions in currencies other than the entity’s functional currency (foreign currencies) are recorded at the rates of exchange prevailing at the dates of the transactions. At each reporting date, monetary items denominated in foreign currencies are retranslated at the rates prevailing at the reporting date. Exchange differences arising are included in the profit or loss for the period.</w:t>
      </w:r>
    </w:p>
    <w:p w14:paraId="32E2415B" w14:textId="77777777" w:rsidR="00AF47D2" w:rsidRPr="00AC2DE9" w:rsidRDefault="00AF47D2" w:rsidP="00AC2DE9">
      <w:pPr>
        <w:widowControl w:val="0"/>
        <w:spacing w:before="75"/>
        <w:jc w:val="both"/>
        <w:rPr>
          <w:sz w:val="22"/>
          <w:szCs w:val="22"/>
        </w:rPr>
      </w:pPr>
      <w:r w:rsidRPr="007D15C4">
        <w:rPr>
          <w:sz w:val="22"/>
          <w:szCs w:val="22"/>
        </w:rPr>
        <w:t>For the purposes of preparing consolidated financial statements, the assets and liabilities of the Group’s foreign operations are translated at exchange rates prevailing on the reporting date. Income and expense items are translated at the average exchange rates for the period. Gains and losses from exchange differences so arising are shown through the Consolidated Statement of Changes in Equity.</w:t>
      </w:r>
    </w:p>
    <w:p w14:paraId="5B65E5EE" w14:textId="77777777" w:rsidR="00AF47D2" w:rsidRPr="00AC2DE9" w:rsidRDefault="00AF47D2" w:rsidP="00AC2DE9">
      <w:pPr>
        <w:widowControl w:val="0"/>
        <w:spacing w:before="75"/>
        <w:jc w:val="both"/>
        <w:rPr>
          <w:sz w:val="22"/>
          <w:szCs w:val="22"/>
        </w:rPr>
      </w:pPr>
    </w:p>
    <w:p w14:paraId="6F32B406" w14:textId="77777777" w:rsidR="00AF47D2" w:rsidRPr="007D15C4" w:rsidRDefault="00AF47D2" w:rsidP="007D15C4">
      <w:pPr>
        <w:widowControl w:val="0"/>
        <w:jc w:val="both"/>
        <w:rPr>
          <w:rFonts w:eastAsia="Arial"/>
          <w:sz w:val="22"/>
          <w:szCs w:val="22"/>
          <w:lang w:val="en-US"/>
        </w:rPr>
      </w:pPr>
      <w:r w:rsidRPr="007D15C4">
        <w:rPr>
          <w:rFonts w:eastAsia="Calibri"/>
          <w:b/>
          <w:i/>
          <w:color w:val="231F20"/>
          <w:spacing w:val="-2"/>
          <w:sz w:val="22"/>
          <w:szCs w:val="22"/>
          <w:lang w:val="en-US"/>
        </w:rPr>
        <w:t>Investments</w:t>
      </w:r>
    </w:p>
    <w:p w14:paraId="07313ED9" w14:textId="77777777" w:rsidR="00AF47D2" w:rsidRPr="00920DB6" w:rsidRDefault="00AF47D2" w:rsidP="00AC2DE9">
      <w:pPr>
        <w:widowControl w:val="0"/>
        <w:spacing w:before="75"/>
        <w:jc w:val="both"/>
        <w:rPr>
          <w:sz w:val="22"/>
          <w:szCs w:val="22"/>
        </w:rPr>
      </w:pPr>
      <w:r w:rsidRPr="00920DB6">
        <w:rPr>
          <w:sz w:val="22"/>
          <w:szCs w:val="22"/>
        </w:rPr>
        <w:t>Fixed asset investments are initially recorded at cost, and subsequently stated at cost less any accumulated impairment losses.</w:t>
      </w:r>
    </w:p>
    <w:p w14:paraId="0744B745" w14:textId="77777777" w:rsidR="00AF47D2" w:rsidRPr="00AC2DE9" w:rsidRDefault="00AF47D2" w:rsidP="00AC2DE9">
      <w:pPr>
        <w:widowControl w:val="0"/>
        <w:spacing w:before="75"/>
        <w:jc w:val="both"/>
        <w:rPr>
          <w:sz w:val="22"/>
          <w:szCs w:val="22"/>
        </w:rPr>
      </w:pPr>
      <w:r w:rsidRPr="00AC2DE9">
        <w:rPr>
          <w:sz w:val="22"/>
          <w:szCs w:val="22"/>
        </w:rPr>
        <w:t>Listed investments are measured at fair value with changes in fair value being recognised in profit or loss.</w:t>
      </w:r>
    </w:p>
    <w:p w14:paraId="39F9694C" w14:textId="77777777" w:rsidR="006A198A" w:rsidRDefault="006A198A" w:rsidP="007D15C4">
      <w:pPr>
        <w:widowControl w:val="0"/>
        <w:jc w:val="both"/>
        <w:rPr>
          <w:rFonts w:eastAsia="Calibri"/>
          <w:b/>
          <w:i/>
          <w:color w:val="231F20"/>
          <w:sz w:val="22"/>
          <w:szCs w:val="22"/>
          <w:lang w:val="en-US"/>
        </w:rPr>
      </w:pPr>
    </w:p>
    <w:p w14:paraId="55646A2E" w14:textId="6FBCD30C" w:rsidR="00AF47D2" w:rsidRPr="00862439" w:rsidRDefault="00AF47D2" w:rsidP="007D15C4">
      <w:pPr>
        <w:widowControl w:val="0"/>
        <w:jc w:val="both"/>
        <w:rPr>
          <w:rFonts w:eastAsia="Calibri"/>
          <w:b/>
          <w:i/>
          <w:color w:val="231F20"/>
          <w:spacing w:val="-2"/>
          <w:sz w:val="22"/>
          <w:szCs w:val="22"/>
          <w:lang w:val="en-US"/>
        </w:rPr>
      </w:pPr>
      <w:r w:rsidRPr="00862439">
        <w:rPr>
          <w:rFonts w:eastAsia="Calibri"/>
          <w:b/>
          <w:i/>
          <w:color w:val="231F20"/>
          <w:spacing w:val="-2"/>
          <w:sz w:val="22"/>
          <w:szCs w:val="22"/>
          <w:lang w:val="en-US"/>
        </w:rPr>
        <w:t>Impairment of fixed assets</w:t>
      </w:r>
    </w:p>
    <w:p w14:paraId="084A3829" w14:textId="52752D21" w:rsidR="00AF47D2" w:rsidRDefault="00AF47D2" w:rsidP="00862439">
      <w:pPr>
        <w:widowControl w:val="0"/>
        <w:spacing w:before="75"/>
        <w:jc w:val="both"/>
        <w:rPr>
          <w:sz w:val="22"/>
          <w:szCs w:val="22"/>
        </w:rPr>
      </w:pPr>
      <w:r w:rsidRPr="00920DB6">
        <w:rPr>
          <w:sz w:val="22"/>
          <w:szCs w:val="22"/>
        </w:rPr>
        <w:t>A review for indicators of impairment is carried out at each reporting date, with the recoverable amount being estimated where such indicators exist. Where the carrying value exceeds the recoverable amount, the asset is impaired accordingly. Prior impairments are also reviewed for possible reversal at each reporting date.</w:t>
      </w:r>
    </w:p>
    <w:p w14:paraId="151886B7" w14:textId="77777777" w:rsidR="00862439" w:rsidRDefault="00862439" w:rsidP="00920DB6">
      <w:pPr>
        <w:jc w:val="both"/>
        <w:rPr>
          <w:sz w:val="22"/>
          <w:szCs w:val="22"/>
        </w:rPr>
      </w:pPr>
    </w:p>
    <w:p w14:paraId="0DBA8A21" w14:textId="77777777" w:rsidR="0008621D" w:rsidRDefault="0008621D" w:rsidP="0008621D">
      <w:pPr>
        <w:widowControl w:val="0"/>
        <w:jc w:val="center"/>
        <w:rPr>
          <w:rFonts w:eastAsia="Calibri"/>
          <w:b/>
          <w:i/>
          <w:color w:val="231F20"/>
          <w:sz w:val="22"/>
          <w:szCs w:val="22"/>
          <w:lang w:val="en-US"/>
        </w:rPr>
      </w:pPr>
      <w:r w:rsidRPr="006A198A">
        <w:rPr>
          <w:b/>
          <w:bCs/>
          <w:sz w:val="22"/>
          <w:szCs w:val="22"/>
        </w:rPr>
        <w:t>NOTES TO THE FINANCIAL STATEMENTS</w:t>
      </w:r>
      <w:r>
        <w:rPr>
          <w:b/>
          <w:bCs/>
          <w:sz w:val="22"/>
          <w:szCs w:val="22"/>
        </w:rPr>
        <w:t xml:space="preserve"> (continued)</w:t>
      </w:r>
    </w:p>
    <w:p w14:paraId="7CB69D41" w14:textId="77777777" w:rsidR="00862439" w:rsidRDefault="00862439" w:rsidP="00862439">
      <w:pPr>
        <w:widowControl w:val="0"/>
        <w:spacing w:before="75"/>
        <w:jc w:val="both"/>
        <w:rPr>
          <w:sz w:val="22"/>
          <w:szCs w:val="22"/>
        </w:rPr>
      </w:pPr>
    </w:p>
    <w:p w14:paraId="22594162" w14:textId="6085811A" w:rsidR="00AF47D2" w:rsidRPr="00862439" w:rsidRDefault="00AF47D2" w:rsidP="00862439">
      <w:pPr>
        <w:widowControl w:val="0"/>
        <w:spacing w:before="75"/>
        <w:jc w:val="both"/>
        <w:rPr>
          <w:sz w:val="22"/>
          <w:szCs w:val="22"/>
        </w:rPr>
      </w:pPr>
      <w:r w:rsidRPr="00862439">
        <w:rPr>
          <w:sz w:val="22"/>
          <w:szCs w:val="22"/>
        </w:rPr>
        <w:t>For the purposes of impairment testing, when it is not possible to estimate the recoverable amount of an individual asset, an estimate is made of the recoverable amount of the cash-generating unit to which the asset belongs. The cash-generating unit is the smallest identifiable group of assets that includes the asset and generates cash inflows that largely independent of the cash inflows from other assets or groups of assets.</w:t>
      </w:r>
    </w:p>
    <w:p w14:paraId="552E00D3" w14:textId="633B9161" w:rsidR="00AF47D2" w:rsidRPr="00862439" w:rsidRDefault="00AF47D2" w:rsidP="00862439">
      <w:pPr>
        <w:widowControl w:val="0"/>
        <w:spacing w:before="75"/>
        <w:jc w:val="both"/>
        <w:rPr>
          <w:sz w:val="22"/>
          <w:szCs w:val="22"/>
        </w:rPr>
      </w:pPr>
      <w:r w:rsidRPr="00862439">
        <w:rPr>
          <w:sz w:val="22"/>
          <w:szCs w:val="22"/>
        </w:rPr>
        <w:t>For impairment testing of goodwill, the goodwill acquired in a business combination is, from the acquisition date, allocated to each of the cash-generating units that are expected to benefit from the synergies of the combination, irrespective of whether other assets or liabilities of the Company are assigned to those units.</w:t>
      </w:r>
    </w:p>
    <w:p w14:paraId="515DFFE4" w14:textId="77777777" w:rsidR="003E1C58" w:rsidRDefault="003E1C58" w:rsidP="007D15C4">
      <w:pPr>
        <w:widowControl w:val="0"/>
        <w:jc w:val="both"/>
        <w:rPr>
          <w:rFonts w:eastAsia="Calibri"/>
          <w:b/>
          <w:i/>
          <w:color w:val="231F20"/>
          <w:sz w:val="22"/>
          <w:szCs w:val="22"/>
          <w:lang w:val="en-US"/>
        </w:rPr>
      </w:pPr>
    </w:p>
    <w:p w14:paraId="6EAD837B" w14:textId="524C3A1B" w:rsidR="00AF47D2" w:rsidRPr="007D15C4" w:rsidRDefault="00AF47D2" w:rsidP="007D15C4">
      <w:pPr>
        <w:widowControl w:val="0"/>
        <w:jc w:val="both"/>
        <w:rPr>
          <w:rFonts w:eastAsia="Calibri"/>
          <w:b/>
          <w:i/>
          <w:color w:val="231F20"/>
          <w:sz w:val="22"/>
          <w:szCs w:val="22"/>
          <w:lang w:val="en-US"/>
        </w:rPr>
      </w:pPr>
      <w:r w:rsidRPr="007D15C4">
        <w:rPr>
          <w:rFonts w:eastAsia="Calibri"/>
          <w:b/>
          <w:i/>
          <w:color w:val="231F20"/>
          <w:sz w:val="22"/>
          <w:szCs w:val="22"/>
          <w:lang w:val="en-US"/>
        </w:rPr>
        <w:t>Intangible assets</w:t>
      </w:r>
    </w:p>
    <w:p w14:paraId="1199FE06" w14:textId="3E1EFF28" w:rsidR="00AF47D2" w:rsidRPr="0008621D" w:rsidRDefault="00AF47D2" w:rsidP="00862439">
      <w:pPr>
        <w:widowControl w:val="0"/>
        <w:spacing w:before="75"/>
        <w:jc w:val="both"/>
        <w:rPr>
          <w:sz w:val="22"/>
          <w:szCs w:val="22"/>
        </w:rPr>
      </w:pPr>
      <w:r w:rsidRPr="0008621D">
        <w:rPr>
          <w:sz w:val="22"/>
          <w:szCs w:val="22"/>
        </w:rPr>
        <w:t xml:space="preserve">Trademarks, licences and customer contracts, </w:t>
      </w:r>
      <w:r w:rsidR="00B15D76" w:rsidRPr="0008621D">
        <w:rPr>
          <w:sz w:val="22"/>
          <w:szCs w:val="22"/>
        </w:rPr>
        <w:t>s</w:t>
      </w:r>
      <w:r w:rsidRPr="0008621D">
        <w:rPr>
          <w:sz w:val="22"/>
          <w:szCs w:val="22"/>
        </w:rPr>
        <w:t>eparately acquired trademarks and licences are shown at historical cost. Trademarks, licen</w:t>
      </w:r>
      <w:r w:rsidR="00B15D76" w:rsidRPr="0008621D">
        <w:rPr>
          <w:sz w:val="22"/>
          <w:szCs w:val="22"/>
        </w:rPr>
        <w:t>c</w:t>
      </w:r>
      <w:r w:rsidRPr="0008621D">
        <w:rPr>
          <w:sz w:val="22"/>
          <w:szCs w:val="22"/>
        </w:rPr>
        <w:t>es and customer contracts acquired in a business combination are recognised at fair value at the acquisition date. They have a finite useful life and are subsequently carried at cost less accumulated amortisation and impairment losses.</w:t>
      </w:r>
    </w:p>
    <w:p w14:paraId="602913F2" w14:textId="77777777" w:rsidR="00BC46DA" w:rsidRDefault="00BC46DA" w:rsidP="007D15C4">
      <w:pPr>
        <w:widowControl w:val="0"/>
        <w:jc w:val="both"/>
        <w:rPr>
          <w:rFonts w:eastAsia="Calibri"/>
          <w:b/>
          <w:i/>
          <w:color w:val="231F20"/>
          <w:sz w:val="22"/>
          <w:szCs w:val="22"/>
          <w:lang w:val="en-US"/>
        </w:rPr>
      </w:pPr>
    </w:p>
    <w:p w14:paraId="769D1453" w14:textId="3B3AF72C" w:rsidR="00AF47D2" w:rsidRPr="007D15C4" w:rsidRDefault="00AF47D2" w:rsidP="007D15C4">
      <w:pPr>
        <w:widowControl w:val="0"/>
        <w:jc w:val="both"/>
        <w:rPr>
          <w:rFonts w:eastAsia="Calibri"/>
          <w:b/>
          <w:i/>
          <w:color w:val="231F20"/>
          <w:sz w:val="22"/>
          <w:szCs w:val="22"/>
          <w:lang w:val="en-US"/>
        </w:rPr>
      </w:pPr>
      <w:r w:rsidRPr="007D15C4">
        <w:rPr>
          <w:rFonts w:eastAsia="Calibri"/>
          <w:b/>
          <w:i/>
          <w:color w:val="231F20"/>
          <w:sz w:val="22"/>
          <w:szCs w:val="22"/>
          <w:lang w:val="en-US"/>
        </w:rPr>
        <w:t xml:space="preserve">Impairment of intangible assets </w:t>
      </w:r>
    </w:p>
    <w:p w14:paraId="03219F87" w14:textId="153BA386" w:rsidR="00AF47D2" w:rsidRPr="006D354A" w:rsidRDefault="00AF47D2" w:rsidP="00862439">
      <w:pPr>
        <w:widowControl w:val="0"/>
        <w:spacing w:before="75"/>
        <w:jc w:val="both"/>
        <w:rPr>
          <w:sz w:val="22"/>
          <w:szCs w:val="22"/>
        </w:rPr>
      </w:pPr>
      <w:r w:rsidRPr="006D354A">
        <w:rPr>
          <w:sz w:val="22"/>
          <w:szCs w:val="22"/>
        </w:rPr>
        <w:t>Goodwill and intangible assets that have an indefinite useful life are not subject to amortisation and are tested annually for impairment, or more frequently if events or changes in circumstances indicate that they might be impaired. Other assets are tested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of disposal and value in use. For the purposes of assessing impairment, assets are grouped at the lowest levels for which there are separately identifiable cash inflows which are largely independent of the cash inflows from other assets or groups of assets (cash-generating units). Non-financial assets other than goodwill that suffered an impairment are reviewed for possible reversal of the impairment at the end of each reporting period.</w:t>
      </w:r>
    </w:p>
    <w:p w14:paraId="70F0F066" w14:textId="77777777" w:rsidR="00BC46DA" w:rsidRDefault="00BC46DA" w:rsidP="007D15C4">
      <w:pPr>
        <w:widowControl w:val="0"/>
        <w:jc w:val="both"/>
        <w:rPr>
          <w:rFonts w:eastAsia="Arial"/>
          <w:color w:val="231F20"/>
          <w:spacing w:val="-1"/>
          <w:sz w:val="22"/>
          <w:szCs w:val="22"/>
          <w:lang w:val="en-US"/>
        </w:rPr>
      </w:pPr>
    </w:p>
    <w:p w14:paraId="43E33997" w14:textId="495C31D7" w:rsidR="00AF47D2" w:rsidRPr="006D354A" w:rsidRDefault="00AF47D2" w:rsidP="007D15C4">
      <w:pPr>
        <w:widowControl w:val="0"/>
        <w:jc w:val="both"/>
        <w:rPr>
          <w:rFonts w:eastAsia="Calibri"/>
          <w:b/>
          <w:i/>
          <w:color w:val="231F20"/>
          <w:sz w:val="22"/>
          <w:szCs w:val="22"/>
          <w:lang w:val="en-US"/>
        </w:rPr>
      </w:pPr>
      <w:r w:rsidRPr="006D354A">
        <w:rPr>
          <w:rFonts w:eastAsia="Calibri"/>
          <w:b/>
          <w:i/>
          <w:color w:val="231F20"/>
          <w:sz w:val="22"/>
          <w:szCs w:val="22"/>
          <w:lang w:val="en-US"/>
        </w:rPr>
        <w:t>Financial instruments</w:t>
      </w:r>
    </w:p>
    <w:p w14:paraId="7F2541E6" w14:textId="77777777" w:rsidR="00AF47D2" w:rsidRPr="006D354A" w:rsidRDefault="00AF47D2" w:rsidP="00862439">
      <w:pPr>
        <w:widowControl w:val="0"/>
        <w:spacing w:before="75"/>
        <w:jc w:val="both"/>
        <w:rPr>
          <w:sz w:val="22"/>
          <w:szCs w:val="22"/>
        </w:rPr>
      </w:pPr>
      <w:r w:rsidRPr="006D354A">
        <w:rPr>
          <w:sz w:val="22"/>
          <w:szCs w:val="22"/>
        </w:rPr>
        <w:t>Financial liabilities and equity instruments are classified according to the substance of the contractual arrangements entered into. An equity instrument is any contract that evidences a residual interest in the assets of the entity after deducting all of its financial liabilities.</w:t>
      </w:r>
    </w:p>
    <w:p w14:paraId="535E11E9" w14:textId="77777777" w:rsidR="00AF47D2" w:rsidRPr="00862439" w:rsidRDefault="00AF47D2" w:rsidP="00862439">
      <w:pPr>
        <w:widowControl w:val="0"/>
        <w:spacing w:before="75"/>
        <w:jc w:val="both"/>
        <w:rPr>
          <w:sz w:val="22"/>
          <w:szCs w:val="22"/>
        </w:rPr>
      </w:pPr>
      <w:r w:rsidRPr="00862439">
        <w:rPr>
          <w:sz w:val="22"/>
          <w:szCs w:val="22"/>
        </w:rPr>
        <w:t>Where the contractual obligations of financial instruments (including share capital) are equivalent to a similar debt instrument, those financial instruments are classed as financial liabilities. Financial liabilities are presented as such in the balance sheet. Finance costs and gains or losses relating to financial liabilities are included in the profit and loss account. Finance costs are calculated so as to produce a constant rate of return on the outstanding liability.</w:t>
      </w:r>
    </w:p>
    <w:p w14:paraId="5AE1ED23" w14:textId="77777777" w:rsidR="00AF47D2" w:rsidRPr="00862439" w:rsidRDefault="00AF47D2" w:rsidP="00862439">
      <w:pPr>
        <w:widowControl w:val="0"/>
        <w:spacing w:before="75"/>
        <w:jc w:val="both"/>
        <w:rPr>
          <w:sz w:val="22"/>
          <w:szCs w:val="22"/>
        </w:rPr>
      </w:pPr>
      <w:r w:rsidRPr="00862439">
        <w:rPr>
          <w:sz w:val="22"/>
          <w:szCs w:val="22"/>
        </w:rPr>
        <w:t>Where the contractual terms of share capital do not have any terms meeting the definition of a financial liability then this is classed as an equity instrument. Dividends and distributions relating to equity instruments are debited direct to equity.</w:t>
      </w:r>
    </w:p>
    <w:p w14:paraId="28533B39" w14:textId="77777777" w:rsidR="00AF47D2" w:rsidRPr="007D15C4" w:rsidRDefault="00AF47D2" w:rsidP="007D15C4">
      <w:pPr>
        <w:widowControl w:val="0"/>
        <w:spacing w:before="8"/>
        <w:rPr>
          <w:rFonts w:eastAsia="Arial"/>
          <w:sz w:val="22"/>
          <w:szCs w:val="22"/>
          <w:lang w:val="en-US"/>
        </w:rPr>
      </w:pPr>
    </w:p>
    <w:p w14:paraId="1C13B594" w14:textId="77777777" w:rsidR="00AF47D2" w:rsidRPr="006D354A" w:rsidRDefault="00AF47D2" w:rsidP="007D15C4">
      <w:pPr>
        <w:widowControl w:val="0"/>
        <w:jc w:val="both"/>
        <w:rPr>
          <w:rFonts w:eastAsia="Calibri"/>
          <w:b/>
          <w:i/>
          <w:color w:val="231F20"/>
          <w:sz w:val="22"/>
          <w:szCs w:val="22"/>
          <w:lang w:val="en-US"/>
        </w:rPr>
      </w:pPr>
      <w:r w:rsidRPr="006D354A">
        <w:rPr>
          <w:rFonts w:eastAsia="Calibri"/>
          <w:b/>
          <w:i/>
          <w:color w:val="231F20"/>
          <w:sz w:val="22"/>
          <w:szCs w:val="22"/>
          <w:lang w:val="en-US"/>
        </w:rPr>
        <w:t>Financial liabilities</w:t>
      </w:r>
    </w:p>
    <w:p w14:paraId="3B29A743" w14:textId="462F6B8F" w:rsidR="00AF47D2" w:rsidRPr="006D354A" w:rsidRDefault="00AF47D2" w:rsidP="00862439">
      <w:pPr>
        <w:widowControl w:val="0"/>
        <w:spacing w:before="75"/>
        <w:jc w:val="both"/>
        <w:rPr>
          <w:sz w:val="22"/>
          <w:szCs w:val="22"/>
        </w:rPr>
      </w:pPr>
      <w:r w:rsidRPr="006D354A">
        <w:rPr>
          <w:sz w:val="22"/>
          <w:szCs w:val="22"/>
        </w:rPr>
        <w:t xml:space="preserve">The </w:t>
      </w:r>
      <w:r w:rsidR="00B15E11" w:rsidRPr="006D354A">
        <w:rPr>
          <w:sz w:val="22"/>
          <w:szCs w:val="22"/>
        </w:rPr>
        <w:t>d</w:t>
      </w:r>
      <w:r w:rsidRPr="006D354A">
        <w:rPr>
          <w:sz w:val="22"/>
          <w:szCs w:val="22"/>
        </w:rPr>
        <w:t>irectors determine the classification of the Company’s financial liabilities at initial recognition. The financial liabilities held comprise other payables and accrued liabilities and these are classified as loans and receivables.</w:t>
      </w:r>
    </w:p>
    <w:p w14:paraId="53A328AD" w14:textId="77777777" w:rsidR="003E1C58" w:rsidRDefault="003E1C58" w:rsidP="00AF47D2">
      <w:pPr>
        <w:rPr>
          <w:rFonts w:eastAsia="Arial"/>
          <w:lang w:val="en-US"/>
        </w:rPr>
      </w:pPr>
    </w:p>
    <w:p w14:paraId="355C4911" w14:textId="77777777" w:rsidR="003E1C58" w:rsidRPr="003E1C58" w:rsidRDefault="003E1C58" w:rsidP="003E1C58">
      <w:pPr>
        <w:widowControl w:val="0"/>
        <w:jc w:val="both"/>
        <w:rPr>
          <w:rFonts w:eastAsia="Calibri"/>
          <w:b/>
          <w:i/>
          <w:color w:val="231F20"/>
          <w:spacing w:val="-1"/>
          <w:sz w:val="22"/>
          <w:szCs w:val="22"/>
          <w:lang w:val="en-US"/>
        </w:rPr>
      </w:pPr>
      <w:r w:rsidRPr="007D15C4">
        <w:rPr>
          <w:rFonts w:eastAsia="Calibri"/>
          <w:b/>
          <w:i/>
          <w:color w:val="231F20"/>
          <w:spacing w:val="-1"/>
          <w:sz w:val="22"/>
          <w:szCs w:val="22"/>
          <w:lang w:val="en-US"/>
        </w:rPr>
        <w:t>Cash</w:t>
      </w:r>
      <w:r w:rsidRPr="003E1C58">
        <w:rPr>
          <w:rFonts w:eastAsia="Calibri"/>
          <w:b/>
          <w:i/>
          <w:color w:val="231F20"/>
          <w:spacing w:val="-1"/>
          <w:sz w:val="22"/>
          <w:szCs w:val="22"/>
          <w:lang w:val="en-US"/>
        </w:rPr>
        <w:t xml:space="preserve"> </w:t>
      </w:r>
      <w:r w:rsidRPr="007D15C4">
        <w:rPr>
          <w:rFonts w:eastAsia="Calibri"/>
          <w:b/>
          <w:i/>
          <w:color w:val="231F20"/>
          <w:spacing w:val="-1"/>
          <w:sz w:val="22"/>
          <w:szCs w:val="22"/>
          <w:lang w:val="en-US"/>
        </w:rPr>
        <w:t>and</w:t>
      </w:r>
      <w:r w:rsidRPr="003E1C58">
        <w:rPr>
          <w:rFonts w:eastAsia="Calibri"/>
          <w:b/>
          <w:i/>
          <w:color w:val="231F20"/>
          <w:spacing w:val="-1"/>
          <w:sz w:val="22"/>
          <w:szCs w:val="22"/>
          <w:lang w:val="en-US"/>
        </w:rPr>
        <w:t xml:space="preserve"> </w:t>
      </w:r>
      <w:r w:rsidRPr="007D15C4">
        <w:rPr>
          <w:rFonts w:eastAsia="Calibri"/>
          <w:b/>
          <w:i/>
          <w:color w:val="231F20"/>
          <w:spacing w:val="-1"/>
          <w:sz w:val="22"/>
          <w:szCs w:val="22"/>
          <w:lang w:val="en-US"/>
        </w:rPr>
        <w:t>cash</w:t>
      </w:r>
      <w:r w:rsidRPr="003E1C58">
        <w:rPr>
          <w:rFonts w:eastAsia="Calibri"/>
          <w:b/>
          <w:i/>
          <w:color w:val="231F20"/>
          <w:spacing w:val="-1"/>
          <w:sz w:val="22"/>
          <w:szCs w:val="22"/>
          <w:lang w:val="en-US"/>
        </w:rPr>
        <w:t xml:space="preserve"> equivalents</w:t>
      </w:r>
    </w:p>
    <w:p w14:paraId="306BF14F" w14:textId="77777777" w:rsidR="003E1C58" w:rsidRPr="006D354A" w:rsidRDefault="003E1C58" w:rsidP="00862439">
      <w:pPr>
        <w:widowControl w:val="0"/>
        <w:spacing w:before="75"/>
        <w:jc w:val="both"/>
        <w:rPr>
          <w:sz w:val="22"/>
          <w:szCs w:val="22"/>
        </w:rPr>
      </w:pPr>
      <w:r w:rsidRPr="006D354A">
        <w:rPr>
          <w:sz w:val="22"/>
          <w:szCs w:val="22"/>
        </w:rPr>
        <w:t>The Company considers any cash on short-term deposits and other short-term investments to be cash equivalents.</w:t>
      </w:r>
    </w:p>
    <w:p w14:paraId="38153F43" w14:textId="77777777" w:rsidR="003E1C58" w:rsidRPr="003E1C58" w:rsidRDefault="003E1C58" w:rsidP="003E1C58">
      <w:pPr>
        <w:widowControl w:val="0"/>
        <w:spacing w:before="75"/>
        <w:ind w:right="113" w:hanging="1"/>
        <w:jc w:val="both"/>
        <w:rPr>
          <w:rFonts w:eastAsia="Arial"/>
          <w:color w:val="231F20"/>
          <w:sz w:val="22"/>
          <w:szCs w:val="22"/>
          <w:lang w:val="en-US"/>
        </w:rPr>
      </w:pPr>
    </w:p>
    <w:p w14:paraId="0263D784" w14:textId="48849001" w:rsidR="00862439" w:rsidRDefault="00862439" w:rsidP="003E1C58">
      <w:pPr>
        <w:widowControl w:val="0"/>
        <w:jc w:val="both"/>
        <w:rPr>
          <w:rFonts w:eastAsia="Calibri"/>
          <w:b/>
          <w:i/>
          <w:color w:val="231F20"/>
          <w:spacing w:val="-1"/>
          <w:sz w:val="22"/>
          <w:szCs w:val="22"/>
          <w:lang w:val="en-US"/>
        </w:rPr>
      </w:pPr>
    </w:p>
    <w:p w14:paraId="20955C58" w14:textId="77777777" w:rsidR="0061079E" w:rsidRDefault="0061079E" w:rsidP="003E1C58">
      <w:pPr>
        <w:widowControl w:val="0"/>
        <w:jc w:val="both"/>
        <w:rPr>
          <w:rFonts w:eastAsia="Calibri"/>
          <w:b/>
          <w:i/>
          <w:color w:val="231F20"/>
          <w:spacing w:val="-1"/>
          <w:sz w:val="22"/>
          <w:szCs w:val="22"/>
          <w:lang w:val="en-US"/>
        </w:rPr>
      </w:pPr>
    </w:p>
    <w:p w14:paraId="48647EF6" w14:textId="7DB59735" w:rsidR="00862439" w:rsidRDefault="00862439" w:rsidP="003E1C58">
      <w:pPr>
        <w:widowControl w:val="0"/>
        <w:jc w:val="both"/>
        <w:rPr>
          <w:rFonts w:eastAsia="Calibri"/>
          <w:b/>
          <w:i/>
          <w:color w:val="231F20"/>
          <w:spacing w:val="-1"/>
          <w:sz w:val="22"/>
          <w:szCs w:val="22"/>
          <w:lang w:val="en-US"/>
        </w:rPr>
      </w:pPr>
    </w:p>
    <w:p w14:paraId="4AA5922A" w14:textId="77777777" w:rsidR="00862439" w:rsidRDefault="00862439" w:rsidP="00862439">
      <w:pPr>
        <w:widowControl w:val="0"/>
        <w:jc w:val="center"/>
        <w:rPr>
          <w:rFonts w:eastAsia="Calibri"/>
          <w:b/>
          <w:i/>
          <w:color w:val="231F20"/>
          <w:sz w:val="22"/>
          <w:szCs w:val="22"/>
          <w:lang w:val="en-US"/>
        </w:rPr>
      </w:pPr>
      <w:r w:rsidRPr="006A198A">
        <w:rPr>
          <w:b/>
          <w:bCs/>
          <w:sz w:val="22"/>
          <w:szCs w:val="22"/>
        </w:rPr>
        <w:t>NOTES TO THE FINANCIAL STATEMENTS</w:t>
      </w:r>
      <w:r>
        <w:rPr>
          <w:b/>
          <w:bCs/>
          <w:sz w:val="22"/>
          <w:szCs w:val="22"/>
        </w:rPr>
        <w:t xml:space="preserve"> (continued)</w:t>
      </w:r>
    </w:p>
    <w:p w14:paraId="679447EA" w14:textId="77777777" w:rsidR="00862439" w:rsidRDefault="00862439" w:rsidP="003E1C58">
      <w:pPr>
        <w:widowControl w:val="0"/>
        <w:jc w:val="both"/>
        <w:rPr>
          <w:rFonts w:eastAsia="Calibri"/>
          <w:b/>
          <w:i/>
          <w:color w:val="231F20"/>
          <w:spacing w:val="-1"/>
          <w:sz w:val="22"/>
          <w:szCs w:val="22"/>
          <w:lang w:val="en-US"/>
        </w:rPr>
      </w:pPr>
    </w:p>
    <w:p w14:paraId="2228C5D5" w14:textId="3E97CF19" w:rsidR="003E1C58" w:rsidRPr="003E1C58" w:rsidRDefault="003E1C58" w:rsidP="003E1C58">
      <w:pPr>
        <w:widowControl w:val="0"/>
        <w:jc w:val="both"/>
        <w:rPr>
          <w:rFonts w:eastAsia="Calibri"/>
          <w:b/>
          <w:i/>
          <w:color w:val="231F20"/>
          <w:spacing w:val="-1"/>
          <w:sz w:val="22"/>
          <w:szCs w:val="22"/>
          <w:lang w:val="en-US"/>
        </w:rPr>
      </w:pPr>
      <w:r w:rsidRPr="007D15C4">
        <w:rPr>
          <w:rFonts w:eastAsia="Calibri"/>
          <w:b/>
          <w:i/>
          <w:color w:val="231F20"/>
          <w:spacing w:val="-1"/>
          <w:sz w:val="22"/>
          <w:szCs w:val="22"/>
          <w:lang w:val="en-US"/>
        </w:rPr>
        <w:t>Share</w:t>
      </w:r>
      <w:r w:rsidRPr="003E1C58">
        <w:rPr>
          <w:rFonts w:eastAsia="Calibri"/>
          <w:b/>
          <w:i/>
          <w:color w:val="231F20"/>
          <w:spacing w:val="-1"/>
          <w:sz w:val="22"/>
          <w:szCs w:val="22"/>
          <w:lang w:val="en-US"/>
        </w:rPr>
        <w:t xml:space="preserve"> </w:t>
      </w:r>
      <w:r w:rsidRPr="007D15C4">
        <w:rPr>
          <w:rFonts w:eastAsia="Calibri"/>
          <w:b/>
          <w:i/>
          <w:color w:val="231F20"/>
          <w:spacing w:val="-1"/>
          <w:sz w:val="22"/>
          <w:szCs w:val="22"/>
          <w:lang w:val="en-US"/>
        </w:rPr>
        <w:t>capital</w:t>
      </w:r>
    </w:p>
    <w:p w14:paraId="113A43B7" w14:textId="77777777" w:rsidR="003E1C58" w:rsidRPr="00862439" w:rsidRDefault="003E1C58" w:rsidP="00862439">
      <w:pPr>
        <w:widowControl w:val="0"/>
        <w:spacing w:before="75"/>
        <w:jc w:val="both"/>
        <w:rPr>
          <w:sz w:val="22"/>
          <w:szCs w:val="22"/>
        </w:rPr>
      </w:pPr>
      <w:r w:rsidRPr="00AC2DE9">
        <w:rPr>
          <w:sz w:val="22"/>
          <w:szCs w:val="22"/>
        </w:rPr>
        <w:t>The Company’s ordinary shares of nominal value £0.0001 each (“Ordinary Shares”) are recorded at such nominal value and proceeds received in excess of the nominal value of Ordinary Shares issued, if any, are accounted for as share premium. Both share capital and share premium are classified as equity.</w:t>
      </w:r>
      <w:r w:rsidRPr="00862439">
        <w:rPr>
          <w:sz w:val="22"/>
          <w:szCs w:val="22"/>
        </w:rPr>
        <w:t xml:space="preserve"> Costs incurred directly to the issue of Ordinary Shares are accounted for as a deduction from share premium, otherwise they are charged to the income statement.</w:t>
      </w:r>
    </w:p>
    <w:p w14:paraId="4C300B6C" w14:textId="20D112EA" w:rsidR="003E5CD6" w:rsidRPr="00862439" w:rsidRDefault="003E5CD6" w:rsidP="003E5CD6">
      <w:pPr>
        <w:widowControl w:val="0"/>
        <w:spacing w:before="75"/>
        <w:jc w:val="both"/>
        <w:rPr>
          <w:sz w:val="22"/>
          <w:szCs w:val="22"/>
        </w:rPr>
      </w:pPr>
      <w:r w:rsidRPr="00AC2DE9">
        <w:rPr>
          <w:sz w:val="22"/>
          <w:szCs w:val="22"/>
        </w:rPr>
        <w:t xml:space="preserve">The Company’s </w:t>
      </w:r>
      <w:r>
        <w:rPr>
          <w:sz w:val="22"/>
          <w:szCs w:val="22"/>
        </w:rPr>
        <w:t xml:space="preserve">deferred </w:t>
      </w:r>
      <w:r w:rsidRPr="00AC2DE9">
        <w:rPr>
          <w:sz w:val="22"/>
          <w:szCs w:val="22"/>
        </w:rPr>
        <w:t>shares of nominal value £0.00</w:t>
      </w:r>
      <w:r>
        <w:rPr>
          <w:sz w:val="22"/>
          <w:szCs w:val="22"/>
        </w:rPr>
        <w:t>49</w:t>
      </w:r>
      <w:r w:rsidRPr="00AC2DE9">
        <w:rPr>
          <w:sz w:val="22"/>
          <w:szCs w:val="22"/>
        </w:rPr>
        <w:t xml:space="preserve"> each (“</w:t>
      </w:r>
      <w:r>
        <w:rPr>
          <w:sz w:val="22"/>
          <w:szCs w:val="22"/>
        </w:rPr>
        <w:t>Deferred</w:t>
      </w:r>
      <w:r w:rsidRPr="00AC2DE9">
        <w:rPr>
          <w:sz w:val="22"/>
          <w:szCs w:val="22"/>
        </w:rPr>
        <w:t xml:space="preserve"> Shares”) are recorded at such nominal value and proceeds received in excess of the nominal value of </w:t>
      </w:r>
      <w:r>
        <w:rPr>
          <w:sz w:val="22"/>
          <w:szCs w:val="22"/>
        </w:rPr>
        <w:t xml:space="preserve">Deferred </w:t>
      </w:r>
      <w:r w:rsidRPr="00AC2DE9">
        <w:rPr>
          <w:sz w:val="22"/>
          <w:szCs w:val="22"/>
        </w:rPr>
        <w:t>Shares issued, if any, are accounted for as share premium. Both share capital and share premium are classified as equity.</w:t>
      </w:r>
      <w:r w:rsidRPr="00862439">
        <w:rPr>
          <w:sz w:val="22"/>
          <w:szCs w:val="22"/>
        </w:rPr>
        <w:t xml:space="preserve"> Costs incurred directly to the issue of Ordinary Shares are accounted for as a deduction from share premium, otherwise they are charged to the income statement.</w:t>
      </w:r>
    </w:p>
    <w:p w14:paraId="063789A0" w14:textId="77777777" w:rsidR="00862439" w:rsidRDefault="00862439" w:rsidP="00AF47D2">
      <w:pPr>
        <w:rPr>
          <w:rFonts w:eastAsia="Arial"/>
          <w:lang w:val="en-US"/>
        </w:rPr>
      </w:pPr>
    </w:p>
    <w:p w14:paraId="1BA78230" w14:textId="77777777" w:rsidR="00862439" w:rsidRPr="00862439" w:rsidRDefault="00862439" w:rsidP="00862439">
      <w:pPr>
        <w:widowControl w:val="0"/>
        <w:jc w:val="both"/>
        <w:rPr>
          <w:rFonts w:eastAsia="Calibri"/>
          <w:b/>
          <w:i/>
          <w:color w:val="231F20"/>
          <w:spacing w:val="-1"/>
          <w:sz w:val="22"/>
          <w:szCs w:val="22"/>
          <w:lang w:val="en-US"/>
        </w:rPr>
      </w:pPr>
      <w:r w:rsidRPr="00862439">
        <w:rPr>
          <w:rFonts w:eastAsia="Calibri"/>
          <w:b/>
          <w:i/>
          <w:color w:val="231F20"/>
          <w:spacing w:val="-1"/>
          <w:sz w:val="22"/>
          <w:szCs w:val="22"/>
          <w:lang w:val="en-US"/>
        </w:rPr>
        <w:t xml:space="preserve">Current </w:t>
      </w:r>
      <w:r w:rsidRPr="007D15C4">
        <w:rPr>
          <w:rFonts w:eastAsia="Calibri"/>
          <w:b/>
          <w:i/>
          <w:color w:val="231F20"/>
          <w:spacing w:val="-1"/>
          <w:sz w:val="22"/>
          <w:szCs w:val="22"/>
          <w:lang w:val="en-US"/>
        </w:rPr>
        <w:t>and</w:t>
      </w:r>
      <w:r w:rsidRPr="00862439">
        <w:rPr>
          <w:rFonts w:eastAsia="Calibri"/>
          <w:b/>
          <w:i/>
          <w:color w:val="231F20"/>
          <w:spacing w:val="-1"/>
          <w:sz w:val="22"/>
          <w:szCs w:val="22"/>
          <w:lang w:val="en-US"/>
        </w:rPr>
        <w:t xml:space="preserve"> </w:t>
      </w:r>
      <w:r w:rsidRPr="007D15C4">
        <w:rPr>
          <w:rFonts w:eastAsia="Calibri"/>
          <w:b/>
          <w:i/>
          <w:color w:val="231F20"/>
          <w:spacing w:val="-1"/>
          <w:sz w:val="22"/>
          <w:szCs w:val="22"/>
          <w:lang w:val="en-US"/>
        </w:rPr>
        <w:t>deferred</w:t>
      </w:r>
      <w:r w:rsidRPr="00862439">
        <w:rPr>
          <w:rFonts w:eastAsia="Calibri"/>
          <w:b/>
          <w:i/>
          <w:color w:val="231F20"/>
          <w:spacing w:val="-1"/>
          <w:sz w:val="22"/>
          <w:szCs w:val="22"/>
          <w:lang w:val="en-US"/>
        </w:rPr>
        <w:t xml:space="preserve"> </w:t>
      </w:r>
      <w:r w:rsidRPr="007D15C4">
        <w:rPr>
          <w:rFonts w:eastAsia="Calibri"/>
          <w:b/>
          <w:i/>
          <w:color w:val="231F20"/>
          <w:spacing w:val="-1"/>
          <w:sz w:val="22"/>
          <w:szCs w:val="22"/>
          <w:lang w:val="en-US"/>
        </w:rPr>
        <w:t>income</w:t>
      </w:r>
      <w:r w:rsidRPr="00862439">
        <w:rPr>
          <w:rFonts w:eastAsia="Calibri"/>
          <w:b/>
          <w:i/>
          <w:color w:val="231F20"/>
          <w:spacing w:val="-1"/>
          <w:sz w:val="22"/>
          <w:szCs w:val="22"/>
          <w:lang w:val="en-US"/>
        </w:rPr>
        <w:t xml:space="preserve"> </w:t>
      </w:r>
      <w:r w:rsidRPr="007D15C4">
        <w:rPr>
          <w:rFonts w:eastAsia="Calibri"/>
          <w:b/>
          <w:i/>
          <w:color w:val="231F20"/>
          <w:spacing w:val="-1"/>
          <w:sz w:val="22"/>
          <w:szCs w:val="22"/>
          <w:lang w:val="en-US"/>
        </w:rPr>
        <w:t>tax</w:t>
      </w:r>
    </w:p>
    <w:p w14:paraId="043A34B9" w14:textId="77777777" w:rsidR="00862439" w:rsidRPr="00862439" w:rsidRDefault="00862439" w:rsidP="00862439">
      <w:pPr>
        <w:widowControl w:val="0"/>
        <w:spacing w:before="75"/>
        <w:jc w:val="both"/>
        <w:rPr>
          <w:sz w:val="22"/>
          <w:szCs w:val="22"/>
        </w:rPr>
      </w:pPr>
      <w:r w:rsidRPr="00862439">
        <w:rPr>
          <w:sz w:val="22"/>
          <w:szCs w:val="22"/>
        </w:rPr>
        <w:t>The tax charge represents tax payable less a credit for deferred tax. The tax payable is based on profit for the year. Taxable profit differs from the loss for the year as reported in the Consolidated Statement of Comprehensive Income because it excludes items of income or expense that are taxable or deductible in other years and it further excludes items of income or expense that are never taxable or deductible. The Company’s liability for current tax is calculated using tax rates that have been enacted or substantively enacted by the Statement of Financial Position date.</w:t>
      </w:r>
    </w:p>
    <w:p w14:paraId="4805430C" w14:textId="77777777" w:rsidR="00862439" w:rsidRPr="00862439" w:rsidRDefault="00862439" w:rsidP="00862439">
      <w:pPr>
        <w:widowControl w:val="0"/>
        <w:spacing w:before="75"/>
        <w:jc w:val="both"/>
        <w:rPr>
          <w:sz w:val="22"/>
          <w:szCs w:val="22"/>
        </w:rPr>
      </w:pPr>
      <w:r w:rsidRPr="00862439">
        <w:rPr>
          <w:sz w:val="22"/>
          <w:szCs w:val="22"/>
        </w:rPr>
        <w:t>Deferred tax is the tax expected to be payable or recoverable on differences between the carrying amounts of assets and liabilities in the Historical Financial Information and the corresponding tax bases used in the computation of taxable profit, and is accounted for using the liability method. Deferred tax liabilities are generally recognised for all taxable temporary differences and deferred tax assets are recognised to the extent that it is probable that taxable profits will be available against which deductible temporary differences can be utilised.</w:t>
      </w:r>
    </w:p>
    <w:p w14:paraId="0CE9F2C9" w14:textId="77777777" w:rsidR="00862439" w:rsidRPr="00862439" w:rsidRDefault="00862439" w:rsidP="00862439">
      <w:pPr>
        <w:widowControl w:val="0"/>
        <w:spacing w:before="75"/>
        <w:jc w:val="both"/>
        <w:rPr>
          <w:sz w:val="22"/>
          <w:szCs w:val="22"/>
        </w:rPr>
      </w:pPr>
      <w:r w:rsidRPr="00862439">
        <w:rPr>
          <w:sz w:val="22"/>
          <w:szCs w:val="22"/>
        </w:rPr>
        <w:t>Deferred tax assets and liabilities are offset where there is a legally enforceable right to set off current tax assets against current tax liabilities and when they relate to income taxes levied by the same taxation authority and the Company intends to settle its current tax assets and liabilities on a net basis.</w:t>
      </w:r>
    </w:p>
    <w:p w14:paraId="0613D12E" w14:textId="77777777" w:rsidR="00862439" w:rsidRPr="007D15C4" w:rsidRDefault="00862439" w:rsidP="00862439">
      <w:pPr>
        <w:widowControl w:val="0"/>
        <w:spacing w:before="8"/>
        <w:rPr>
          <w:rFonts w:eastAsia="Arial"/>
          <w:sz w:val="22"/>
          <w:szCs w:val="22"/>
          <w:lang w:val="en-US"/>
        </w:rPr>
      </w:pPr>
    </w:p>
    <w:p w14:paraId="414C821D" w14:textId="77777777" w:rsidR="00862439" w:rsidRPr="00862439" w:rsidRDefault="00862439" w:rsidP="00862439">
      <w:pPr>
        <w:widowControl w:val="0"/>
        <w:jc w:val="both"/>
        <w:rPr>
          <w:rFonts w:eastAsia="Calibri"/>
          <w:b/>
          <w:i/>
          <w:color w:val="231F20"/>
          <w:spacing w:val="-1"/>
          <w:sz w:val="22"/>
          <w:szCs w:val="22"/>
          <w:lang w:val="en-US"/>
        </w:rPr>
      </w:pPr>
      <w:r w:rsidRPr="007D15C4">
        <w:rPr>
          <w:rFonts w:eastAsia="Calibri"/>
          <w:b/>
          <w:i/>
          <w:color w:val="231F20"/>
          <w:spacing w:val="-1"/>
          <w:sz w:val="22"/>
          <w:szCs w:val="22"/>
          <w:lang w:val="en-US"/>
        </w:rPr>
        <w:t>Going</w:t>
      </w:r>
      <w:r w:rsidRPr="00862439">
        <w:rPr>
          <w:rFonts w:eastAsia="Calibri"/>
          <w:b/>
          <w:i/>
          <w:color w:val="231F20"/>
          <w:spacing w:val="-1"/>
          <w:sz w:val="22"/>
          <w:szCs w:val="22"/>
          <w:lang w:val="en-US"/>
        </w:rPr>
        <w:t xml:space="preserve"> concern</w:t>
      </w:r>
    </w:p>
    <w:p w14:paraId="2F28796A" w14:textId="77777777" w:rsidR="00862439" w:rsidRPr="00862439" w:rsidRDefault="00862439" w:rsidP="00862439">
      <w:pPr>
        <w:widowControl w:val="0"/>
        <w:spacing w:before="75"/>
        <w:jc w:val="both"/>
        <w:rPr>
          <w:sz w:val="22"/>
          <w:szCs w:val="22"/>
        </w:rPr>
      </w:pPr>
      <w:r w:rsidRPr="00862439">
        <w:rPr>
          <w:sz w:val="22"/>
          <w:szCs w:val="22"/>
        </w:rPr>
        <w:t>The Historical Financial Information has been prepared on the assumption that the Group will continue as a going concern. Under the going concern assumption, an entity is ordinarily viewed as continuing in business for the foreseeable future with neither the intention nor the necessity of liquidation, ceasing trading or seeking protection from creditors pursuant to laws or regulations. In assessing whether the going concern assumption is appropriate, the directors take into account all available information for the foreseeable future, in particular for the twelve months from the date of approval of the Historical Financial Information.</w:t>
      </w:r>
    </w:p>
    <w:p w14:paraId="3EC69A0B" w14:textId="77777777" w:rsidR="00862439" w:rsidRPr="00862439" w:rsidRDefault="00862439" w:rsidP="00862439">
      <w:pPr>
        <w:widowControl w:val="0"/>
        <w:spacing w:before="75"/>
        <w:jc w:val="both"/>
        <w:rPr>
          <w:sz w:val="22"/>
          <w:szCs w:val="22"/>
        </w:rPr>
      </w:pPr>
      <w:r w:rsidRPr="00862439">
        <w:rPr>
          <w:sz w:val="22"/>
          <w:szCs w:val="22"/>
        </w:rPr>
        <w:t xml:space="preserve">Following the review of ongoing performance and cash flows, the directors have a reasonable expectation that the Group has adequate resources to continue operational existence for the foreseeable future. </w:t>
      </w:r>
    </w:p>
    <w:p w14:paraId="48028D88" w14:textId="4B513A54" w:rsidR="00862439" w:rsidRPr="007D15C4" w:rsidRDefault="00862439" w:rsidP="00AF47D2">
      <w:pPr>
        <w:rPr>
          <w:rFonts w:eastAsia="Arial"/>
          <w:lang w:val="en-US"/>
        </w:rPr>
        <w:sectPr w:rsidR="00862439" w:rsidRPr="007D15C4">
          <w:pgSz w:w="11910" w:h="16840"/>
          <w:pgMar w:top="420" w:right="1300" w:bottom="980" w:left="1300" w:header="221" w:footer="781" w:gutter="0"/>
          <w:cols w:space="720"/>
        </w:sectPr>
      </w:pPr>
    </w:p>
    <w:p w14:paraId="529FFBA5" w14:textId="6C477E1C" w:rsidR="007623F0" w:rsidRPr="00753313" w:rsidRDefault="007D15C4">
      <w:pPr>
        <w:rPr>
          <w:sz w:val="22"/>
          <w:szCs w:val="22"/>
        </w:rPr>
      </w:pPr>
      <w:r>
        <w:rPr>
          <w:b/>
          <w:sz w:val="22"/>
          <w:szCs w:val="22"/>
        </w:rPr>
        <w:t>2</w:t>
      </w:r>
      <w:r w:rsidR="007623F0" w:rsidRPr="00753313">
        <w:rPr>
          <w:b/>
          <w:sz w:val="22"/>
          <w:szCs w:val="22"/>
        </w:rPr>
        <w:t>.</w:t>
      </w:r>
      <w:r w:rsidR="007623F0" w:rsidRPr="00753313">
        <w:rPr>
          <w:b/>
          <w:sz w:val="22"/>
          <w:szCs w:val="22"/>
        </w:rPr>
        <w:tab/>
        <w:t>OPERATING LOSS</w:t>
      </w:r>
    </w:p>
    <w:tbl>
      <w:tblPr>
        <w:tblW w:w="10065" w:type="dxa"/>
        <w:tblLayout w:type="fixed"/>
        <w:tblCellMar>
          <w:left w:w="0" w:type="dxa"/>
          <w:right w:w="0" w:type="dxa"/>
        </w:tblCellMar>
        <w:tblLook w:val="0000" w:firstRow="0" w:lastRow="0" w:firstColumn="0" w:lastColumn="0" w:noHBand="0" w:noVBand="0"/>
      </w:tblPr>
      <w:tblGrid>
        <w:gridCol w:w="5873"/>
        <w:gridCol w:w="1215"/>
        <w:gridCol w:w="1559"/>
        <w:gridCol w:w="1418"/>
      </w:tblGrid>
      <w:tr w:rsidR="00922624" w:rsidRPr="00753313" w14:paraId="47FFD92E"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5E85D61C" w14:textId="77777777" w:rsidR="00753313" w:rsidRPr="00753313" w:rsidRDefault="00753313" w:rsidP="00753313">
            <w:pPr>
              <w:rPr>
                <w:rFonts w:eastAsia="Arial Unicode MS"/>
                <w:sz w:val="22"/>
                <w:szCs w:val="22"/>
              </w:rPr>
            </w:pPr>
          </w:p>
        </w:tc>
        <w:tc>
          <w:tcPr>
            <w:tcW w:w="1215" w:type="dxa"/>
            <w:tcBorders>
              <w:top w:val="nil"/>
              <w:left w:val="nil"/>
              <w:bottom w:val="nil"/>
              <w:right w:val="nil"/>
            </w:tcBorders>
            <w:noWrap/>
            <w:tcMar>
              <w:top w:w="15" w:type="dxa"/>
              <w:left w:w="15" w:type="dxa"/>
              <w:bottom w:w="0" w:type="dxa"/>
              <w:right w:w="15" w:type="dxa"/>
            </w:tcMar>
            <w:vAlign w:val="bottom"/>
          </w:tcPr>
          <w:p w14:paraId="4F73E2F6" w14:textId="77777777" w:rsidR="00753313" w:rsidRPr="00753313" w:rsidRDefault="00753313"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2BD6DBB3" w14:textId="320BA217" w:rsidR="00753313" w:rsidRPr="0046637C" w:rsidRDefault="00F33E26" w:rsidP="0071652E">
            <w:pPr>
              <w:ind w:left="165" w:right="75"/>
              <w:jc w:val="right"/>
              <w:rPr>
                <w:rFonts w:eastAsia="Arial Unicode MS"/>
                <w:b/>
                <w:bCs/>
                <w:sz w:val="22"/>
                <w:szCs w:val="22"/>
              </w:rPr>
            </w:pPr>
            <w:r>
              <w:rPr>
                <w:b/>
                <w:bCs/>
                <w:sz w:val="22"/>
                <w:szCs w:val="22"/>
              </w:rPr>
              <w:t>Year</w:t>
            </w:r>
            <w:r w:rsidR="00A679BF">
              <w:rPr>
                <w:b/>
                <w:bCs/>
                <w:sz w:val="22"/>
                <w:szCs w:val="22"/>
              </w:rPr>
              <w:t xml:space="preserve"> to</w:t>
            </w:r>
          </w:p>
        </w:tc>
        <w:tc>
          <w:tcPr>
            <w:tcW w:w="1418" w:type="dxa"/>
            <w:tcBorders>
              <w:top w:val="nil"/>
              <w:left w:val="nil"/>
              <w:bottom w:val="nil"/>
              <w:right w:val="nil"/>
            </w:tcBorders>
            <w:vAlign w:val="bottom"/>
          </w:tcPr>
          <w:p w14:paraId="6CB71DD1" w14:textId="3706B46B" w:rsidR="00753313" w:rsidRPr="00753313" w:rsidRDefault="00F33E26" w:rsidP="0071652E">
            <w:pPr>
              <w:ind w:right="95"/>
              <w:jc w:val="right"/>
              <w:rPr>
                <w:rFonts w:eastAsia="Arial Unicode MS"/>
                <w:b/>
                <w:bCs/>
                <w:sz w:val="22"/>
                <w:szCs w:val="22"/>
              </w:rPr>
            </w:pPr>
            <w:r>
              <w:rPr>
                <w:b/>
                <w:bCs/>
                <w:sz w:val="22"/>
                <w:szCs w:val="22"/>
              </w:rPr>
              <w:t xml:space="preserve">10-Month Period </w:t>
            </w:r>
            <w:r w:rsidR="00A679BF">
              <w:rPr>
                <w:b/>
                <w:bCs/>
                <w:sz w:val="22"/>
                <w:szCs w:val="22"/>
              </w:rPr>
              <w:t>to</w:t>
            </w:r>
          </w:p>
        </w:tc>
      </w:tr>
      <w:tr w:rsidR="00A679BF" w:rsidRPr="00753313" w14:paraId="53BC1A90"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012CE3C4" w14:textId="77777777" w:rsidR="00A679BF" w:rsidRPr="00753313" w:rsidRDefault="00A679BF" w:rsidP="00753313">
            <w:pPr>
              <w:rPr>
                <w:rFonts w:eastAsia="Arial Unicode MS"/>
                <w:sz w:val="22"/>
                <w:szCs w:val="22"/>
              </w:rPr>
            </w:pPr>
          </w:p>
        </w:tc>
        <w:tc>
          <w:tcPr>
            <w:tcW w:w="1215" w:type="dxa"/>
            <w:tcBorders>
              <w:top w:val="nil"/>
              <w:left w:val="nil"/>
              <w:bottom w:val="nil"/>
              <w:right w:val="nil"/>
            </w:tcBorders>
            <w:noWrap/>
            <w:tcMar>
              <w:top w:w="15" w:type="dxa"/>
              <w:left w:w="15" w:type="dxa"/>
              <w:bottom w:w="0" w:type="dxa"/>
              <w:right w:w="15" w:type="dxa"/>
            </w:tcMar>
            <w:vAlign w:val="bottom"/>
          </w:tcPr>
          <w:p w14:paraId="322A84A9" w14:textId="77777777" w:rsidR="00A679BF" w:rsidRPr="00753313" w:rsidRDefault="00A679BF"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2430128D" w14:textId="03562154" w:rsidR="00A679BF" w:rsidRPr="0046637C" w:rsidRDefault="00A679BF" w:rsidP="0071652E">
            <w:pPr>
              <w:ind w:left="165" w:right="75"/>
              <w:jc w:val="right"/>
              <w:rPr>
                <w:b/>
                <w:bCs/>
                <w:sz w:val="22"/>
                <w:szCs w:val="22"/>
              </w:rPr>
            </w:pPr>
            <w:r>
              <w:rPr>
                <w:b/>
                <w:bCs/>
                <w:sz w:val="22"/>
                <w:szCs w:val="22"/>
              </w:rPr>
              <w:t xml:space="preserve">31 December </w:t>
            </w:r>
            <w:r w:rsidR="00F33E26">
              <w:rPr>
                <w:b/>
                <w:bCs/>
                <w:sz w:val="22"/>
                <w:szCs w:val="22"/>
              </w:rPr>
              <w:t>2020</w:t>
            </w:r>
          </w:p>
        </w:tc>
        <w:tc>
          <w:tcPr>
            <w:tcW w:w="1418" w:type="dxa"/>
            <w:tcBorders>
              <w:top w:val="nil"/>
              <w:left w:val="nil"/>
              <w:bottom w:val="nil"/>
              <w:right w:val="nil"/>
            </w:tcBorders>
            <w:vAlign w:val="bottom"/>
          </w:tcPr>
          <w:p w14:paraId="63447151" w14:textId="17444FDB" w:rsidR="00A679BF" w:rsidRPr="00753313" w:rsidRDefault="00F33E26" w:rsidP="00A679BF">
            <w:pPr>
              <w:ind w:right="95" w:hanging="240"/>
              <w:jc w:val="right"/>
              <w:rPr>
                <w:b/>
                <w:bCs/>
                <w:sz w:val="22"/>
                <w:szCs w:val="22"/>
              </w:rPr>
            </w:pPr>
            <w:r>
              <w:rPr>
                <w:b/>
                <w:bCs/>
                <w:sz w:val="22"/>
                <w:szCs w:val="22"/>
              </w:rPr>
              <w:t>31 December</w:t>
            </w:r>
            <w:r w:rsidR="00A679BF">
              <w:rPr>
                <w:b/>
                <w:bCs/>
                <w:sz w:val="22"/>
                <w:szCs w:val="22"/>
              </w:rPr>
              <w:t xml:space="preserve"> 2019</w:t>
            </w:r>
          </w:p>
        </w:tc>
      </w:tr>
      <w:tr w:rsidR="00922624" w:rsidRPr="00753313" w14:paraId="67D21A5B"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3D3B9619" w14:textId="77777777" w:rsidR="00753313" w:rsidRPr="00753313" w:rsidRDefault="00753313" w:rsidP="00753313">
            <w:pPr>
              <w:rPr>
                <w:rFonts w:eastAsia="Arial Unicode MS"/>
                <w:sz w:val="22"/>
                <w:szCs w:val="22"/>
              </w:rPr>
            </w:pPr>
          </w:p>
        </w:tc>
        <w:tc>
          <w:tcPr>
            <w:tcW w:w="1215" w:type="dxa"/>
            <w:tcBorders>
              <w:top w:val="nil"/>
              <w:left w:val="nil"/>
              <w:bottom w:val="nil"/>
              <w:right w:val="nil"/>
            </w:tcBorders>
            <w:noWrap/>
            <w:tcMar>
              <w:top w:w="15" w:type="dxa"/>
              <w:left w:w="15" w:type="dxa"/>
              <w:bottom w:w="0" w:type="dxa"/>
              <w:right w:w="15" w:type="dxa"/>
            </w:tcMar>
            <w:vAlign w:val="bottom"/>
          </w:tcPr>
          <w:p w14:paraId="31FA1580" w14:textId="77777777" w:rsidR="00753313" w:rsidRPr="00753313" w:rsidRDefault="00753313"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62178FDD" w14:textId="77777777" w:rsidR="00753313" w:rsidRPr="0046637C" w:rsidRDefault="00753313" w:rsidP="003546D5">
            <w:pPr>
              <w:ind w:left="165" w:right="75"/>
              <w:jc w:val="right"/>
              <w:rPr>
                <w:rFonts w:eastAsia="Arial Unicode MS"/>
                <w:b/>
                <w:bCs/>
                <w:sz w:val="22"/>
                <w:szCs w:val="22"/>
              </w:rPr>
            </w:pPr>
            <w:r w:rsidRPr="0046637C">
              <w:rPr>
                <w:b/>
                <w:bCs/>
                <w:sz w:val="22"/>
                <w:szCs w:val="22"/>
              </w:rPr>
              <w:t>£</w:t>
            </w:r>
          </w:p>
        </w:tc>
        <w:tc>
          <w:tcPr>
            <w:tcW w:w="1418" w:type="dxa"/>
            <w:tcBorders>
              <w:top w:val="nil"/>
              <w:left w:val="nil"/>
              <w:bottom w:val="nil"/>
              <w:right w:val="nil"/>
            </w:tcBorders>
            <w:vAlign w:val="bottom"/>
          </w:tcPr>
          <w:p w14:paraId="3CF6EC40" w14:textId="77777777" w:rsidR="00753313" w:rsidRPr="00753313" w:rsidRDefault="00753313" w:rsidP="00753313">
            <w:pPr>
              <w:ind w:right="95"/>
              <w:jc w:val="right"/>
              <w:rPr>
                <w:rFonts w:eastAsia="Arial Unicode MS"/>
                <w:b/>
                <w:bCs/>
                <w:sz w:val="22"/>
                <w:szCs w:val="22"/>
              </w:rPr>
            </w:pPr>
            <w:r w:rsidRPr="00753313">
              <w:rPr>
                <w:b/>
                <w:bCs/>
                <w:sz w:val="22"/>
                <w:szCs w:val="22"/>
              </w:rPr>
              <w:t>£</w:t>
            </w:r>
          </w:p>
        </w:tc>
      </w:tr>
      <w:tr w:rsidR="00922624" w:rsidRPr="00753313" w14:paraId="204698DB"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0249FD5D" w14:textId="77777777" w:rsidR="00753313" w:rsidRPr="00753313" w:rsidRDefault="00753313" w:rsidP="00753313">
            <w:pPr>
              <w:rPr>
                <w:rFonts w:eastAsia="Arial Unicode MS"/>
                <w:b/>
                <w:bCs/>
                <w:sz w:val="22"/>
                <w:szCs w:val="22"/>
              </w:rPr>
            </w:pPr>
            <w:r w:rsidRPr="00753313">
              <w:rPr>
                <w:b/>
                <w:bCs/>
                <w:sz w:val="22"/>
                <w:szCs w:val="22"/>
              </w:rPr>
              <w:t>This is stated after charging/(crediting):</w:t>
            </w:r>
          </w:p>
        </w:tc>
        <w:tc>
          <w:tcPr>
            <w:tcW w:w="1215" w:type="dxa"/>
            <w:tcBorders>
              <w:top w:val="nil"/>
              <w:left w:val="nil"/>
              <w:bottom w:val="nil"/>
              <w:right w:val="nil"/>
            </w:tcBorders>
            <w:noWrap/>
            <w:tcMar>
              <w:top w:w="15" w:type="dxa"/>
              <w:left w:w="15" w:type="dxa"/>
              <w:bottom w:w="0" w:type="dxa"/>
              <w:right w:w="15" w:type="dxa"/>
            </w:tcMar>
            <w:vAlign w:val="bottom"/>
          </w:tcPr>
          <w:p w14:paraId="6B898644" w14:textId="77777777" w:rsidR="00753313" w:rsidRPr="00753313" w:rsidRDefault="00753313"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15F0C25D" w14:textId="77777777" w:rsidR="00753313" w:rsidRPr="0046637C" w:rsidRDefault="00753313" w:rsidP="003546D5">
            <w:pPr>
              <w:ind w:left="165" w:right="75"/>
              <w:rPr>
                <w:rFonts w:eastAsia="Arial Unicode MS"/>
                <w:sz w:val="22"/>
                <w:szCs w:val="22"/>
              </w:rPr>
            </w:pPr>
          </w:p>
        </w:tc>
        <w:tc>
          <w:tcPr>
            <w:tcW w:w="1418" w:type="dxa"/>
            <w:tcBorders>
              <w:top w:val="nil"/>
              <w:left w:val="nil"/>
              <w:bottom w:val="nil"/>
              <w:right w:val="nil"/>
            </w:tcBorders>
            <w:vAlign w:val="bottom"/>
          </w:tcPr>
          <w:p w14:paraId="505D244E" w14:textId="77777777" w:rsidR="00753313" w:rsidRPr="00753313" w:rsidRDefault="00753313" w:rsidP="00753313">
            <w:pPr>
              <w:ind w:right="95"/>
              <w:rPr>
                <w:rFonts w:eastAsia="Arial Unicode MS"/>
                <w:sz w:val="22"/>
                <w:szCs w:val="22"/>
              </w:rPr>
            </w:pPr>
          </w:p>
        </w:tc>
      </w:tr>
      <w:tr w:rsidR="0071652E" w:rsidRPr="00753313" w14:paraId="761EE24E"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4F62DF33" w14:textId="5D067BA0" w:rsidR="0071652E" w:rsidRPr="00753313" w:rsidRDefault="007663B3" w:rsidP="0071652E">
            <w:pPr>
              <w:rPr>
                <w:rFonts w:eastAsia="Arial Unicode MS"/>
                <w:sz w:val="22"/>
                <w:szCs w:val="22"/>
              </w:rPr>
            </w:pPr>
            <w:r>
              <w:rPr>
                <w:sz w:val="22"/>
                <w:szCs w:val="22"/>
              </w:rPr>
              <w:t>(Loss)/g</w:t>
            </w:r>
            <w:r w:rsidR="00331179">
              <w:rPr>
                <w:sz w:val="22"/>
                <w:szCs w:val="22"/>
              </w:rPr>
              <w:t>ain</w:t>
            </w:r>
            <w:r w:rsidR="0071652E" w:rsidRPr="00753313">
              <w:rPr>
                <w:sz w:val="22"/>
                <w:szCs w:val="22"/>
              </w:rPr>
              <w:t xml:space="preserve"> on foreign exchange</w:t>
            </w:r>
          </w:p>
        </w:tc>
        <w:tc>
          <w:tcPr>
            <w:tcW w:w="1215" w:type="dxa"/>
            <w:tcBorders>
              <w:top w:val="nil"/>
              <w:left w:val="nil"/>
              <w:bottom w:val="nil"/>
              <w:right w:val="nil"/>
            </w:tcBorders>
            <w:noWrap/>
            <w:tcMar>
              <w:top w:w="15" w:type="dxa"/>
              <w:left w:w="15" w:type="dxa"/>
              <w:bottom w:w="0" w:type="dxa"/>
              <w:right w:w="15" w:type="dxa"/>
            </w:tcMar>
            <w:vAlign w:val="bottom"/>
          </w:tcPr>
          <w:p w14:paraId="1F1998F9" w14:textId="77777777" w:rsidR="0071652E" w:rsidRPr="00753313" w:rsidRDefault="0071652E"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340E3C15" w14:textId="7E2F0C5F" w:rsidR="0071652E" w:rsidRPr="0046637C" w:rsidRDefault="007663B3" w:rsidP="00A92C6A">
            <w:pPr>
              <w:ind w:left="165" w:right="75"/>
              <w:jc w:val="right"/>
              <w:rPr>
                <w:rFonts w:eastAsia="Arial Unicode MS"/>
                <w:sz w:val="22"/>
                <w:szCs w:val="22"/>
              </w:rPr>
            </w:pPr>
            <w:r>
              <w:rPr>
                <w:rFonts w:eastAsia="Arial Unicode MS"/>
                <w:sz w:val="22"/>
                <w:szCs w:val="22"/>
              </w:rPr>
              <w:t>(</w:t>
            </w:r>
            <w:r w:rsidR="00F33E26">
              <w:rPr>
                <w:rFonts w:eastAsia="Arial Unicode MS"/>
                <w:sz w:val="22"/>
                <w:szCs w:val="22"/>
              </w:rPr>
              <w:t>418</w:t>
            </w:r>
            <w:r>
              <w:rPr>
                <w:rFonts w:eastAsia="Arial Unicode MS"/>
                <w:sz w:val="22"/>
                <w:szCs w:val="22"/>
              </w:rPr>
              <w:t>)</w:t>
            </w:r>
          </w:p>
        </w:tc>
        <w:tc>
          <w:tcPr>
            <w:tcW w:w="1418" w:type="dxa"/>
            <w:tcBorders>
              <w:top w:val="nil"/>
              <w:left w:val="nil"/>
              <w:bottom w:val="nil"/>
              <w:right w:val="nil"/>
            </w:tcBorders>
            <w:vAlign w:val="bottom"/>
          </w:tcPr>
          <w:p w14:paraId="2123D13D" w14:textId="25CC7FBD" w:rsidR="0071652E" w:rsidRPr="00753313" w:rsidRDefault="00F33E26" w:rsidP="0071652E">
            <w:pPr>
              <w:ind w:right="95"/>
              <w:jc w:val="right"/>
              <w:rPr>
                <w:rFonts w:eastAsia="Arial Unicode MS"/>
                <w:sz w:val="22"/>
                <w:szCs w:val="22"/>
              </w:rPr>
            </w:pPr>
            <w:r>
              <w:rPr>
                <w:rFonts w:eastAsia="Arial Unicode MS"/>
                <w:sz w:val="22"/>
                <w:szCs w:val="22"/>
              </w:rPr>
              <w:t>(2,067)</w:t>
            </w:r>
          </w:p>
        </w:tc>
      </w:tr>
      <w:tr w:rsidR="00B31BAF" w:rsidRPr="00753313" w14:paraId="5D8AD4E5"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142CC613" w14:textId="648D2E2A" w:rsidR="00B31BAF" w:rsidRDefault="00B31BAF" w:rsidP="0071652E">
            <w:pPr>
              <w:rPr>
                <w:sz w:val="22"/>
                <w:szCs w:val="22"/>
              </w:rPr>
            </w:pPr>
            <w:r>
              <w:rPr>
                <w:sz w:val="22"/>
                <w:szCs w:val="22"/>
              </w:rPr>
              <w:t>Profit on disposal of investments</w:t>
            </w:r>
          </w:p>
        </w:tc>
        <w:tc>
          <w:tcPr>
            <w:tcW w:w="1215" w:type="dxa"/>
            <w:tcBorders>
              <w:top w:val="nil"/>
              <w:left w:val="nil"/>
              <w:bottom w:val="nil"/>
              <w:right w:val="nil"/>
            </w:tcBorders>
            <w:noWrap/>
            <w:tcMar>
              <w:top w:w="15" w:type="dxa"/>
              <w:left w:w="15" w:type="dxa"/>
              <w:bottom w:w="0" w:type="dxa"/>
              <w:right w:w="15" w:type="dxa"/>
            </w:tcMar>
            <w:vAlign w:val="bottom"/>
          </w:tcPr>
          <w:p w14:paraId="14B7853F" w14:textId="77777777" w:rsidR="00B31BAF" w:rsidRPr="00753313" w:rsidRDefault="00B31BAF"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5F7F7A28" w14:textId="1ED3D0F1" w:rsidR="00B31BAF" w:rsidRDefault="00F33E26" w:rsidP="00A92C6A">
            <w:pPr>
              <w:ind w:left="165" w:right="75"/>
              <w:jc w:val="right"/>
              <w:rPr>
                <w:rFonts w:eastAsia="Arial Unicode MS"/>
                <w:sz w:val="22"/>
                <w:szCs w:val="22"/>
              </w:rPr>
            </w:pPr>
            <w:r>
              <w:rPr>
                <w:rFonts w:eastAsia="Arial Unicode MS"/>
                <w:sz w:val="22"/>
                <w:szCs w:val="22"/>
              </w:rPr>
              <w:t>19,134</w:t>
            </w:r>
          </w:p>
        </w:tc>
        <w:tc>
          <w:tcPr>
            <w:tcW w:w="1418" w:type="dxa"/>
            <w:tcBorders>
              <w:top w:val="nil"/>
              <w:left w:val="nil"/>
              <w:bottom w:val="nil"/>
              <w:right w:val="nil"/>
            </w:tcBorders>
            <w:vAlign w:val="bottom"/>
          </w:tcPr>
          <w:p w14:paraId="387E3A2E" w14:textId="314D453C" w:rsidR="00B31BAF" w:rsidRDefault="00F33E26" w:rsidP="0071652E">
            <w:pPr>
              <w:ind w:right="95"/>
              <w:jc w:val="right"/>
              <w:rPr>
                <w:rFonts w:eastAsia="Arial Unicode MS"/>
                <w:sz w:val="22"/>
                <w:szCs w:val="22"/>
              </w:rPr>
            </w:pPr>
            <w:r>
              <w:rPr>
                <w:rFonts w:eastAsia="Arial Unicode MS"/>
                <w:sz w:val="22"/>
                <w:szCs w:val="22"/>
              </w:rPr>
              <w:t>9,285</w:t>
            </w:r>
          </w:p>
        </w:tc>
      </w:tr>
      <w:tr w:rsidR="00B31BAF" w:rsidRPr="00753313" w14:paraId="187C8249"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6844AD1D" w14:textId="3E75FA23" w:rsidR="00B31BAF" w:rsidRDefault="00B31BAF" w:rsidP="0071652E">
            <w:pPr>
              <w:rPr>
                <w:sz w:val="22"/>
                <w:szCs w:val="22"/>
              </w:rPr>
            </w:pPr>
            <w:r>
              <w:rPr>
                <w:sz w:val="22"/>
                <w:szCs w:val="22"/>
              </w:rPr>
              <w:t>Impairment of investments</w:t>
            </w:r>
          </w:p>
        </w:tc>
        <w:tc>
          <w:tcPr>
            <w:tcW w:w="1215" w:type="dxa"/>
            <w:tcBorders>
              <w:top w:val="nil"/>
              <w:left w:val="nil"/>
              <w:bottom w:val="nil"/>
              <w:right w:val="nil"/>
            </w:tcBorders>
            <w:noWrap/>
            <w:tcMar>
              <w:top w:w="15" w:type="dxa"/>
              <w:left w:w="15" w:type="dxa"/>
              <w:bottom w:w="0" w:type="dxa"/>
              <w:right w:w="15" w:type="dxa"/>
            </w:tcMar>
            <w:vAlign w:val="bottom"/>
          </w:tcPr>
          <w:p w14:paraId="2DB21664" w14:textId="77777777" w:rsidR="00B31BAF" w:rsidRPr="00753313" w:rsidRDefault="00B31BAF"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2411C08A" w14:textId="316745BA" w:rsidR="00B31BAF" w:rsidRDefault="00F33E26" w:rsidP="00A92C6A">
            <w:pPr>
              <w:ind w:left="165" w:right="75"/>
              <w:jc w:val="right"/>
              <w:rPr>
                <w:rFonts w:eastAsia="Arial Unicode MS"/>
                <w:sz w:val="22"/>
                <w:szCs w:val="22"/>
              </w:rPr>
            </w:pPr>
            <w:r>
              <w:rPr>
                <w:rFonts w:eastAsia="Arial Unicode MS"/>
                <w:sz w:val="22"/>
                <w:szCs w:val="22"/>
              </w:rPr>
              <w:t>-</w:t>
            </w:r>
          </w:p>
        </w:tc>
        <w:tc>
          <w:tcPr>
            <w:tcW w:w="1418" w:type="dxa"/>
            <w:tcBorders>
              <w:top w:val="nil"/>
              <w:left w:val="nil"/>
              <w:bottom w:val="nil"/>
              <w:right w:val="nil"/>
            </w:tcBorders>
            <w:vAlign w:val="bottom"/>
          </w:tcPr>
          <w:p w14:paraId="5814292D" w14:textId="7C65E4E3" w:rsidR="00B31BAF" w:rsidRDefault="00A679BF" w:rsidP="0071652E">
            <w:pPr>
              <w:ind w:right="95"/>
              <w:jc w:val="right"/>
              <w:rPr>
                <w:rFonts w:eastAsia="Arial Unicode MS"/>
                <w:sz w:val="22"/>
                <w:szCs w:val="22"/>
              </w:rPr>
            </w:pPr>
            <w:r>
              <w:rPr>
                <w:rFonts w:eastAsia="Arial Unicode MS"/>
                <w:sz w:val="22"/>
                <w:szCs w:val="22"/>
              </w:rPr>
              <w:t>(</w:t>
            </w:r>
            <w:r w:rsidR="00F33E26">
              <w:rPr>
                <w:rFonts w:eastAsia="Arial Unicode MS"/>
                <w:sz w:val="22"/>
                <w:szCs w:val="22"/>
              </w:rPr>
              <w:t>58,677</w:t>
            </w:r>
            <w:r>
              <w:rPr>
                <w:rFonts w:eastAsia="Arial Unicode MS"/>
                <w:sz w:val="22"/>
                <w:szCs w:val="22"/>
              </w:rPr>
              <w:t>)</w:t>
            </w:r>
          </w:p>
        </w:tc>
      </w:tr>
      <w:tr w:rsidR="0071652E" w:rsidRPr="00753313" w14:paraId="5ED1D356"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19DCBFAD" w14:textId="77777777" w:rsidR="0071652E" w:rsidRPr="00753313" w:rsidRDefault="0071652E" w:rsidP="0071652E">
            <w:pPr>
              <w:rPr>
                <w:rFonts w:eastAsia="Arial Unicode MS"/>
                <w:sz w:val="22"/>
                <w:szCs w:val="22"/>
              </w:rPr>
            </w:pPr>
            <w:r w:rsidRPr="00753313">
              <w:rPr>
                <w:sz w:val="22"/>
                <w:szCs w:val="22"/>
              </w:rPr>
              <w:t>Auditor’s remuneration</w:t>
            </w:r>
          </w:p>
        </w:tc>
        <w:tc>
          <w:tcPr>
            <w:tcW w:w="1215" w:type="dxa"/>
            <w:tcBorders>
              <w:top w:val="nil"/>
              <w:left w:val="nil"/>
              <w:bottom w:val="nil"/>
              <w:right w:val="nil"/>
            </w:tcBorders>
            <w:noWrap/>
            <w:tcMar>
              <w:top w:w="15" w:type="dxa"/>
              <w:left w:w="15" w:type="dxa"/>
              <w:bottom w:w="0" w:type="dxa"/>
              <w:right w:w="15" w:type="dxa"/>
            </w:tcMar>
            <w:vAlign w:val="bottom"/>
          </w:tcPr>
          <w:p w14:paraId="44B214B5" w14:textId="77777777" w:rsidR="0071652E" w:rsidRPr="00753313" w:rsidRDefault="0071652E" w:rsidP="0071652E">
            <w:pPr>
              <w:rPr>
                <w:rFonts w:eastAsia="Arial Unicode MS"/>
                <w:sz w:val="22"/>
                <w:szCs w:val="22"/>
              </w:rPr>
            </w:pPr>
          </w:p>
        </w:tc>
        <w:tc>
          <w:tcPr>
            <w:tcW w:w="1559" w:type="dxa"/>
            <w:tcBorders>
              <w:top w:val="nil"/>
              <w:left w:val="nil"/>
              <w:right w:val="nil"/>
            </w:tcBorders>
            <w:noWrap/>
            <w:tcMar>
              <w:top w:w="15" w:type="dxa"/>
              <w:left w:w="15" w:type="dxa"/>
              <w:bottom w:w="0" w:type="dxa"/>
              <w:right w:w="15" w:type="dxa"/>
            </w:tcMar>
            <w:vAlign w:val="bottom"/>
          </w:tcPr>
          <w:p w14:paraId="7ED13AD1" w14:textId="77777777" w:rsidR="0071652E" w:rsidRPr="0046637C" w:rsidRDefault="0071652E" w:rsidP="0071652E">
            <w:pPr>
              <w:ind w:left="165" w:right="75"/>
              <w:rPr>
                <w:rFonts w:eastAsia="Arial Unicode MS"/>
                <w:sz w:val="22"/>
                <w:szCs w:val="22"/>
              </w:rPr>
            </w:pPr>
          </w:p>
        </w:tc>
        <w:tc>
          <w:tcPr>
            <w:tcW w:w="1418" w:type="dxa"/>
            <w:tcBorders>
              <w:top w:val="nil"/>
              <w:left w:val="nil"/>
              <w:right w:val="nil"/>
            </w:tcBorders>
            <w:vAlign w:val="bottom"/>
          </w:tcPr>
          <w:p w14:paraId="3BCA66AD" w14:textId="77777777" w:rsidR="0071652E" w:rsidRPr="00753313" w:rsidRDefault="0071652E" w:rsidP="0071652E">
            <w:pPr>
              <w:ind w:right="95"/>
              <w:rPr>
                <w:rFonts w:eastAsia="Arial Unicode MS"/>
                <w:sz w:val="22"/>
                <w:szCs w:val="22"/>
              </w:rPr>
            </w:pPr>
          </w:p>
        </w:tc>
      </w:tr>
      <w:tr w:rsidR="0071652E" w:rsidRPr="00753313" w14:paraId="663E67B3"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32A577F0" w14:textId="77777777" w:rsidR="0071652E" w:rsidRPr="00753313" w:rsidRDefault="0071652E" w:rsidP="0071652E">
            <w:pPr>
              <w:rPr>
                <w:rFonts w:eastAsia="Arial Unicode MS"/>
                <w:sz w:val="22"/>
                <w:szCs w:val="22"/>
              </w:rPr>
            </w:pPr>
            <w:r w:rsidRPr="00753313">
              <w:rPr>
                <w:sz w:val="22"/>
                <w:szCs w:val="22"/>
              </w:rPr>
              <w:t>- audit services</w:t>
            </w:r>
          </w:p>
        </w:tc>
        <w:tc>
          <w:tcPr>
            <w:tcW w:w="1215" w:type="dxa"/>
            <w:tcBorders>
              <w:top w:val="nil"/>
              <w:left w:val="nil"/>
              <w:bottom w:val="nil"/>
              <w:right w:val="nil"/>
            </w:tcBorders>
            <w:noWrap/>
            <w:tcMar>
              <w:top w:w="15" w:type="dxa"/>
              <w:left w:w="15" w:type="dxa"/>
              <w:bottom w:w="0" w:type="dxa"/>
              <w:right w:w="15" w:type="dxa"/>
            </w:tcMar>
            <w:vAlign w:val="bottom"/>
          </w:tcPr>
          <w:p w14:paraId="10F70908" w14:textId="77777777" w:rsidR="0071652E" w:rsidRPr="00753313" w:rsidRDefault="0071652E"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70223F63" w14:textId="486AFFCB" w:rsidR="0071652E" w:rsidRPr="0046637C" w:rsidRDefault="008B37F8" w:rsidP="0071652E">
            <w:pPr>
              <w:ind w:left="165" w:right="75"/>
              <w:jc w:val="right"/>
              <w:rPr>
                <w:rFonts w:eastAsia="Arial Unicode MS"/>
                <w:sz w:val="22"/>
                <w:szCs w:val="22"/>
              </w:rPr>
            </w:pPr>
            <w:r>
              <w:rPr>
                <w:rFonts w:eastAsia="Arial Unicode MS"/>
                <w:sz w:val="22"/>
                <w:szCs w:val="22"/>
              </w:rPr>
              <w:t>14,000</w:t>
            </w:r>
          </w:p>
        </w:tc>
        <w:tc>
          <w:tcPr>
            <w:tcW w:w="1418" w:type="dxa"/>
            <w:tcBorders>
              <w:top w:val="nil"/>
              <w:left w:val="nil"/>
              <w:bottom w:val="nil"/>
              <w:right w:val="nil"/>
            </w:tcBorders>
            <w:vAlign w:val="bottom"/>
          </w:tcPr>
          <w:p w14:paraId="6CE69DBE" w14:textId="6C0ACD5A" w:rsidR="0071652E" w:rsidRPr="00753313" w:rsidRDefault="00F33E26" w:rsidP="0071652E">
            <w:pPr>
              <w:ind w:right="95"/>
              <w:jc w:val="right"/>
              <w:rPr>
                <w:rFonts w:eastAsia="Arial Unicode MS"/>
                <w:sz w:val="22"/>
                <w:szCs w:val="22"/>
              </w:rPr>
            </w:pPr>
            <w:r>
              <w:rPr>
                <w:rFonts w:eastAsia="Arial Unicode MS"/>
                <w:sz w:val="22"/>
                <w:szCs w:val="22"/>
              </w:rPr>
              <w:t>12,100</w:t>
            </w:r>
          </w:p>
        </w:tc>
      </w:tr>
      <w:tr w:rsidR="003E5CD6" w:rsidRPr="00753313" w14:paraId="33838912" w14:textId="77777777" w:rsidTr="00656716">
        <w:trPr>
          <w:trHeight w:val="315"/>
        </w:trPr>
        <w:tc>
          <w:tcPr>
            <w:tcW w:w="5873" w:type="dxa"/>
            <w:tcBorders>
              <w:top w:val="nil"/>
              <w:left w:val="nil"/>
              <w:bottom w:val="nil"/>
              <w:right w:val="nil"/>
            </w:tcBorders>
            <w:noWrap/>
            <w:tcMar>
              <w:top w:w="15" w:type="dxa"/>
              <w:left w:w="15" w:type="dxa"/>
              <w:bottom w:w="0" w:type="dxa"/>
              <w:right w:w="15" w:type="dxa"/>
            </w:tcMar>
            <w:vAlign w:val="bottom"/>
          </w:tcPr>
          <w:p w14:paraId="4E12B556" w14:textId="79B571C3" w:rsidR="003E5CD6" w:rsidRPr="003E5CD6" w:rsidRDefault="003E5CD6" w:rsidP="003E5CD6">
            <w:pPr>
              <w:rPr>
                <w:sz w:val="22"/>
                <w:szCs w:val="22"/>
              </w:rPr>
            </w:pPr>
            <w:r w:rsidRPr="003E5CD6">
              <w:rPr>
                <w:sz w:val="22"/>
                <w:szCs w:val="22"/>
              </w:rPr>
              <w:t>- non-audit services</w:t>
            </w:r>
            <w:r w:rsidR="002766F3">
              <w:rPr>
                <w:sz w:val="22"/>
                <w:szCs w:val="22"/>
              </w:rPr>
              <w:t>*</w:t>
            </w:r>
          </w:p>
        </w:tc>
        <w:tc>
          <w:tcPr>
            <w:tcW w:w="1215" w:type="dxa"/>
            <w:tcBorders>
              <w:top w:val="nil"/>
              <w:left w:val="nil"/>
              <w:bottom w:val="nil"/>
              <w:right w:val="nil"/>
            </w:tcBorders>
            <w:noWrap/>
            <w:tcMar>
              <w:top w:w="15" w:type="dxa"/>
              <w:left w:w="15" w:type="dxa"/>
              <w:bottom w:w="0" w:type="dxa"/>
              <w:right w:w="15" w:type="dxa"/>
            </w:tcMar>
            <w:vAlign w:val="bottom"/>
          </w:tcPr>
          <w:p w14:paraId="3EC39562" w14:textId="77777777" w:rsidR="003E5CD6" w:rsidRPr="003E5CD6" w:rsidRDefault="003E5CD6" w:rsidP="003E5CD6">
            <w:pPr>
              <w:rPr>
                <w:rFonts w:eastAsia="Arial Unicode MS"/>
                <w:sz w:val="22"/>
                <w:szCs w:val="22"/>
              </w:rPr>
            </w:pPr>
          </w:p>
        </w:tc>
        <w:tc>
          <w:tcPr>
            <w:tcW w:w="1559" w:type="dxa"/>
            <w:tcBorders>
              <w:top w:val="nil"/>
              <w:left w:val="nil"/>
              <w:bottom w:val="double" w:sz="4" w:space="0" w:color="auto"/>
              <w:right w:val="nil"/>
            </w:tcBorders>
            <w:noWrap/>
            <w:tcMar>
              <w:top w:w="15" w:type="dxa"/>
              <w:left w:w="15" w:type="dxa"/>
              <w:bottom w:w="0" w:type="dxa"/>
              <w:right w:w="15" w:type="dxa"/>
            </w:tcMar>
            <w:vAlign w:val="bottom"/>
          </w:tcPr>
          <w:p w14:paraId="7046B514" w14:textId="47DA23CE" w:rsidR="003E5CD6" w:rsidRPr="003E5CD6" w:rsidRDefault="00F33E26" w:rsidP="003E5CD6">
            <w:pPr>
              <w:ind w:left="165" w:right="75"/>
              <w:jc w:val="right"/>
              <w:rPr>
                <w:rFonts w:eastAsia="Arial Unicode MS"/>
                <w:sz w:val="22"/>
                <w:szCs w:val="22"/>
              </w:rPr>
            </w:pPr>
            <w:r>
              <w:rPr>
                <w:rFonts w:eastAsia="Arial Unicode MS"/>
                <w:sz w:val="22"/>
                <w:szCs w:val="22"/>
              </w:rPr>
              <w:t>-</w:t>
            </w:r>
          </w:p>
        </w:tc>
        <w:tc>
          <w:tcPr>
            <w:tcW w:w="1418" w:type="dxa"/>
            <w:tcBorders>
              <w:top w:val="nil"/>
              <w:left w:val="nil"/>
              <w:bottom w:val="double" w:sz="4" w:space="0" w:color="auto"/>
              <w:right w:val="nil"/>
            </w:tcBorders>
            <w:vAlign w:val="bottom"/>
          </w:tcPr>
          <w:p w14:paraId="639DB05B" w14:textId="7574DD51" w:rsidR="003E5CD6" w:rsidRPr="003E5CD6" w:rsidRDefault="00F33E26" w:rsidP="003E5CD6">
            <w:pPr>
              <w:ind w:right="95"/>
              <w:jc w:val="right"/>
              <w:rPr>
                <w:rFonts w:eastAsia="Arial Unicode MS"/>
                <w:sz w:val="22"/>
                <w:szCs w:val="22"/>
              </w:rPr>
            </w:pPr>
            <w:r>
              <w:rPr>
                <w:rFonts w:eastAsia="Arial Unicode MS"/>
                <w:sz w:val="22"/>
                <w:szCs w:val="22"/>
              </w:rPr>
              <w:t>51,000</w:t>
            </w:r>
          </w:p>
        </w:tc>
      </w:tr>
    </w:tbl>
    <w:p w14:paraId="11D8564D" w14:textId="40DA4D89" w:rsidR="00824E7D" w:rsidRDefault="00824E7D">
      <w:pPr>
        <w:jc w:val="both"/>
        <w:rPr>
          <w:b/>
          <w:sz w:val="22"/>
          <w:szCs w:val="22"/>
        </w:rPr>
      </w:pPr>
    </w:p>
    <w:p w14:paraId="11DD58D0" w14:textId="636AE48E" w:rsidR="002766F3" w:rsidRPr="002766F3" w:rsidRDefault="002766F3" w:rsidP="002766F3">
      <w:pPr>
        <w:jc w:val="both"/>
        <w:rPr>
          <w:bCs/>
          <w:sz w:val="22"/>
          <w:szCs w:val="22"/>
        </w:rPr>
      </w:pPr>
      <w:r>
        <w:rPr>
          <w:b/>
        </w:rPr>
        <w:t xml:space="preserve">* </w:t>
      </w:r>
      <w:r w:rsidRPr="002766F3">
        <w:rPr>
          <w:bCs/>
          <w:sz w:val="22"/>
          <w:szCs w:val="22"/>
        </w:rPr>
        <w:t xml:space="preserve">Amounts payable to Edwards Veeder (UK) Limited by the Company in respect of non-audit services was </w:t>
      </w:r>
      <w:r w:rsidR="00F33E26">
        <w:rPr>
          <w:bCs/>
          <w:sz w:val="22"/>
          <w:szCs w:val="22"/>
        </w:rPr>
        <w:t xml:space="preserve">£nil (31 December </w:t>
      </w:r>
      <w:r w:rsidR="008B37F8">
        <w:rPr>
          <w:bCs/>
          <w:sz w:val="22"/>
          <w:szCs w:val="22"/>
        </w:rPr>
        <w:t>2019</w:t>
      </w:r>
      <w:r w:rsidR="00F33E26">
        <w:rPr>
          <w:bCs/>
          <w:sz w:val="22"/>
          <w:szCs w:val="22"/>
        </w:rPr>
        <w:t xml:space="preserve">: </w:t>
      </w:r>
      <w:r w:rsidRPr="002766F3">
        <w:rPr>
          <w:bCs/>
          <w:sz w:val="22"/>
          <w:szCs w:val="22"/>
        </w:rPr>
        <w:t>£42,500 net of VAT</w:t>
      </w:r>
      <w:r w:rsidR="00F33E26">
        <w:rPr>
          <w:bCs/>
          <w:sz w:val="22"/>
          <w:szCs w:val="22"/>
        </w:rPr>
        <w:t>)</w:t>
      </w:r>
      <w:r w:rsidRPr="002766F3">
        <w:rPr>
          <w:bCs/>
          <w:sz w:val="22"/>
          <w:szCs w:val="22"/>
        </w:rPr>
        <w:t xml:space="preserve"> in relation to work as reporting accountants for listing</w:t>
      </w:r>
      <w:r>
        <w:rPr>
          <w:bCs/>
          <w:sz w:val="22"/>
          <w:szCs w:val="22"/>
        </w:rPr>
        <w:t xml:space="preserve"> on the main market of the London Stock Exchange</w:t>
      </w:r>
      <w:r w:rsidRPr="002766F3">
        <w:rPr>
          <w:bCs/>
          <w:sz w:val="22"/>
          <w:szCs w:val="22"/>
        </w:rPr>
        <w:t>.</w:t>
      </w:r>
    </w:p>
    <w:p w14:paraId="184FEFFC" w14:textId="77777777" w:rsidR="002766F3" w:rsidRDefault="002766F3">
      <w:pPr>
        <w:jc w:val="both"/>
        <w:rPr>
          <w:b/>
          <w:sz w:val="22"/>
          <w:szCs w:val="22"/>
        </w:rPr>
      </w:pPr>
    </w:p>
    <w:p w14:paraId="122C91CB" w14:textId="0B8DAB86" w:rsidR="007623F0" w:rsidRPr="00753313" w:rsidRDefault="007D15C4">
      <w:pPr>
        <w:jc w:val="both"/>
        <w:rPr>
          <w:b/>
          <w:sz w:val="22"/>
          <w:szCs w:val="22"/>
        </w:rPr>
      </w:pPr>
      <w:r>
        <w:rPr>
          <w:b/>
          <w:sz w:val="22"/>
          <w:szCs w:val="22"/>
        </w:rPr>
        <w:t>3</w:t>
      </w:r>
      <w:r w:rsidR="007623F0" w:rsidRPr="00753313">
        <w:rPr>
          <w:b/>
          <w:sz w:val="22"/>
          <w:szCs w:val="22"/>
        </w:rPr>
        <w:t>.</w:t>
      </w:r>
      <w:r w:rsidR="007623F0" w:rsidRPr="00753313">
        <w:rPr>
          <w:b/>
          <w:sz w:val="22"/>
          <w:szCs w:val="22"/>
        </w:rPr>
        <w:tab/>
      </w:r>
      <w:r w:rsidR="007623F0" w:rsidRPr="00AC2BBB">
        <w:rPr>
          <w:b/>
          <w:sz w:val="22"/>
          <w:szCs w:val="22"/>
        </w:rPr>
        <w:t xml:space="preserve">DIRECTORS’ </w:t>
      </w:r>
      <w:r w:rsidR="00E931DC" w:rsidRPr="00AC2BBB">
        <w:rPr>
          <w:b/>
          <w:sz w:val="22"/>
          <w:szCs w:val="22"/>
        </w:rPr>
        <w:t>AND OFFICER’S REMUNERATION</w:t>
      </w:r>
    </w:p>
    <w:p w14:paraId="52E1C9AC" w14:textId="77777777" w:rsidR="007623F0" w:rsidRPr="00753313" w:rsidRDefault="007623F0">
      <w:pPr>
        <w:jc w:val="both"/>
        <w:rPr>
          <w:sz w:val="22"/>
          <w:szCs w:val="22"/>
        </w:rPr>
      </w:pPr>
    </w:p>
    <w:p w14:paraId="3B02BCC7" w14:textId="30566867" w:rsidR="007623F0" w:rsidRPr="00753313" w:rsidRDefault="007623F0">
      <w:pPr>
        <w:pStyle w:val="BodyText2"/>
        <w:rPr>
          <w:bCs/>
          <w:sz w:val="22"/>
          <w:szCs w:val="22"/>
        </w:rPr>
      </w:pPr>
      <w:r w:rsidRPr="00753313">
        <w:rPr>
          <w:bCs/>
          <w:sz w:val="22"/>
          <w:szCs w:val="22"/>
        </w:rPr>
        <w:t xml:space="preserve">There were no employees during the </w:t>
      </w:r>
      <w:r w:rsidR="00834D5F">
        <w:rPr>
          <w:bCs/>
          <w:sz w:val="22"/>
          <w:szCs w:val="22"/>
        </w:rPr>
        <w:t>year</w:t>
      </w:r>
      <w:r w:rsidR="00834D5F" w:rsidRPr="00753313">
        <w:rPr>
          <w:bCs/>
          <w:sz w:val="22"/>
          <w:szCs w:val="22"/>
        </w:rPr>
        <w:t xml:space="preserve"> </w:t>
      </w:r>
      <w:r w:rsidRPr="00753313">
        <w:rPr>
          <w:bCs/>
          <w:sz w:val="22"/>
          <w:szCs w:val="22"/>
        </w:rPr>
        <w:t>apart from the directors</w:t>
      </w:r>
      <w:r w:rsidR="00834D5F">
        <w:rPr>
          <w:bCs/>
          <w:sz w:val="22"/>
          <w:szCs w:val="22"/>
        </w:rPr>
        <w:t xml:space="preserve"> and the chief financial officer</w:t>
      </w:r>
      <w:r w:rsidR="00247F3C">
        <w:rPr>
          <w:bCs/>
          <w:sz w:val="22"/>
          <w:szCs w:val="22"/>
        </w:rPr>
        <w:t>, who are the key management personnel</w:t>
      </w:r>
      <w:r w:rsidRPr="00753313">
        <w:rPr>
          <w:bCs/>
          <w:sz w:val="22"/>
          <w:szCs w:val="22"/>
        </w:rPr>
        <w:t>. No</w:t>
      </w:r>
      <w:r w:rsidR="007D061B">
        <w:rPr>
          <w:bCs/>
          <w:sz w:val="22"/>
          <w:szCs w:val="22"/>
        </w:rPr>
        <w:t>ne of the</w:t>
      </w:r>
      <w:r w:rsidRPr="00753313">
        <w:rPr>
          <w:bCs/>
          <w:sz w:val="22"/>
          <w:szCs w:val="22"/>
        </w:rPr>
        <w:t xml:space="preserve"> directors had benefits accruing under money purchase pension schemes.</w:t>
      </w:r>
    </w:p>
    <w:p w14:paraId="7310EA58" w14:textId="77777777" w:rsidR="007623F0" w:rsidRPr="00753313" w:rsidRDefault="007623F0">
      <w:pPr>
        <w:jc w:val="both"/>
        <w:rPr>
          <w:b/>
          <w:sz w:val="22"/>
          <w:szCs w:val="22"/>
        </w:rPr>
      </w:pPr>
    </w:p>
    <w:tbl>
      <w:tblPr>
        <w:tblW w:w="10065" w:type="dxa"/>
        <w:tblLayout w:type="fixed"/>
        <w:tblCellMar>
          <w:left w:w="0" w:type="dxa"/>
          <w:right w:w="0" w:type="dxa"/>
        </w:tblCellMar>
        <w:tblLook w:val="0000" w:firstRow="0" w:lastRow="0" w:firstColumn="0" w:lastColumn="0" w:noHBand="0" w:noVBand="0"/>
      </w:tblPr>
      <w:tblGrid>
        <w:gridCol w:w="5992"/>
        <w:gridCol w:w="1096"/>
        <w:gridCol w:w="1559"/>
        <w:gridCol w:w="1418"/>
      </w:tblGrid>
      <w:tr w:rsidR="008838E3" w:rsidRPr="00753313" w14:paraId="0EC597FF"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6AFB19D1" w14:textId="4990C906" w:rsidR="008838E3" w:rsidRPr="00830B96" w:rsidRDefault="008838E3" w:rsidP="008838E3">
            <w:pPr>
              <w:rPr>
                <w:rFonts w:eastAsia="Arial Unicode MS"/>
                <w:b/>
                <w:sz w:val="22"/>
                <w:szCs w:val="22"/>
              </w:rPr>
            </w:pPr>
            <w:r>
              <w:rPr>
                <w:rFonts w:eastAsia="Arial Unicode MS"/>
                <w:b/>
                <w:sz w:val="22"/>
                <w:szCs w:val="22"/>
              </w:rPr>
              <w:t>Group and C</w:t>
            </w:r>
            <w:r w:rsidRPr="00247F3C">
              <w:rPr>
                <w:rFonts w:eastAsia="Arial Unicode MS"/>
                <w:b/>
                <w:sz w:val="22"/>
                <w:szCs w:val="22"/>
              </w:rPr>
              <w:t xml:space="preserve">ompany </w:t>
            </w:r>
          </w:p>
        </w:tc>
        <w:tc>
          <w:tcPr>
            <w:tcW w:w="1096" w:type="dxa"/>
            <w:tcBorders>
              <w:top w:val="nil"/>
              <w:left w:val="nil"/>
              <w:bottom w:val="nil"/>
              <w:right w:val="nil"/>
            </w:tcBorders>
            <w:noWrap/>
            <w:tcMar>
              <w:top w:w="15" w:type="dxa"/>
              <w:left w:w="15" w:type="dxa"/>
              <w:bottom w:w="0" w:type="dxa"/>
              <w:right w:w="15" w:type="dxa"/>
            </w:tcMar>
            <w:vAlign w:val="bottom"/>
          </w:tcPr>
          <w:p w14:paraId="3E1A5DD6" w14:textId="77777777" w:rsidR="008838E3" w:rsidRPr="00753313" w:rsidRDefault="008838E3" w:rsidP="008838E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148EBEC6" w14:textId="5ECD84FA" w:rsidR="008838E3" w:rsidRPr="0046637C" w:rsidRDefault="004C6A15" w:rsidP="008838E3">
            <w:pPr>
              <w:ind w:right="90"/>
              <w:jc w:val="right"/>
              <w:rPr>
                <w:rFonts w:eastAsia="Arial Unicode MS"/>
                <w:b/>
                <w:bCs/>
                <w:sz w:val="22"/>
                <w:szCs w:val="22"/>
              </w:rPr>
            </w:pPr>
            <w:r>
              <w:rPr>
                <w:b/>
                <w:bCs/>
                <w:sz w:val="22"/>
                <w:szCs w:val="22"/>
              </w:rPr>
              <w:t>Year</w:t>
            </w:r>
            <w:r w:rsidR="008838E3">
              <w:rPr>
                <w:b/>
                <w:bCs/>
                <w:sz w:val="22"/>
                <w:szCs w:val="22"/>
              </w:rPr>
              <w:t xml:space="preserve"> to</w:t>
            </w:r>
          </w:p>
        </w:tc>
        <w:tc>
          <w:tcPr>
            <w:tcW w:w="1418" w:type="dxa"/>
            <w:tcBorders>
              <w:top w:val="nil"/>
              <w:left w:val="nil"/>
              <w:bottom w:val="nil"/>
              <w:right w:val="nil"/>
            </w:tcBorders>
            <w:vAlign w:val="bottom"/>
          </w:tcPr>
          <w:p w14:paraId="43397836" w14:textId="55CA8176" w:rsidR="008838E3" w:rsidRPr="00753313" w:rsidRDefault="004C6A15" w:rsidP="008838E3">
            <w:pPr>
              <w:ind w:right="95"/>
              <w:jc w:val="right"/>
              <w:rPr>
                <w:rFonts w:eastAsia="Arial Unicode MS"/>
                <w:b/>
                <w:bCs/>
                <w:sz w:val="22"/>
                <w:szCs w:val="22"/>
              </w:rPr>
            </w:pPr>
            <w:r>
              <w:rPr>
                <w:b/>
                <w:bCs/>
                <w:sz w:val="22"/>
                <w:szCs w:val="22"/>
              </w:rPr>
              <w:t xml:space="preserve">10-Month Period </w:t>
            </w:r>
            <w:r w:rsidR="008838E3">
              <w:rPr>
                <w:b/>
                <w:bCs/>
                <w:sz w:val="22"/>
                <w:szCs w:val="22"/>
              </w:rPr>
              <w:t>to</w:t>
            </w:r>
          </w:p>
        </w:tc>
      </w:tr>
      <w:tr w:rsidR="008838E3" w:rsidRPr="00753313" w14:paraId="48CFA567"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3B79C014" w14:textId="77777777" w:rsidR="008838E3" w:rsidRDefault="008838E3" w:rsidP="008838E3">
            <w:pPr>
              <w:rPr>
                <w:rFonts w:eastAsia="Arial Unicode MS"/>
                <w:b/>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48CAA099" w14:textId="77777777" w:rsidR="008838E3" w:rsidRPr="00753313" w:rsidRDefault="008838E3" w:rsidP="008838E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207FE58D" w14:textId="0D735752" w:rsidR="008838E3" w:rsidRPr="0046637C" w:rsidRDefault="008838E3" w:rsidP="008838E3">
            <w:pPr>
              <w:ind w:right="90"/>
              <w:jc w:val="right"/>
              <w:rPr>
                <w:b/>
                <w:bCs/>
                <w:sz w:val="22"/>
                <w:szCs w:val="22"/>
              </w:rPr>
            </w:pPr>
            <w:r>
              <w:rPr>
                <w:b/>
                <w:bCs/>
                <w:sz w:val="22"/>
                <w:szCs w:val="22"/>
                <w:lang w:eastAsia="en-GB"/>
              </w:rPr>
              <w:t xml:space="preserve">31 December </w:t>
            </w:r>
            <w:r w:rsidR="004C6A15">
              <w:rPr>
                <w:b/>
                <w:bCs/>
                <w:sz w:val="22"/>
                <w:szCs w:val="22"/>
                <w:lang w:eastAsia="en-GB"/>
              </w:rPr>
              <w:t>2020</w:t>
            </w:r>
          </w:p>
        </w:tc>
        <w:tc>
          <w:tcPr>
            <w:tcW w:w="1418" w:type="dxa"/>
            <w:tcBorders>
              <w:top w:val="nil"/>
              <w:left w:val="nil"/>
              <w:bottom w:val="nil"/>
              <w:right w:val="nil"/>
            </w:tcBorders>
            <w:vAlign w:val="bottom"/>
          </w:tcPr>
          <w:p w14:paraId="65960F23" w14:textId="0FC76DD1" w:rsidR="008838E3" w:rsidRDefault="004C6A15" w:rsidP="008838E3">
            <w:pPr>
              <w:ind w:right="95"/>
              <w:jc w:val="right"/>
              <w:rPr>
                <w:b/>
                <w:bCs/>
                <w:sz w:val="22"/>
                <w:szCs w:val="22"/>
              </w:rPr>
            </w:pPr>
            <w:r>
              <w:rPr>
                <w:b/>
                <w:bCs/>
                <w:sz w:val="22"/>
                <w:szCs w:val="22"/>
              </w:rPr>
              <w:t>31 December</w:t>
            </w:r>
            <w:r w:rsidR="008838E3">
              <w:rPr>
                <w:b/>
                <w:bCs/>
                <w:sz w:val="22"/>
                <w:szCs w:val="22"/>
              </w:rPr>
              <w:t xml:space="preserve"> 2019</w:t>
            </w:r>
          </w:p>
        </w:tc>
      </w:tr>
      <w:tr w:rsidR="00F777CB" w:rsidRPr="00753313" w14:paraId="1B32D62C"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4D64C616" w14:textId="77777777" w:rsidR="00F777CB" w:rsidRPr="00753313" w:rsidRDefault="00F777CB" w:rsidP="00753313">
            <w:pPr>
              <w:rPr>
                <w:rFonts w:eastAsia="Arial Unicode MS"/>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2E101987" w14:textId="77777777" w:rsidR="00F777CB" w:rsidRPr="00753313" w:rsidRDefault="00F777CB"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3AB01A39" w14:textId="77777777" w:rsidR="00F777CB" w:rsidRPr="0046637C" w:rsidRDefault="00F777CB" w:rsidP="00753313">
            <w:pPr>
              <w:ind w:right="90"/>
              <w:jc w:val="right"/>
              <w:rPr>
                <w:rFonts w:eastAsia="Arial Unicode MS"/>
                <w:b/>
                <w:bCs/>
                <w:sz w:val="22"/>
                <w:szCs w:val="22"/>
              </w:rPr>
            </w:pPr>
            <w:r w:rsidRPr="0046637C">
              <w:rPr>
                <w:b/>
                <w:bCs/>
                <w:sz w:val="22"/>
                <w:szCs w:val="22"/>
              </w:rPr>
              <w:t>£</w:t>
            </w:r>
          </w:p>
        </w:tc>
        <w:tc>
          <w:tcPr>
            <w:tcW w:w="1418" w:type="dxa"/>
            <w:tcBorders>
              <w:top w:val="nil"/>
              <w:left w:val="nil"/>
              <w:bottom w:val="nil"/>
              <w:right w:val="nil"/>
            </w:tcBorders>
            <w:vAlign w:val="bottom"/>
          </w:tcPr>
          <w:p w14:paraId="10EACFCE" w14:textId="77777777" w:rsidR="00F777CB" w:rsidRPr="00753313" w:rsidRDefault="00F777CB" w:rsidP="00753313">
            <w:pPr>
              <w:ind w:right="95"/>
              <w:jc w:val="right"/>
              <w:rPr>
                <w:rFonts w:eastAsia="Arial Unicode MS"/>
                <w:b/>
                <w:bCs/>
                <w:sz w:val="22"/>
                <w:szCs w:val="22"/>
              </w:rPr>
            </w:pPr>
            <w:r w:rsidRPr="00753313">
              <w:rPr>
                <w:b/>
                <w:bCs/>
                <w:sz w:val="22"/>
                <w:szCs w:val="22"/>
              </w:rPr>
              <w:t>£</w:t>
            </w:r>
          </w:p>
        </w:tc>
      </w:tr>
      <w:tr w:rsidR="00753313" w:rsidRPr="00753313" w14:paraId="62842E04"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084F22A4" w14:textId="1394F6FF" w:rsidR="00753313" w:rsidRPr="00753313" w:rsidRDefault="00753313" w:rsidP="00753313">
            <w:pPr>
              <w:rPr>
                <w:rFonts w:eastAsia="Arial Unicode MS"/>
                <w:b/>
                <w:bCs/>
                <w:sz w:val="22"/>
                <w:szCs w:val="22"/>
              </w:rPr>
            </w:pPr>
            <w:r w:rsidRPr="00753313">
              <w:rPr>
                <w:b/>
                <w:bCs/>
                <w:sz w:val="22"/>
                <w:szCs w:val="22"/>
              </w:rPr>
              <w:t>Directors’ Remuneration</w:t>
            </w:r>
          </w:p>
        </w:tc>
        <w:tc>
          <w:tcPr>
            <w:tcW w:w="1096" w:type="dxa"/>
            <w:tcBorders>
              <w:top w:val="nil"/>
              <w:left w:val="nil"/>
              <w:bottom w:val="nil"/>
              <w:right w:val="nil"/>
            </w:tcBorders>
            <w:noWrap/>
            <w:tcMar>
              <w:top w:w="15" w:type="dxa"/>
              <w:left w:w="15" w:type="dxa"/>
              <w:bottom w:w="0" w:type="dxa"/>
              <w:right w:w="15" w:type="dxa"/>
            </w:tcMar>
            <w:vAlign w:val="bottom"/>
          </w:tcPr>
          <w:p w14:paraId="5EF09A15" w14:textId="77777777" w:rsidR="00753313" w:rsidRPr="00753313" w:rsidRDefault="00753313" w:rsidP="00753313">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4F5413C9" w14:textId="77777777" w:rsidR="00753313" w:rsidRPr="0046637C" w:rsidRDefault="00753313" w:rsidP="00753313">
            <w:pPr>
              <w:ind w:right="90"/>
              <w:rPr>
                <w:rFonts w:eastAsia="Arial Unicode MS"/>
                <w:sz w:val="22"/>
                <w:szCs w:val="22"/>
              </w:rPr>
            </w:pPr>
          </w:p>
        </w:tc>
        <w:tc>
          <w:tcPr>
            <w:tcW w:w="1418" w:type="dxa"/>
            <w:tcBorders>
              <w:top w:val="nil"/>
              <w:left w:val="nil"/>
              <w:bottom w:val="nil"/>
              <w:right w:val="nil"/>
            </w:tcBorders>
            <w:noWrap/>
            <w:tcMar>
              <w:top w:w="15" w:type="dxa"/>
              <w:left w:w="15" w:type="dxa"/>
              <w:bottom w:w="0" w:type="dxa"/>
              <w:right w:w="15" w:type="dxa"/>
            </w:tcMar>
            <w:vAlign w:val="bottom"/>
          </w:tcPr>
          <w:p w14:paraId="6787DF08" w14:textId="77777777" w:rsidR="00753313" w:rsidRPr="00753313" w:rsidRDefault="00753313" w:rsidP="00753313">
            <w:pPr>
              <w:ind w:right="95"/>
              <w:rPr>
                <w:rFonts w:eastAsia="Arial Unicode MS"/>
                <w:sz w:val="22"/>
                <w:szCs w:val="22"/>
              </w:rPr>
            </w:pPr>
          </w:p>
        </w:tc>
      </w:tr>
      <w:tr w:rsidR="0071652E" w:rsidRPr="00753313" w14:paraId="01626309"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03E62FD1" w14:textId="77777777" w:rsidR="0071652E" w:rsidRPr="00753313" w:rsidRDefault="0071652E" w:rsidP="0071652E">
            <w:pPr>
              <w:pStyle w:val="xl24"/>
              <w:overflowPunct w:val="0"/>
              <w:autoSpaceDE w:val="0"/>
              <w:autoSpaceDN w:val="0"/>
              <w:adjustRightInd w:val="0"/>
              <w:spacing w:before="0" w:beforeAutospacing="0" w:after="0" w:afterAutospacing="0"/>
              <w:textAlignment w:val="baseline"/>
              <w:rPr>
                <w:sz w:val="22"/>
                <w:szCs w:val="22"/>
                <w:lang w:val="en-GB"/>
              </w:rPr>
            </w:pPr>
            <w:r w:rsidRPr="00391EEE">
              <w:rPr>
                <w:sz w:val="22"/>
                <w:szCs w:val="22"/>
                <w:lang w:val="en-GB"/>
              </w:rPr>
              <w:t>Fees</w:t>
            </w:r>
          </w:p>
        </w:tc>
        <w:tc>
          <w:tcPr>
            <w:tcW w:w="1096" w:type="dxa"/>
            <w:tcBorders>
              <w:top w:val="nil"/>
              <w:left w:val="nil"/>
              <w:bottom w:val="nil"/>
              <w:right w:val="nil"/>
            </w:tcBorders>
            <w:noWrap/>
            <w:tcMar>
              <w:top w:w="15" w:type="dxa"/>
              <w:left w:w="15" w:type="dxa"/>
              <w:bottom w:w="0" w:type="dxa"/>
              <w:right w:w="15" w:type="dxa"/>
            </w:tcMar>
            <w:vAlign w:val="bottom"/>
          </w:tcPr>
          <w:p w14:paraId="30C508AB" w14:textId="77777777" w:rsidR="0071652E" w:rsidRPr="00753313" w:rsidRDefault="0071652E"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11EA5440" w14:textId="5D339A72" w:rsidR="0071652E" w:rsidRPr="00527D44" w:rsidRDefault="00F32EA5" w:rsidP="0071652E">
            <w:pPr>
              <w:ind w:right="90"/>
              <w:jc w:val="right"/>
              <w:rPr>
                <w:rFonts w:eastAsia="Arial Unicode MS"/>
                <w:sz w:val="22"/>
                <w:szCs w:val="22"/>
              </w:rPr>
            </w:pPr>
            <w:r>
              <w:rPr>
                <w:rFonts w:eastAsia="Arial Unicode MS"/>
                <w:sz w:val="22"/>
                <w:szCs w:val="22"/>
              </w:rPr>
              <w:t>148,</w:t>
            </w:r>
            <w:r w:rsidR="00834D5F">
              <w:rPr>
                <w:rFonts w:eastAsia="Arial Unicode MS"/>
                <w:sz w:val="22"/>
                <w:szCs w:val="22"/>
              </w:rPr>
              <w:t>437</w:t>
            </w:r>
          </w:p>
        </w:tc>
        <w:tc>
          <w:tcPr>
            <w:tcW w:w="1418" w:type="dxa"/>
            <w:tcBorders>
              <w:top w:val="nil"/>
              <w:left w:val="nil"/>
              <w:bottom w:val="nil"/>
              <w:right w:val="nil"/>
            </w:tcBorders>
            <w:vAlign w:val="bottom"/>
          </w:tcPr>
          <w:p w14:paraId="65AEE3B4" w14:textId="5D1D571F" w:rsidR="0071652E" w:rsidRPr="00753313" w:rsidRDefault="004C6A15" w:rsidP="0071652E">
            <w:pPr>
              <w:ind w:right="95"/>
              <w:jc w:val="right"/>
              <w:rPr>
                <w:rFonts w:eastAsia="Arial Unicode MS"/>
                <w:sz w:val="22"/>
                <w:szCs w:val="22"/>
              </w:rPr>
            </w:pPr>
            <w:r>
              <w:rPr>
                <w:rFonts w:eastAsia="Arial Unicode MS"/>
                <w:sz w:val="22"/>
                <w:szCs w:val="22"/>
              </w:rPr>
              <w:t>24,170</w:t>
            </w:r>
          </w:p>
        </w:tc>
      </w:tr>
      <w:tr w:rsidR="0071652E" w:rsidRPr="00753313" w14:paraId="4745CCEE"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367E004D" w14:textId="77777777" w:rsidR="0071652E" w:rsidRPr="00753313" w:rsidRDefault="0071652E" w:rsidP="0071652E">
            <w:pPr>
              <w:rPr>
                <w:rFonts w:eastAsia="Arial Unicode MS"/>
                <w:sz w:val="22"/>
                <w:szCs w:val="22"/>
              </w:rPr>
            </w:pPr>
            <w:r w:rsidRPr="00753313">
              <w:rPr>
                <w:sz w:val="22"/>
                <w:szCs w:val="22"/>
              </w:rPr>
              <w:t>Salaries</w:t>
            </w:r>
          </w:p>
        </w:tc>
        <w:tc>
          <w:tcPr>
            <w:tcW w:w="1096" w:type="dxa"/>
            <w:tcBorders>
              <w:top w:val="nil"/>
              <w:left w:val="nil"/>
              <w:bottom w:val="nil"/>
              <w:right w:val="nil"/>
            </w:tcBorders>
            <w:noWrap/>
            <w:tcMar>
              <w:top w:w="15" w:type="dxa"/>
              <w:left w:w="15" w:type="dxa"/>
              <w:bottom w:w="0" w:type="dxa"/>
              <w:right w:w="15" w:type="dxa"/>
            </w:tcMar>
            <w:vAlign w:val="bottom"/>
          </w:tcPr>
          <w:p w14:paraId="1ADE4E03" w14:textId="77777777" w:rsidR="0071652E" w:rsidRPr="00753313" w:rsidRDefault="0071652E"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5D638555" w14:textId="54D44736" w:rsidR="0071652E" w:rsidRPr="00527D44" w:rsidRDefault="00EC241B" w:rsidP="0071652E">
            <w:pPr>
              <w:ind w:right="90"/>
              <w:jc w:val="right"/>
              <w:rPr>
                <w:rFonts w:eastAsia="Arial Unicode MS"/>
                <w:sz w:val="22"/>
                <w:szCs w:val="22"/>
              </w:rPr>
            </w:pPr>
            <w:r>
              <w:rPr>
                <w:rFonts w:eastAsia="Arial Unicode MS"/>
                <w:sz w:val="22"/>
                <w:szCs w:val="22"/>
              </w:rPr>
              <w:t>7</w:t>
            </w:r>
            <w:r w:rsidR="00F32EA5">
              <w:rPr>
                <w:rFonts w:eastAsia="Arial Unicode MS"/>
                <w:sz w:val="22"/>
                <w:szCs w:val="22"/>
              </w:rPr>
              <w:t>4,667</w:t>
            </w:r>
          </w:p>
        </w:tc>
        <w:tc>
          <w:tcPr>
            <w:tcW w:w="1418" w:type="dxa"/>
            <w:tcBorders>
              <w:top w:val="nil"/>
              <w:left w:val="nil"/>
              <w:bottom w:val="nil"/>
              <w:right w:val="nil"/>
            </w:tcBorders>
            <w:vAlign w:val="bottom"/>
          </w:tcPr>
          <w:p w14:paraId="4DFEE937" w14:textId="49A4306E" w:rsidR="0071652E" w:rsidRPr="00753313" w:rsidRDefault="004C6A15" w:rsidP="0071652E">
            <w:pPr>
              <w:ind w:right="95"/>
              <w:jc w:val="right"/>
              <w:rPr>
                <w:rFonts w:eastAsia="Arial Unicode MS"/>
                <w:sz w:val="22"/>
                <w:szCs w:val="22"/>
              </w:rPr>
            </w:pPr>
            <w:r>
              <w:rPr>
                <w:rFonts w:eastAsia="Arial Unicode MS"/>
                <w:sz w:val="22"/>
                <w:szCs w:val="22"/>
              </w:rPr>
              <w:t>52,500</w:t>
            </w:r>
          </w:p>
        </w:tc>
      </w:tr>
      <w:tr w:rsidR="00953020" w:rsidRPr="00753313" w14:paraId="262D3731"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0084E982" w14:textId="18C6DDCA" w:rsidR="00953020" w:rsidRPr="00753313" w:rsidRDefault="00953020" w:rsidP="0071652E">
            <w:pPr>
              <w:rPr>
                <w:sz w:val="22"/>
                <w:szCs w:val="22"/>
              </w:rPr>
            </w:pPr>
            <w:r>
              <w:rPr>
                <w:sz w:val="22"/>
                <w:szCs w:val="22"/>
              </w:rPr>
              <w:t>Benefits</w:t>
            </w:r>
          </w:p>
        </w:tc>
        <w:tc>
          <w:tcPr>
            <w:tcW w:w="1096" w:type="dxa"/>
            <w:tcBorders>
              <w:top w:val="nil"/>
              <w:left w:val="nil"/>
              <w:bottom w:val="nil"/>
              <w:right w:val="nil"/>
            </w:tcBorders>
            <w:noWrap/>
            <w:tcMar>
              <w:top w:w="15" w:type="dxa"/>
              <w:left w:w="15" w:type="dxa"/>
              <w:bottom w:w="0" w:type="dxa"/>
              <w:right w:w="15" w:type="dxa"/>
            </w:tcMar>
            <w:vAlign w:val="bottom"/>
          </w:tcPr>
          <w:p w14:paraId="05FED1D5" w14:textId="77777777" w:rsidR="00953020" w:rsidRPr="00753313" w:rsidRDefault="00953020"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1BC4954D" w14:textId="27DA6980" w:rsidR="00953020" w:rsidRPr="00527D44" w:rsidRDefault="00834D5F" w:rsidP="0071652E">
            <w:pPr>
              <w:ind w:right="90"/>
              <w:jc w:val="right"/>
              <w:rPr>
                <w:rFonts w:eastAsia="Arial Unicode MS"/>
                <w:sz w:val="22"/>
                <w:szCs w:val="22"/>
              </w:rPr>
            </w:pPr>
            <w:r>
              <w:rPr>
                <w:rFonts w:eastAsia="Arial Unicode MS"/>
                <w:sz w:val="22"/>
                <w:szCs w:val="22"/>
              </w:rPr>
              <w:t>155</w:t>
            </w:r>
          </w:p>
        </w:tc>
        <w:tc>
          <w:tcPr>
            <w:tcW w:w="1418" w:type="dxa"/>
            <w:tcBorders>
              <w:top w:val="nil"/>
              <w:left w:val="nil"/>
              <w:bottom w:val="nil"/>
              <w:right w:val="nil"/>
            </w:tcBorders>
            <w:vAlign w:val="bottom"/>
          </w:tcPr>
          <w:p w14:paraId="5FA05D6E" w14:textId="2FAB1616" w:rsidR="00953020" w:rsidRDefault="00953020" w:rsidP="0071652E">
            <w:pPr>
              <w:ind w:right="95"/>
              <w:jc w:val="right"/>
              <w:rPr>
                <w:rFonts w:eastAsia="Arial Unicode MS"/>
                <w:sz w:val="22"/>
                <w:szCs w:val="22"/>
              </w:rPr>
            </w:pPr>
            <w:r>
              <w:rPr>
                <w:rFonts w:eastAsia="Arial Unicode MS"/>
                <w:sz w:val="22"/>
                <w:szCs w:val="22"/>
              </w:rPr>
              <w:t>-</w:t>
            </w:r>
          </w:p>
        </w:tc>
      </w:tr>
      <w:tr w:rsidR="00527D44" w:rsidRPr="00753313" w14:paraId="1426CE71"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714EB053" w14:textId="6E340306" w:rsidR="00527D44" w:rsidRPr="00753313" w:rsidRDefault="00527D44" w:rsidP="0071652E">
            <w:pPr>
              <w:rPr>
                <w:sz w:val="22"/>
                <w:szCs w:val="22"/>
              </w:rPr>
            </w:pPr>
            <w:r>
              <w:rPr>
                <w:sz w:val="22"/>
                <w:szCs w:val="22"/>
              </w:rPr>
              <w:t>Bonus</w:t>
            </w:r>
          </w:p>
        </w:tc>
        <w:tc>
          <w:tcPr>
            <w:tcW w:w="1096" w:type="dxa"/>
            <w:tcBorders>
              <w:top w:val="nil"/>
              <w:left w:val="nil"/>
              <w:bottom w:val="nil"/>
              <w:right w:val="nil"/>
            </w:tcBorders>
            <w:noWrap/>
            <w:tcMar>
              <w:top w:w="15" w:type="dxa"/>
              <w:left w:w="15" w:type="dxa"/>
              <w:bottom w:w="0" w:type="dxa"/>
              <w:right w:w="15" w:type="dxa"/>
            </w:tcMar>
            <w:vAlign w:val="bottom"/>
          </w:tcPr>
          <w:p w14:paraId="72CF4288" w14:textId="77777777" w:rsidR="00527D44" w:rsidRPr="00753313" w:rsidRDefault="00527D44"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14384848" w14:textId="088EF2A5" w:rsidR="00527D44" w:rsidRPr="00527D44" w:rsidRDefault="00F32EA5" w:rsidP="0071652E">
            <w:pPr>
              <w:ind w:right="90"/>
              <w:jc w:val="right"/>
              <w:rPr>
                <w:rFonts w:eastAsia="Arial Unicode MS"/>
                <w:sz w:val="22"/>
                <w:szCs w:val="22"/>
              </w:rPr>
            </w:pPr>
            <w:r>
              <w:rPr>
                <w:rFonts w:eastAsia="Arial Unicode MS"/>
                <w:sz w:val="22"/>
                <w:szCs w:val="22"/>
              </w:rPr>
              <w:t>-</w:t>
            </w:r>
          </w:p>
        </w:tc>
        <w:tc>
          <w:tcPr>
            <w:tcW w:w="1418" w:type="dxa"/>
            <w:tcBorders>
              <w:top w:val="nil"/>
              <w:left w:val="nil"/>
              <w:bottom w:val="nil"/>
              <w:right w:val="nil"/>
            </w:tcBorders>
            <w:vAlign w:val="bottom"/>
          </w:tcPr>
          <w:p w14:paraId="4E39A2C9" w14:textId="3AE2C294" w:rsidR="00527D44" w:rsidRDefault="004C6A15" w:rsidP="0071652E">
            <w:pPr>
              <w:ind w:right="95"/>
              <w:jc w:val="right"/>
              <w:rPr>
                <w:rFonts w:eastAsia="Arial Unicode MS"/>
                <w:sz w:val="22"/>
                <w:szCs w:val="22"/>
              </w:rPr>
            </w:pPr>
            <w:r>
              <w:rPr>
                <w:rFonts w:eastAsia="Arial Unicode MS"/>
                <w:sz w:val="22"/>
                <w:szCs w:val="22"/>
              </w:rPr>
              <w:t>27,500</w:t>
            </w:r>
          </w:p>
        </w:tc>
      </w:tr>
      <w:tr w:rsidR="00105884" w:rsidRPr="00753313" w14:paraId="543DCB3D"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1B3AD65F" w14:textId="6863113D" w:rsidR="00105884" w:rsidRDefault="00105884" w:rsidP="0071652E">
            <w:pPr>
              <w:rPr>
                <w:sz w:val="22"/>
                <w:szCs w:val="22"/>
              </w:rPr>
            </w:pPr>
            <w:r>
              <w:rPr>
                <w:sz w:val="22"/>
                <w:szCs w:val="22"/>
              </w:rPr>
              <w:t>Pension costs</w:t>
            </w:r>
          </w:p>
        </w:tc>
        <w:tc>
          <w:tcPr>
            <w:tcW w:w="1096" w:type="dxa"/>
            <w:tcBorders>
              <w:top w:val="nil"/>
              <w:left w:val="nil"/>
              <w:bottom w:val="nil"/>
              <w:right w:val="nil"/>
            </w:tcBorders>
            <w:noWrap/>
            <w:tcMar>
              <w:top w:w="15" w:type="dxa"/>
              <w:left w:w="15" w:type="dxa"/>
              <w:bottom w:w="0" w:type="dxa"/>
              <w:right w:w="15" w:type="dxa"/>
            </w:tcMar>
            <w:vAlign w:val="bottom"/>
          </w:tcPr>
          <w:p w14:paraId="3B3EAE96" w14:textId="77777777" w:rsidR="00105884" w:rsidRPr="00753313" w:rsidRDefault="00105884"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6EBC938B" w14:textId="18067C18" w:rsidR="00105884" w:rsidRDefault="00105884" w:rsidP="0071652E">
            <w:pPr>
              <w:ind w:right="90"/>
              <w:jc w:val="right"/>
              <w:rPr>
                <w:rFonts w:eastAsia="Arial Unicode MS"/>
                <w:sz w:val="22"/>
                <w:szCs w:val="22"/>
              </w:rPr>
            </w:pPr>
            <w:r>
              <w:rPr>
                <w:rFonts w:eastAsia="Arial Unicode MS"/>
                <w:sz w:val="22"/>
                <w:szCs w:val="22"/>
              </w:rPr>
              <w:t>1,520</w:t>
            </w:r>
          </w:p>
        </w:tc>
        <w:tc>
          <w:tcPr>
            <w:tcW w:w="1418" w:type="dxa"/>
            <w:tcBorders>
              <w:top w:val="nil"/>
              <w:left w:val="nil"/>
              <w:bottom w:val="nil"/>
              <w:right w:val="nil"/>
            </w:tcBorders>
            <w:vAlign w:val="bottom"/>
          </w:tcPr>
          <w:p w14:paraId="537540A5" w14:textId="383029A8" w:rsidR="00105884" w:rsidRDefault="00105884" w:rsidP="0071652E">
            <w:pPr>
              <w:ind w:right="95"/>
              <w:jc w:val="right"/>
              <w:rPr>
                <w:rFonts w:eastAsia="Arial Unicode MS"/>
                <w:sz w:val="22"/>
                <w:szCs w:val="22"/>
              </w:rPr>
            </w:pPr>
            <w:r>
              <w:rPr>
                <w:rFonts w:eastAsia="Arial Unicode MS"/>
                <w:sz w:val="22"/>
                <w:szCs w:val="22"/>
              </w:rPr>
              <w:t>1,324</w:t>
            </w:r>
          </w:p>
        </w:tc>
      </w:tr>
      <w:tr w:rsidR="0071652E" w:rsidRPr="00753313" w14:paraId="06342C75"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5BD39A28" w14:textId="164B8DE8" w:rsidR="0071652E" w:rsidRPr="00C47EBB" w:rsidRDefault="00C47EBB" w:rsidP="0071652E">
            <w:pPr>
              <w:rPr>
                <w:rFonts w:eastAsia="Arial Unicode MS"/>
                <w:b/>
                <w:bCs/>
                <w:sz w:val="22"/>
                <w:szCs w:val="22"/>
              </w:rPr>
            </w:pPr>
            <w:r w:rsidRPr="00C47EBB">
              <w:rPr>
                <w:rFonts w:eastAsia="Arial Unicode MS"/>
                <w:b/>
                <w:bCs/>
                <w:sz w:val="22"/>
                <w:szCs w:val="22"/>
              </w:rPr>
              <w:t>Total Directors’ Remuneration</w:t>
            </w:r>
          </w:p>
        </w:tc>
        <w:tc>
          <w:tcPr>
            <w:tcW w:w="1096" w:type="dxa"/>
            <w:tcBorders>
              <w:top w:val="nil"/>
              <w:left w:val="nil"/>
              <w:bottom w:val="nil"/>
              <w:right w:val="nil"/>
            </w:tcBorders>
            <w:noWrap/>
            <w:tcMar>
              <w:top w:w="15" w:type="dxa"/>
              <w:left w:w="15" w:type="dxa"/>
              <w:bottom w:w="0" w:type="dxa"/>
              <w:right w:w="15" w:type="dxa"/>
            </w:tcMar>
            <w:vAlign w:val="bottom"/>
          </w:tcPr>
          <w:p w14:paraId="5FCDC63F" w14:textId="77777777" w:rsidR="0071652E" w:rsidRPr="00753313" w:rsidRDefault="0071652E" w:rsidP="0071652E">
            <w:pPr>
              <w:rPr>
                <w:rFonts w:eastAsia="Arial Unicode MS"/>
                <w:sz w:val="22"/>
                <w:szCs w:val="22"/>
              </w:rPr>
            </w:pPr>
          </w:p>
        </w:tc>
        <w:tc>
          <w:tcPr>
            <w:tcW w:w="1559"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43B574B" w14:textId="6717ADB8" w:rsidR="0071652E" w:rsidRPr="00527D44" w:rsidRDefault="00C47EBB" w:rsidP="0071652E">
            <w:pPr>
              <w:ind w:right="90"/>
              <w:jc w:val="right"/>
              <w:rPr>
                <w:rFonts w:eastAsia="Arial Unicode MS"/>
                <w:sz w:val="22"/>
                <w:szCs w:val="22"/>
              </w:rPr>
            </w:pPr>
            <w:r>
              <w:rPr>
                <w:rFonts w:eastAsia="Arial Unicode MS"/>
                <w:sz w:val="22"/>
                <w:szCs w:val="22"/>
              </w:rPr>
              <w:t>224,779</w:t>
            </w:r>
          </w:p>
        </w:tc>
        <w:tc>
          <w:tcPr>
            <w:tcW w:w="1418" w:type="dxa"/>
            <w:tcBorders>
              <w:top w:val="single" w:sz="4" w:space="0" w:color="auto"/>
              <w:left w:val="nil"/>
              <w:bottom w:val="single" w:sz="4" w:space="0" w:color="auto"/>
              <w:right w:val="nil"/>
            </w:tcBorders>
            <w:vAlign w:val="bottom"/>
          </w:tcPr>
          <w:p w14:paraId="2390D47B" w14:textId="57BAA52A" w:rsidR="0071652E" w:rsidRPr="00753313" w:rsidRDefault="00C47EBB" w:rsidP="0071652E">
            <w:pPr>
              <w:ind w:right="95"/>
              <w:jc w:val="right"/>
              <w:rPr>
                <w:rFonts w:eastAsia="Arial Unicode MS"/>
                <w:sz w:val="22"/>
                <w:szCs w:val="22"/>
              </w:rPr>
            </w:pPr>
            <w:r>
              <w:rPr>
                <w:rFonts w:eastAsia="Arial Unicode MS"/>
                <w:sz w:val="22"/>
                <w:szCs w:val="22"/>
              </w:rPr>
              <w:t>105,494</w:t>
            </w:r>
          </w:p>
        </w:tc>
      </w:tr>
      <w:tr w:rsidR="00D412BA" w:rsidRPr="00753313" w14:paraId="621EE6EE" w14:textId="77777777" w:rsidTr="00D412BA">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7107FB35" w14:textId="77777777" w:rsidR="00D412BA" w:rsidRPr="00C47EBB" w:rsidRDefault="00D412BA" w:rsidP="0071652E">
            <w:pPr>
              <w:rPr>
                <w:rFonts w:eastAsia="Arial Unicode MS"/>
                <w:b/>
                <w:bCs/>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5A3D057B" w14:textId="77777777" w:rsidR="00D412BA" w:rsidRPr="00753313" w:rsidRDefault="00D412BA" w:rsidP="0071652E">
            <w:pPr>
              <w:rPr>
                <w:rFonts w:eastAsia="Arial Unicode MS"/>
                <w:sz w:val="22"/>
                <w:szCs w:val="22"/>
              </w:rPr>
            </w:pPr>
          </w:p>
        </w:tc>
        <w:tc>
          <w:tcPr>
            <w:tcW w:w="1559" w:type="dxa"/>
            <w:tcBorders>
              <w:top w:val="single" w:sz="4" w:space="0" w:color="auto"/>
              <w:left w:val="nil"/>
              <w:right w:val="nil"/>
            </w:tcBorders>
            <w:noWrap/>
            <w:tcMar>
              <w:top w:w="15" w:type="dxa"/>
              <w:left w:w="15" w:type="dxa"/>
              <w:bottom w:w="0" w:type="dxa"/>
              <w:right w:w="15" w:type="dxa"/>
            </w:tcMar>
            <w:vAlign w:val="bottom"/>
          </w:tcPr>
          <w:p w14:paraId="720828CE" w14:textId="77777777" w:rsidR="00D412BA" w:rsidRDefault="00D412BA" w:rsidP="0071652E">
            <w:pPr>
              <w:ind w:right="90"/>
              <w:jc w:val="right"/>
              <w:rPr>
                <w:rFonts w:eastAsia="Arial Unicode MS"/>
                <w:sz w:val="22"/>
                <w:szCs w:val="22"/>
              </w:rPr>
            </w:pPr>
          </w:p>
        </w:tc>
        <w:tc>
          <w:tcPr>
            <w:tcW w:w="1418" w:type="dxa"/>
            <w:tcBorders>
              <w:top w:val="single" w:sz="4" w:space="0" w:color="auto"/>
              <w:left w:val="nil"/>
              <w:right w:val="nil"/>
            </w:tcBorders>
            <w:vAlign w:val="bottom"/>
          </w:tcPr>
          <w:p w14:paraId="3E1260F8" w14:textId="77777777" w:rsidR="00D412BA" w:rsidRDefault="00D412BA" w:rsidP="0071652E">
            <w:pPr>
              <w:ind w:right="95"/>
              <w:jc w:val="right"/>
              <w:rPr>
                <w:rFonts w:eastAsia="Arial Unicode MS"/>
                <w:sz w:val="22"/>
                <w:szCs w:val="22"/>
              </w:rPr>
            </w:pPr>
          </w:p>
        </w:tc>
      </w:tr>
      <w:tr w:rsidR="00D412BA" w:rsidRPr="00753313" w14:paraId="7334E7AD" w14:textId="77777777" w:rsidTr="00D412BA">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7BBC43D5" w14:textId="7363E153" w:rsidR="00D412BA" w:rsidRPr="00C47EBB" w:rsidRDefault="00D412BA" w:rsidP="00D412BA">
            <w:pPr>
              <w:pStyle w:val="BodyText2"/>
              <w:rPr>
                <w:rFonts w:eastAsia="Arial Unicode MS"/>
                <w:b/>
                <w:bCs/>
                <w:sz w:val="22"/>
                <w:szCs w:val="22"/>
              </w:rPr>
            </w:pPr>
            <w:r w:rsidRPr="00006F6F">
              <w:rPr>
                <w:bCs/>
                <w:sz w:val="22"/>
                <w:szCs w:val="22"/>
              </w:rPr>
              <w:t>The number of directors who accrued benefits under company pension plans was as follows:</w:t>
            </w:r>
          </w:p>
        </w:tc>
        <w:tc>
          <w:tcPr>
            <w:tcW w:w="1096" w:type="dxa"/>
            <w:tcBorders>
              <w:top w:val="nil"/>
              <w:left w:val="nil"/>
              <w:bottom w:val="nil"/>
              <w:right w:val="nil"/>
            </w:tcBorders>
            <w:noWrap/>
            <w:tcMar>
              <w:top w:w="15" w:type="dxa"/>
              <w:left w:w="15" w:type="dxa"/>
              <w:bottom w:w="0" w:type="dxa"/>
              <w:right w:w="15" w:type="dxa"/>
            </w:tcMar>
            <w:vAlign w:val="bottom"/>
          </w:tcPr>
          <w:p w14:paraId="0083352C" w14:textId="77777777" w:rsidR="00D412BA" w:rsidRPr="00753313" w:rsidRDefault="00D412BA" w:rsidP="0071652E">
            <w:pPr>
              <w:rPr>
                <w:rFonts w:eastAsia="Arial Unicode MS"/>
                <w:sz w:val="22"/>
                <w:szCs w:val="22"/>
              </w:rPr>
            </w:pPr>
          </w:p>
        </w:tc>
        <w:tc>
          <w:tcPr>
            <w:tcW w:w="1559" w:type="dxa"/>
            <w:tcBorders>
              <w:left w:val="nil"/>
              <w:bottom w:val="single" w:sz="4" w:space="0" w:color="auto"/>
              <w:right w:val="nil"/>
            </w:tcBorders>
            <w:noWrap/>
            <w:tcMar>
              <w:top w:w="15" w:type="dxa"/>
              <w:left w:w="15" w:type="dxa"/>
              <w:bottom w:w="0" w:type="dxa"/>
              <w:right w:w="15" w:type="dxa"/>
            </w:tcMar>
            <w:vAlign w:val="bottom"/>
          </w:tcPr>
          <w:p w14:paraId="449B96F3" w14:textId="77777777" w:rsidR="00D412BA" w:rsidRDefault="00D412BA" w:rsidP="0071652E">
            <w:pPr>
              <w:ind w:right="90"/>
              <w:jc w:val="right"/>
              <w:rPr>
                <w:rFonts w:eastAsia="Arial Unicode MS"/>
                <w:sz w:val="22"/>
                <w:szCs w:val="22"/>
              </w:rPr>
            </w:pPr>
          </w:p>
        </w:tc>
        <w:tc>
          <w:tcPr>
            <w:tcW w:w="1418" w:type="dxa"/>
            <w:tcBorders>
              <w:left w:val="nil"/>
              <w:bottom w:val="single" w:sz="4" w:space="0" w:color="auto"/>
              <w:right w:val="nil"/>
            </w:tcBorders>
            <w:vAlign w:val="bottom"/>
          </w:tcPr>
          <w:p w14:paraId="1FFACA70" w14:textId="77777777" w:rsidR="00D412BA" w:rsidRDefault="00D412BA" w:rsidP="0071652E">
            <w:pPr>
              <w:ind w:right="95"/>
              <w:jc w:val="right"/>
              <w:rPr>
                <w:rFonts w:eastAsia="Arial Unicode MS"/>
                <w:sz w:val="22"/>
                <w:szCs w:val="22"/>
              </w:rPr>
            </w:pPr>
          </w:p>
        </w:tc>
      </w:tr>
      <w:tr w:rsidR="00D412BA" w:rsidRPr="00753313" w14:paraId="5188318E"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690E9354" w14:textId="32048B61" w:rsidR="00D412BA" w:rsidRPr="00C47EBB" w:rsidRDefault="00D412BA" w:rsidP="00D412BA">
            <w:pPr>
              <w:pStyle w:val="BodyText2"/>
              <w:rPr>
                <w:rFonts w:eastAsia="Arial Unicode MS"/>
                <w:b/>
                <w:bCs/>
                <w:sz w:val="22"/>
                <w:szCs w:val="22"/>
              </w:rPr>
            </w:pPr>
            <w:r>
              <w:rPr>
                <w:bCs/>
                <w:sz w:val="22"/>
                <w:szCs w:val="22"/>
              </w:rPr>
              <w:t>Defined contribution plans</w:t>
            </w:r>
          </w:p>
        </w:tc>
        <w:tc>
          <w:tcPr>
            <w:tcW w:w="1096" w:type="dxa"/>
            <w:tcBorders>
              <w:top w:val="nil"/>
              <w:left w:val="nil"/>
              <w:bottom w:val="nil"/>
              <w:right w:val="nil"/>
            </w:tcBorders>
            <w:noWrap/>
            <w:tcMar>
              <w:top w:w="15" w:type="dxa"/>
              <w:left w:w="15" w:type="dxa"/>
              <w:bottom w:w="0" w:type="dxa"/>
              <w:right w:w="15" w:type="dxa"/>
            </w:tcMar>
            <w:vAlign w:val="bottom"/>
          </w:tcPr>
          <w:p w14:paraId="6F36FE51" w14:textId="77777777" w:rsidR="00D412BA" w:rsidRPr="00753313" w:rsidRDefault="00D412BA" w:rsidP="0071652E">
            <w:pPr>
              <w:rPr>
                <w:rFonts w:eastAsia="Arial Unicode MS"/>
                <w:sz w:val="22"/>
                <w:szCs w:val="22"/>
              </w:rPr>
            </w:pPr>
          </w:p>
        </w:tc>
        <w:tc>
          <w:tcPr>
            <w:tcW w:w="1559"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BC74C7C" w14:textId="59C82C3B" w:rsidR="00D412BA" w:rsidRDefault="00D412BA" w:rsidP="0071652E">
            <w:pPr>
              <w:ind w:right="90"/>
              <w:jc w:val="right"/>
              <w:rPr>
                <w:rFonts w:eastAsia="Arial Unicode MS"/>
                <w:sz w:val="22"/>
                <w:szCs w:val="22"/>
              </w:rPr>
            </w:pPr>
            <w:r>
              <w:rPr>
                <w:rFonts w:eastAsia="Arial Unicode MS"/>
                <w:sz w:val="22"/>
                <w:szCs w:val="22"/>
              </w:rPr>
              <w:t>3</w:t>
            </w:r>
          </w:p>
        </w:tc>
        <w:tc>
          <w:tcPr>
            <w:tcW w:w="1418" w:type="dxa"/>
            <w:tcBorders>
              <w:top w:val="single" w:sz="4" w:space="0" w:color="auto"/>
              <w:left w:val="nil"/>
              <w:bottom w:val="single" w:sz="4" w:space="0" w:color="auto"/>
              <w:right w:val="nil"/>
            </w:tcBorders>
            <w:vAlign w:val="bottom"/>
          </w:tcPr>
          <w:p w14:paraId="17CDE99F" w14:textId="6F55AFAB" w:rsidR="00D412BA" w:rsidRDefault="00D412BA" w:rsidP="0071652E">
            <w:pPr>
              <w:ind w:right="95"/>
              <w:jc w:val="right"/>
              <w:rPr>
                <w:rFonts w:eastAsia="Arial Unicode MS"/>
                <w:sz w:val="22"/>
                <w:szCs w:val="22"/>
              </w:rPr>
            </w:pPr>
            <w:r>
              <w:rPr>
                <w:rFonts w:eastAsia="Arial Unicode MS"/>
                <w:sz w:val="22"/>
                <w:szCs w:val="22"/>
              </w:rPr>
              <w:t>1</w:t>
            </w:r>
          </w:p>
        </w:tc>
      </w:tr>
      <w:tr w:rsidR="00105884" w:rsidRPr="00753313" w14:paraId="31D6510B" w14:textId="30D3377D"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32563E28" w14:textId="34B0FDED" w:rsidR="00D412BA" w:rsidRPr="00753313" w:rsidRDefault="00D412BA" w:rsidP="0071652E">
            <w:pPr>
              <w:rPr>
                <w:rFonts w:eastAsia="Arial Unicode MS"/>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319B42DF" w14:textId="050A32A3" w:rsidR="00105884" w:rsidRPr="00753313" w:rsidRDefault="00105884" w:rsidP="0071652E">
            <w:pPr>
              <w:rPr>
                <w:rFonts w:eastAsia="Arial Unicode MS"/>
                <w:sz w:val="22"/>
                <w:szCs w:val="22"/>
              </w:rPr>
            </w:pPr>
          </w:p>
        </w:tc>
        <w:tc>
          <w:tcPr>
            <w:tcW w:w="1559" w:type="dxa"/>
            <w:tcBorders>
              <w:top w:val="single" w:sz="4" w:space="0" w:color="auto"/>
              <w:left w:val="nil"/>
              <w:right w:val="nil"/>
            </w:tcBorders>
            <w:noWrap/>
            <w:tcMar>
              <w:top w:w="15" w:type="dxa"/>
              <w:left w:w="15" w:type="dxa"/>
              <w:bottom w:w="0" w:type="dxa"/>
              <w:right w:w="15" w:type="dxa"/>
            </w:tcMar>
            <w:vAlign w:val="bottom"/>
          </w:tcPr>
          <w:p w14:paraId="2C6143A6" w14:textId="734539E7" w:rsidR="00105884" w:rsidRDefault="00105884" w:rsidP="0071652E">
            <w:pPr>
              <w:ind w:right="90"/>
              <w:jc w:val="right"/>
              <w:rPr>
                <w:rFonts w:eastAsia="Arial Unicode MS"/>
                <w:sz w:val="22"/>
                <w:szCs w:val="22"/>
              </w:rPr>
            </w:pPr>
          </w:p>
        </w:tc>
        <w:tc>
          <w:tcPr>
            <w:tcW w:w="1418" w:type="dxa"/>
            <w:tcBorders>
              <w:top w:val="single" w:sz="4" w:space="0" w:color="auto"/>
              <w:left w:val="nil"/>
              <w:right w:val="nil"/>
            </w:tcBorders>
            <w:vAlign w:val="bottom"/>
          </w:tcPr>
          <w:p w14:paraId="2A6CFA98" w14:textId="41CB56F1" w:rsidR="00105884" w:rsidRDefault="00105884" w:rsidP="0071652E">
            <w:pPr>
              <w:ind w:right="95"/>
              <w:jc w:val="right"/>
              <w:rPr>
                <w:rFonts w:eastAsia="Arial Unicode MS"/>
                <w:sz w:val="22"/>
                <w:szCs w:val="22"/>
              </w:rPr>
            </w:pPr>
          </w:p>
        </w:tc>
      </w:tr>
      <w:tr w:rsidR="00105884" w:rsidRPr="00753313" w14:paraId="7E2D9B86"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5ED3DFB6" w14:textId="021EC482" w:rsidR="00105884" w:rsidRPr="00C47EBB" w:rsidRDefault="00105884" w:rsidP="0071652E">
            <w:pPr>
              <w:rPr>
                <w:rFonts w:eastAsia="Arial Unicode MS"/>
                <w:b/>
                <w:bCs/>
                <w:sz w:val="22"/>
                <w:szCs w:val="22"/>
              </w:rPr>
            </w:pPr>
            <w:r w:rsidRPr="00C47EBB">
              <w:rPr>
                <w:rFonts w:eastAsia="Arial Unicode MS"/>
                <w:b/>
                <w:bCs/>
                <w:sz w:val="22"/>
                <w:szCs w:val="22"/>
              </w:rPr>
              <w:t>Officer’s Remuneration</w:t>
            </w:r>
          </w:p>
        </w:tc>
        <w:tc>
          <w:tcPr>
            <w:tcW w:w="1096" w:type="dxa"/>
            <w:tcBorders>
              <w:top w:val="nil"/>
              <w:left w:val="nil"/>
              <w:bottom w:val="nil"/>
              <w:right w:val="nil"/>
            </w:tcBorders>
            <w:noWrap/>
            <w:tcMar>
              <w:top w:w="15" w:type="dxa"/>
              <w:left w:w="15" w:type="dxa"/>
              <w:bottom w:w="0" w:type="dxa"/>
              <w:right w:w="15" w:type="dxa"/>
            </w:tcMar>
            <w:vAlign w:val="bottom"/>
          </w:tcPr>
          <w:p w14:paraId="013A39BD" w14:textId="77777777" w:rsidR="00105884" w:rsidRPr="00753313" w:rsidRDefault="00105884" w:rsidP="0071652E">
            <w:pPr>
              <w:rPr>
                <w:rFonts w:eastAsia="Arial Unicode MS"/>
                <w:sz w:val="22"/>
                <w:szCs w:val="22"/>
              </w:rPr>
            </w:pPr>
          </w:p>
        </w:tc>
        <w:tc>
          <w:tcPr>
            <w:tcW w:w="1559" w:type="dxa"/>
            <w:tcBorders>
              <w:left w:val="nil"/>
              <w:bottom w:val="nil"/>
              <w:right w:val="nil"/>
            </w:tcBorders>
            <w:noWrap/>
            <w:tcMar>
              <w:top w:w="15" w:type="dxa"/>
              <w:left w:w="15" w:type="dxa"/>
              <w:bottom w:w="0" w:type="dxa"/>
              <w:right w:w="15" w:type="dxa"/>
            </w:tcMar>
            <w:vAlign w:val="bottom"/>
          </w:tcPr>
          <w:p w14:paraId="31C5BB5D" w14:textId="5B129D26" w:rsidR="00105884" w:rsidDel="00EC241B" w:rsidRDefault="00105884" w:rsidP="0071652E">
            <w:pPr>
              <w:ind w:right="90"/>
              <w:jc w:val="right"/>
              <w:rPr>
                <w:rFonts w:eastAsia="Arial Unicode MS"/>
                <w:sz w:val="22"/>
                <w:szCs w:val="22"/>
              </w:rPr>
            </w:pPr>
          </w:p>
        </w:tc>
        <w:tc>
          <w:tcPr>
            <w:tcW w:w="1418" w:type="dxa"/>
            <w:tcBorders>
              <w:left w:val="nil"/>
              <w:bottom w:val="nil"/>
              <w:right w:val="nil"/>
            </w:tcBorders>
            <w:vAlign w:val="bottom"/>
          </w:tcPr>
          <w:p w14:paraId="09B19F01" w14:textId="1F09EE95" w:rsidR="00105884" w:rsidRDefault="00105884" w:rsidP="0071652E">
            <w:pPr>
              <w:ind w:right="95"/>
              <w:jc w:val="right"/>
              <w:rPr>
                <w:rFonts w:eastAsia="Arial Unicode MS"/>
                <w:sz w:val="22"/>
                <w:szCs w:val="22"/>
              </w:rPr>
            </w:pPr>
          </w:p>
        </w:tc>
      </w:tr>
      <w:tr w:rsidR="00105884" w:rsidRPr="00753313" w14:paraId="14EEDBAD" w14:textId="77777777" w:rsidTr="008838E3">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60302DF0" w14:textId="1A0DD0A4" w:rsidR="00105884" w:rsidRDefault="00105884" w:rsidP="0071652E">
            <w:pPr>
              <w:rPr>
                <w:sz w:val="22"/>
                <w:szCs w:val="22"/>
              </w:rPr>
            </w:pPr>
            <w:r>
              <w:rPr>
                <w:sz w:val="22"/>
                <w:szCs w:val="22"/>
              </w:rPr>
              <w:t>Salary</w:t>
            </w:r>
          </w:p>
        </w:tc>
        <w:tc>
          <w:tcPr>
            <w:tcW w:w="1096" w:type="dxa"/>
            <w:tcBorders>
              <w:top w:val="nil"/>
              <w:left w:val="nil"/>
              <w:bottom w:val="nil"/>
              <w:right w:val="nil"/>
            </w:tcBorders>
            <w:noWrap/>
            <w:tcMar>
              <w:top w:w="15" w:type="dxa"/>
              <w:left w:w="15" w:type="dxa"/>
              <w:bottom w:w="0" w:type="dxa"/>
              <w:right w:w="15" w:type="dxa"/>
            </w:tcMar>
            <w:vAlign w:val="bottom"/>
          </w:tcPr>
          <w:p w14:paraId="335F3DF5" w14:textId="77777777" w:rsidR="00105884" w:rsidRPr="00753313" w:rsidRDefault="00105884" w:rsidP="0071652E">
            <w:pPr>
              <w:rPr>
                <w:rFonts w:eastAsia="Arial Unicode MS"/>
                <w:sz w:val="22"/>
                <w:szCs w:val="22"/>
              </w:rPr>
            </w:pPr>
          </w:p>
        </w:tc>
        <w:tc>
          <w:tcPr>
            <w:tcW w:w="1559" w:type="dxa"/>
            <w:tcBorders>
              <w:top w:val="nil"/>
              <w:left w:val="nil"/>
              <w:bottom w:val="nil"/>
              <w:right w:val="nil"/>
            </w:tcBorders>
            <w:noWrap/>
            <w:tcMar>
              <w:top w:w="15" w:type="dxa"/>
              <w:left w:w="15" w:type="dxa"/>
              <w:bottom w:w="0" w:type="dxa"/>
              <w:right w:w="15" w:type="dxa"/>
            </w:tcMar>
            <w:vAlign w:val="bottom"/>
          </w:tcPr>
          <w:p w14:paraId="67D8BDD0" w14:textId="25C05F7D" w:rsidR="00105884" w:rsidDel="00EC241B" w:rsidRDefault="00105884" w:rsidP="0071652E">
            <w:pPr>
              <w:ind w:right="90"/>
              <w:jc w:val="right"/>
              <w:rPr>
                <w:rFonts w:eastAsia="Arial Unicode MS"/>
                <w:sz w:val="22"/>
                <w:szCs w:val="22"/>
              </w:rPr>
            </w:pPr>
            <w:r>
              <w:rPr>
                <w:rFonts w:eastAsia="Arial Unicode MS"/>
                <w:sz w:val="22"/>
                <w:szCs w:val="22"/>
              </w:rPr>
              <w:t>10,000</w:t>
            </w:r>
          </w:p>
        </w:tc>
        <w:tc>
          <w:tcPr>
            <w:tcW w:w="1418" w:type="dxa"/>
            <w:tcBorders>
              <w:top w:val="nil"/>
              <w:left w:val="nil"/>
              <w:bottom w:val="nil"/>
              <w:right w:val="nil"/>
            </w:tcBorders>
            <w:noWrap/>
            <w:tcMar>
              <w:top w:w="15" w:type="dxa"/>
              <w:left w:w="15" w:type="dxa"/>
              <w:bottom w:w="0" w:type="dxa"/>
              <w:right w:w="15" w:type="dxa"/>
            </w:tcMar>
            <w:vAlign w:val="bottom"/>
          </w:tcPr>
          <w:p w14:paraId="00F6BE4A" w14:textId="74239E88" w:rsidR="00105884" w:rsidRDefault="00105884" w:rsidP="0071652E">
            <w:pPr>
              <w:ind w:right="95"/>
              <w:jc w:val="right"/>
              <w:rPr>
                <w:rFonts w:eastAsia="Arial Unicode MS"/>
                <w:sz w:val="22"/>
                <w:szCs w:val="22"/>
              </w:rPr>
            </w:pPr>
            <w:r>
              <w:rPr>
                <w:rFonts w:eastAsia="Arial Unicode MS"/>
                <w:sz w:val="22"/>
                <w:szCs w:val="22"/>
              </w:rPr>
              <w:t>-</w:t>
            </w:r>
          </w:p>
        </w:tc>
      </w:tr>
      <w:tr w:rsidR="0071652E" w:rsidRPr="00753313" w14:paraId="0215591B"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1A9A39B5" w14:textId="2FA43ABB" w:rsidR="0071652E" w:rsidRPr="00753313" w:rsidRDefault="005B669A" w:rsidP="0071652E">
            <w:pPr>
              <w:rPr>
                <w:rFonts w:eastAsia="Arial Unicode MS"/>
                <w:sz w:val="22"/>
                <w:szCs w:val="22"/>
              </w:rPr>
            </w:pPr>
            <w:r>
              <w:rPr>
                <w:sz w:val="22"/>
                <w:szCs w:val="22"/>
              </w:rPr>
              <w:t>Pension</w:t>
            </w:r>
            <w:r w:rsidR="0071652E" w:rsidRPr="00753313">
              <w:rPr>
                <w:sz w:val="22"/>
                <w:szCs w:val="22"/>
              </w:rPr>
              <w:t xml:space="preserve"> costs</w:t>
            </w:r>
          </w:p>
        </w:tc>
        <w:tc>
          <w:tcPr>
            <w:tcW w:w="1096" w:type="dxa"/>
            <w:tcBorders>
              <w:top w:val="nil"/>
              <w:left w:val="nil"/>
              <w:bottom w:val="nil"/>
              <w:right w:val="nil"/>
            </w:tcBorders>
            <w:noWrap/>
            <w:tcMar>
              <w:top w:w="15" w:type="dxa"/>
              <w:left w:w="15" w:type="dxa"/>
              <w:bottom w:w="0" w:type="dxa"/>
              <w:right w:w="15" w:type="dxa"/>
            </w:tcMar>
            <w:vAlign w:val="bottom"/>
          </w:tcPr>
          <w:p w14:paraId="29A486E2" w14:textId="77777777" w:rsidR="0071652E" w:rsidRPr="00753313" w:rsidRDefault="0071652E" w:rsidP="0071652E">
            <w:pPr>
              <w:rPr>
                <w:rFonts w:eastAsia="Arial Unicode MS"/>
                <w:sz w:val="22"/>
                <w:szCs w:val="22"/>
              </w:rPr>
            </w:pPr>
          </w:p>
        </w:tc>
        <w:tc>
          <w:tcPr>
            <w:tcW w:w="1559" w:type="dxa"/>
            <w:tcBorders>
              <w:top w:val="nil"/>
              <w:left w:val="nil"/>
              <w:bottom w:val="single" w:sz="4" w:space="0" w:color="auto"/>
              <w:right w:val="nil"/>
            </w:tcBorders>
            <w:noWrap/>
            <w:tcMar>
              <w:top w:w="15" w:type="dxa"/>
              <w:left w:w="15" w:type="dxa"/>
              <w:bottom w:w="0" w:type="dxa"/>
              <w:right w:w="15" w:type="dxa"/>
            </w:tcMar>
            <w:vAlign w:val="bottom"/>
          </w:tcPr>
          <w:p w14:paraId="27D7536F" w14:textId="004B0A85" w:rsidR="0071652E" w:rsidRPr="00527D44" w:rsidRDefault="00105884" w:rsidP="0071652E">
            <w:pPr>
              <w:ind w:right="90"/>
              <w:jc w:val="right"/>
              <w:rPr>
                <w:rFonts w:eastAsia="Arial Unicode MS"/>
                <w:sz w:val="22"/>
                <w:szCs w:val="22"/>
              </w:rPr>
            </w:pPr>
            <w:r>
              <w:rPr>
                <w:rFonts w:eastAsia="Arial Unicode MS"/>
                <w:sz w:val="22"/>
                <w:szCs w:val="22"/>
              </w:rPr>
              <w:t>253</w:t>
            </w:r>
          </w:p>
        </w:tc>
        <w:tc>
          <w:tcPr>
            <w:tcW w:w="1418" w:type="dxa"/>
            <w:tcBorders>
              <w:top w:val="nil"/>
              <w:left w:val="nil"/>
              <w:bottom w:val="single" w:sz="4" w:space="0" w:color="auto"/>
              <w:right w:val="nil"/>
            </w:tcBorders>
            <w:noWrap/>
            <w:tcMar>
              <w:top w:w="15" w:type="dxa"/>
              <w:left w:w="15" w:type="dxa"/>
              <w:bottom w:w="0" w:type="dxa"/>
              <w:right w:w="15" w:type="dxa"/>
            </w:tcMar>
            <w:vAlign w:val="bottom"/>
          </w:tcPr>
          <w:p w14:paraId="0AA8A02B" w14:textId="094C8386" w:rsidR="0071652E" w:rsidRPr="00753313" w:rsidRDefault="00105884" w:rsidP="0071652E">
            <w:pPr>
              <w:ind w:right="95"/>
              <w:jc w:val="right"/>
              <w:rPr>
                <w:rFonts w:eastAsia="Arial Unicode MS"/>
                <w:sz w:val="22"/>
                <w:szCs w:val="22"/>
              </w:rPr>
            </w:pPr>
            <w:r>
              <w:rPr>
                <w:rFonts w:eastAsia="Arial Unicode MS"/>
                <w:sz w:val="22"/>
                <w:szCs w:val="22"/>
              </w:rPr>
              <w:t>-</w:t>
            </w:r>
          </w:p>
        </w:tc>
      </w:tr>
      <w:tr w:rsidR="00C47EBB" w:rsidRPr="00753313" w14:paraId="13007B7A"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78FB956A" w14:textId="06842DAE" w:rsidR="00C47EBB" w:rsidRPr="00C47EBB" w:rsidRDefault="00C47EBB" w:rsidP="00C47EBB">
            <w:pPr>
              <w:rPr>
                <w:b/>
                <w:bCs/>
                <w:sz w:val="22"/>
                <w:szCs w:val="22"/>
              </w:rPr>
            </w:pPr>
            <w:r w:rsidRPr="00C47EBB">
              <w:rPr>
                <w:b/>
                <w:bCs/>
                <w:sz w:val="22"/>
                <w:szCs w:val="22"/>
              </w:rPr>
              <w:t>Total Officer’s Remuneration</w:t>
            </w:r>
          </w:p>
        </w:tc>
        <w:tc>
          <w:tcPr>
            <w:tcW w:w="1096" w:type="dxa"/>
            <w:tcBorders>
              <w:top w:val="nil"/>
              <w:left w:val="nil"/>
              <w:bottom w:val="nil"/>
              <w:right w:val="nil"/>
            </w:tcBorders>
            <w:noWrap/>
            <w:tcMar>
              <w:top w:w="15" w:type="dxa"/>
              <w:left w:w="15" w:type="dxa"/>
              <w:bottom w:w="0" w:type="dxa"/>
              <w:right w:w="15" w:type="dxa"/>
            </w:tcMar>
            <w:vAlign w:val="bottom"/>
          </w:tcPr>
          <w:p w14:paraId="669FFF10" w14:textId="77777777" w:rsidR="00C47EBB" w:rsidRPr="00753313" w:rsidRDefault="00C47EBB" w:rsidP="00C47EBB">
            <w:pPr>
              <w:rPr>
                <w:rFonts w:eastAsia="Arial Unicode MS"/>
                <w:sz w:val="22"/>
                <w:szCs w:val="22"/>
              </w:rPr>
            </w:pPr>
          </w:p>
        </w:tc>
        <w:tc>
          <w:tcPr>
            <w:tcW w:w="1559"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308F6E2" w14:textId="3A44FE69" w:rsidR="00C47EBB" w:rsidDel="00EC241B" w:rsidRDefault="00C47EBB" w:rsidP="00C47EBB">
            <w:pPr>
              <w:ind w:right="90"/>
              <w:jc w:val="right"/>
              <w:rPr>
                <w:rFonts w:eastAsia="Arial Unicode MS"/>
                <w:sz w:val="22"/>
                <w:szCs w:val="22"/>
              </w:rPr>
            </w:pPr>
            <w:r>
              <w:rPr>
                <w:rFonts w:eastAsia="Arial Unicode MS"/>
                <w:sz w:val="22"/>
                <w:szCs w:val="22"/>
              </w:rPr>
              <w:t>10,253</w:t>
            </w: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9F40F6C" w14:textId="670685E2" w:rsidR="00C47EBB" w:rsidRDefault="00C47EBB" w:rsidP="00C47EBB">
            <w:pPr>
              <w:ind w:right="95"/>
              <w:jc w:val="right"/>
              <w:rPr>
                <w:rFonts w:eastAsia="Arial Unicode MS"/>
                <w:sz w:val="22"/>
                <w:szCs w:val="22"/>
              </w:rPr>
            </w:pPr>
            <w:r>
              <w:rPr>
                <w:rFonts w:eastAsia="Arial Unicode MS"/>
                <w:sz w:val="22"/>
                <w:szCs w:val="22"/>
              </w:rPr>
              <w:t>-</w:t>
            </w:r>
          </w:p>
        </w:tc>
      </w:tr>
      <w:tr w:rsidR="00C47EBB" w:rsidRPr="00753313" w14:paraId="2065DBFD" w14:textId="77777777" w:rsidTr="00C47EBB">
        <w:trPr>
          <w:trHeight w:val="309"/>
        </w:trPr>
        <w:tc>
          <w:tcPr>
            <w:tcW w:w="5992" w:type="dxa"/>
            <w:tcBorders>
              <w:top w:val="nil"/>
              <w:left w:val="nil"/>
              <w:bottom w:val="nil"/>
              <w:right w:val="nil"/>
            </w:tcBorders>
            <w:noWrap/>
            <w:tcMar>
              <w:top w:w="15" w:type="dxa"/>
              <w:left w:w="15" w:type="dxa"/>
              <w:bottom w:w="0" w:type="dxa"/>
              <w:right w:w="15" w:type="dxa"/>
            </w:tcMar>
            <w:vAlign w:val="bottom"/>
          </w:tcPr>
          <w:p w14:paraId="2A547CF5" w14:textId="77777777" w:rsidR="00C47EBB" w:rsidRDefault="00C47EBB" w:rsidP="0071652E">
            <w:pPr>
              <w:rPr>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064A9115" w14:textId="77777777" w:rsidR="00C47EBB" w:rsidRPr="00753313" w:rsidRDefault="00C47EBB" w:rsidP="0071652E">
            <w:pPr>
              <w:rPr>
                <w:rFonts w:eastAsia="Arial Unicode MS"/>
                <w:sz w:val="22"/>
                <w:szCs w:val="22"/>
              </w:rPr>
            </w:pPr>
          </w:p>
        </w:tc>
        <w:tc>
          <w:tcPr>
            <w:tcW w:w="1559" w:type="dxa"/>
            <w:tcBorders>
              <w:top w:val="single" w:sz="4" w:space="0" w:color="auto"/>
              <w:left w:val="nil"/>
              <w:bottom w:val="nil"/>
              <w:right w:val="nil"/>
            </w:tcBorders>
            <w:noWrap/>
            <w:tcMar>
              <w:top w:w="15" w:type="dxa"/>
              <w:left w:w="15" w:type="dxa"/>
              <w:bottom w:w="0" w:type="dxa"/>
              <w:right w:w="15" w:type="dxa"/>
            </w:tcMar>
            <w:vAlign w:val="bottom"/>
          </w:tcPr>
          <w:p w14:paraId="75AC9071" w14:textId="77777777" w:rsidR="00C47EBB" w:rsidDel="00EC241B" w:rsidRDefault="00C47EBB" w:rsidP="0071652E">
            <w:pPr>
              <w:ind w:right="90"/>
              <w:jc w:val="right"/>
              <w:rPr>
                <w:rFonts w:eastAsia="Arial Unicode MS"/>
                <w:sz w:val="22"/>
                <w:szCs w:val="22"/>
              </w:rPr>
            </w:pPr>
          </w:p>
        </w:tc>
        <w:tc>
          <w:tcPr>
            <w:tcW w:w="1418" w:type="dxa"/>
            <w:tcBorders>
              <w:top w:val="single" w:sz="4" w:space="0" w:color="auto"/>
              <w:left w:val="nil"/>
              <w:bottom w:val="nil"/>
              <w:right w:val="nil"/>
            </w:tcBorders>
            <w:noWrap/>
            <w:tcMar>
              <w:top w:w="15" w:type="dxa"/>
              <w:left w:w="15" w:type="dxa"/>
              <w:bottom w:w="0" w:type="dxa"/>
              <w:right w:w="15" w:type="dxa"/>
            </w:tcMar>
            <w:vAlign w:val="bottom"/>
          </w:tcPr>
          <w:p w14:paraId="782E39A1" w14:textId="77777777" w:rsidR="00C47EBB" w:rsidRDefault="00C47EBB" w:rsidP="0071652E">
            <w:pPr>
              <w:ind w:right="95"/>
              <w:jc w:val="right"/>
              <w:rPr>
                <w:rFonts w:eastAsia="Arial Unicode MS"/>
                <w:sz w:val="22"/>
                <w:szCs w:val="22"/>
              </w:rPr>
            </w:pPr>
          </w:p>
        </w:tc>
      </w:tr>
      <w:tr w:rsidR="0071652E" w:rsidRPr="00753313" w14:paraId="6D182C6A" w14:textId="77777777" w:rsidTr="008838E3">
        <w:trPr>
          <w:trHeight w:val="324"/>
        </w:trPr>
        <w:tc>
          <w:tcPr>
            <w:tcW w:w="5992" w:type="dxa"/>
            <w:tcBorders>
              <w:top w:val="nil"/>
              <w:left w:val="nil"/>
              <w:bottom w:val="nil"/>
              <w:right w:val="nil"/>
            </w:tcBorders>
            <w:noWrap/>
            <w:tcMar>
              <w:top w:w="15" w:type="dxa"/>
              <w:left w:w="15" w:type="dxa"/>
              <w:bottom w:w="0" w:type="dxa"/>
              <w:right w:w="15" w:type="dxa"/>
            </w:tcMar>
            <w:vAlign w:val="bottom"/>
          </w:tcPr>
          <w:p w14:paraId="08081F3A" w14:textId="6B98BF91" w:rsidR="0071652E" w:rsidRPr="00C47EBB" w:rsidRDefault="00C47EBB" w:rsidP="0071652E">
            <w:pPr>
              <w:rPr>
                <w:rFonts w:eastAsia="Arial Unicode MS"/>
                <w:b/>
                <w:bCs/>
                <w:sz w:val="22"/>
                <w:szCs w:val="22"/>
              </w:rPr>
            </w:pPr>
            <w:r w:rsidRPr="00C47EBB">
              <w:rPr>
                <w:rFonts w:eastAsia="Arial Unicode MS"/>
                <w:b/>
                <w:bCs/>
                <w:sz w:val="22"/>
                <w:szCs w:val="22"/>
              </w:rPr>
              <w:t>Total Directors’ and Officer’s Remuneration</w:t>
            </w:r>
            <w:r w:rsidR="00247F3C" w:rsidRPr="00C47EBB">
              <w:rPr>
                <w:rFonts w:eastAsia="Arial Unicode MS"/>
                <w:b/>
                <w:bCs/>
                <w:sz w:val="22"/>
                <w:szCs w:val="22"/>
              </w:rPr>
              <w:t xml:space="preserve"> </w:t>
            </w:r>
          </w:p>
        </w:tc>
        <w:tc>
          <w:tcPr>
            <w:tcW w:w="1096" w:type="dxa"/>
            <w:tcBorders>
              <w:top w:val="nil"/>
              <w:left w:val="nil"/>
              <w:bottom w:val="nil"/>
              <w:right w:val="nil"/>
            </w:tcBorders>
            <w:noWrap/>
            <w:tcMar>
              <w:top w:w="15" w:type="dxa"/>
              <w:left w:w="15" w:type="dxa"/>
              <w:bottom w:w="0" w:type="dxa"/>
              <w:right w:w="15" w:type="dxa"/>
            </w:tcMar>
            <w:vAlign w:val="bottom"/>
          </w:tcPr>
          <w:p w14:paraId="3AA2B350" w14:textId="77777777" w:rsidR="0071652E" w:rsidRPr="00753313" w:rsidRDefault="0071652E" w:rsidP="0071652E">
            <w:pPr>
              <w:rPr>
                <w:rFonts w:eastAsia="Arial Unicode MS"/>
                <w:sz w:val="22"/>
                <w:szCs w:val="22"/>
              </w:rPr>
            </w:pPr>
          </w:p>
        </w:tc>
        <w:tc>
          <w:tcPr>
            <w:tcW w:w="1559"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EC5DA39" w14:textId="7299DBDF" w:rsidR="0071652E" w:rsidRPr="00527D44" w:rsidRDefault="00834D5F" w:rsidP="0071652E">
            <w:pPr>
              <w:ind w:right="90"/>
              <w:jc w:val="right"/>
              <w:rPr>
                <w:rFonts w:eastAsia="Arial Unicode MS"/>
                <w:sz w:val="22"/>
                <w:szCs w:val="22"/>
              </w:rPr>
            </w:pPr>
            <w:r>
              <w:rPr>
                <w:rFonts w:eastAsia="Arial Unicode MS"/>
                <w:sz w:val="22"/>
                <w:szCs w:val="22"/>
              </w:rPr>
              <w:t>235,032</w:t>
            </w:r>
          </w:p>
        </w:tc>
        <w:tc>
          <w:tcPr>
            <w:tcW w:w="1418" w:type="dxa"/>
            <w:tcBorders>
              <w:top w:val="single" w:sz="4" w:space="0" w:color="auto"/>
              <w:left w:val="nil"/>
              <w:bottom w:val="single" w:sz="4" w:space="0" w:color="auto"/>
              <w:right w:val="nil"/>
            </w:tcBorders>
            <w:vAlign w:val="bottom"/>
          </w:tcPr>
          <w:p w14:paraId="575182EA" w14:textId="2E5F1460" w:rsidR="0071652E" w:rsidRPr="00753313" w:rsidRDefault="00C47EBB" w:rsidP="0071652E">
            <w:pPr>
              <w:ind w:right="95"/>
              <w:jc w:val="right"/>
              <w:rPr>
                <w:rFonts w:eastAsia="Arial Unicode MS"/>
                <w:sz w:val="22"/>
                <w:szCs w:val="22"/>
              </w:rPr>
            </w:pPr>
            <w:r>
              <w:rPr>
                <w:rFonts w:eastAsia="Arial Unicode MS"/>
                <w:sz w:val="22"/>
                <w:szCs w:val="22"/>
              </w:rPr>
              <w:t>-</w:t>
            </w:r>
          </w:p>
        </w:tc>
      </w:tr>
    </w:tbl>
    <w:p w14:paraId="2B66AE27" w14:textId="77777777" w:rsidR="00F563F5" w:rsidRDefault="00F563F5">
      <w:pPr>
        <w:jc w:val="both"/>
        <w:rPr>
          <w:b/>
          <w:sz w:val="22"/>
          <w:szCs w:val="22"/>
        </w:rPr>
      </w:pPr>
    </w:p>
    <w:p w14:paraId="092B9098" w14:textId="612D8C27" w:rsidR="000A354B" w:rsidRDefault="004B3CAF">
      <w:pPr>
        <w:jc w:val="both"/>
        <w:rPr>
          <w:sz w:val="22"/>
          <w:szCs w:val="22"/>
        </w:rPr>
      </w:pPr>
      <w:r>
        <w:rPr>
          <w:b/>
          <w:sz w:val="22"/>
          <w:szCs w:val="22"/>
        </w:rPr>
        <w:t>3</w:t>
      </w:r>
      <w:r w:rsidRPr="00753313">
        <w:rPr>
          <w:b/>
          <w:sz w:val="22"/>
          <w:szCs w:val="22"/>
        </w:rPr>
        <w:t>.</w:t>
      </w:r>
      <w:r w:rsidRPr="00753313">
        <w:rPr>
          <w:b/>
          <w:sz w:val="22"/>
          <w:szCs w:val="22"/>
        </w:rPr>
        <w:tab/>
      </w:r>
      <w:r w:rsidRPr="00AC2BBB">
        <w:rPr>
          <w:b/>
          <w:sz w:val="22"/>
          <w:szCs w:val="22"/>
        </w:rPr>
        <w:t>DIRECTORS’ AND OFFICER’S REMUNERATION</w:t>
      </w:r>
      <w:r>
        <w:rPr>
          <w:b/>
          <w:sz w:val="22"/>
          <w:szCs w:val="22"/>
        </w:rPr>
        <w:t>, continued</w:t>
      </w:r>
    </w:p>
    <w:tbl>
      <w:tblPr>
        <w:tblW w:w="10065" w:type="dxa"/>
        <w:tblLayout w:type="fixed"/>
        <w:tblCellMar>
          <w:left w:w="0" w:type="dxa"/>
          <w:right w:w="0" w:type="dxa"/>
        </w:tblCellMar>
        <w:tblLook w:val="0000" w:firstRow="0" w:lastRow="0" w:firstColumn="0" w:lastColumn="0" w:noHBand="0" w:noVBand="0"/>
      </w:tblPr>
      <w:tblGrid>
        <w:gridCol w:w="5992"/>
        <w:gridCol w:w="1096"/>
        <w:gridCol w:w="1559"/>
        <w:gridCol w:w="1418"/>
      </w:tblGrid>
      <w:tr w:rsidR="004B3CAF" w14:paraId="003D5660" w14:textId="77777777" w:rsidTr="004B3CAF">
        <w:trPr>
          <w:trHeight w:val="324"/>
        </w:trPr>
        <w:tc>
          <w:tcPr>
            <w:tcW w:w="5992" w:type="dxa"/>
            <w:tcBorders>
              <w:top w:val="nil"/>
              <w:left w:val="nil"/>
              <w:bottom w:val="nil"/>
              <w:right w:val="nil"/>
            </w:tcBorders>
            <w:noWrap/>
            <w:tcMar>
              <w:top w:w="15" w:type="dxa"/>
              <w:left w:w="15" w:type="dxa"/>
              <w:bottom w:w="0" w:type="dxa"/>
              <w:right w:w="15" w:type="dxa"/>
            </w:tcMar>
            <w:vAlign w:val="bottom"/>
          </w:tcPr>
          <w:p w14:paraId="04C84CEA" w14:textId="77777777" w:rsidR="004B3CAF" w:rsidRPr="00753313" w:rsidRDefault="004B3CAF" w:rsidP="00877D99">
            <w:pPr>
              <w:rPr>
                <w:rFonts w:eastAsia="Arial Unicode MS"/>
                <w:sz w:val="22"/>
                <w:szCs w:val="22"/>
              </w:rPr>
            </w:pPr>
          </w:p>
        </w:tc>
        <w:tc>
          <w:tcPr>
            <w:tcW w:w="1096" w:type="dxa"/>
            <w:tcBorders>
              <w:top w:val="nil"/>
              <w:left w:val="nil"/>
              <w:bottom w:val="nil"/>
              <w:right w:val="nil"/>
            </w:tcBorders>
            <w:noWrap/>
            <w:tcMar>
              <w:top w:w="15" w:type="dxa"/>
              <w:left w:w="15" w:type="dxa"/>
              <w:bottom w:w="0" w:type="dxa"/>
              <w:right w:w="15" w:type="dxa"/>
            </w:tcMar>
            <w:vAlign w:val="bottom"/>
          </w:tcPr>
          <w:p w14:paraId="133B6F66" w14:textId="77777777" w:rsidR="004B3CAF" w:rsidRPr="00753313" w:rsidRDefault="004B3CAF" w:rsidP="00877D99">
            <w:pPr>
              <w:rPr>
                <w:rFonts w:eastAsia="Arial Unicode MS"/>
                <w:sz w:val="22"/>
                <w:szCs w:val="22"/>
              </w:rPr>
            </w:pPr>
          </w:p>
        </w:tc>
        <w:tc>
          <w:tcPr>
            <w:tcW w:w="1559" w:type="dxa"/>
            <w:tcBorders>
              <w:left w:val="nil"/>
              <w:bottom w:val="single" w:sz="4" w:space="0" w:color="auto"/>
              <w:right w:val="nil"/>
            </w:tcBorders>
            <w:noWrap/>
            <w:tcMar>
              <w:top w:w="15" w:type="dxa"/>
              <w:left w:w="15" w:type="dxa"/>
              <w:bottom w:w="0" w:type="dxa"/>
              <w:right w:w="15" w:type="dxa"/>
            </w:tcMar>
            <w:vAlign w:val="bottom"/>
          </w:tcPr>
          <w:p w14:paraId="6A2D4CFB" w14:textId="77777777" w:rsidR="004B3CAF" w:rsidRPr="00527D44" w:rsidRDefault="004B3CAF" w:rsidP="00877D99">
            <w:pPr>
              <w:ind w:right="90"/>
              <w:jc w:val="right"/>
              <w:rPr>
                <w:rFonts w:eastAsia="Arial Unicode MS"/>
                <w:sz w:val="22"/>
                <w:szCs w:val="22"/>
              </w:rPr>
            </w:pPr>
          </w:p>
        </w:tc>
        <w:tc>
          <w:tcPr>
            <w:tcW w:w="1418" w:type="dxa"/>
            <w:tcBorders>
              <w:left w:val="nil"/>
              <w:bottom w:val="single" w:sz="4" w:space="0" w:color="auto"/>
              <w:right w:val="nil"/>
            </w:tcBorders>
            <w:vAlign w:val="bottom"/>
          </w:tcPr>
          <w:p w14:paraId="66EF2A79" w14:textId="77777777" w:rsidR="004B3CAF" w:rsidRDefault="004B3CAF" w:rsidP="00877D99">
            <w:pPr>
              <w:ind w:right="95"/>
              <w:jc w:val="right"/>
              <w:rPr>
                <w:sz w:val="22"/>
                <w:szCs w:val="22"/>
              </w:rPr>
            </w:pPr>
          </w:p>
        </w:tc>
      </w:tr>
      <w:tr w:rsidR="004B3CAF" w14:paraId="53ED1F2F" w14:textId="77777777" w:rsidTr="004B3CAF">
        <w:trPr>
          <w:trHeight w:val="324"/>
        </w:trPr>
        <w:tc>
          <w:tcPr>
            <w:tcW w:w="5992" w:type="dxa"/>
            <w:tcBorders>
              <w:top w:val="nil"/>
              <w:left w:val="nil"/>
              <w:bottom w:val="nil"/>
              <w:right w:val="nil"/>
            </w:tcBorders>
            <w:noWrap/>
            <w:tcMar>
              <w:top w:w="15" w:type="dxa"/>
              <w:left w:w="15" w:type="dxa"/>
              <w:bottom w:w="0" w:type="dxa"/>
              <w:right w:w="15" w:type="dxa"/>
            </w:tcMar>
            <w:vAlign w:val="bottom"/>
          </w:tcPr>
          <w:p w14:paraId="4C27625D" w14:textId="77777777" w:rsidR="004B3CAF" w:rsidRPr="00753313" w:rsidRDefault="004B3CAF" w:rsidP="00877D99">
            <w:pPr>
              <w:rPr>
                <w:rFonts w:eastAsia="Arial Unicode MS"/>
                <w:sz w:val="22"/>
                <w:szCs w:val="22"/>
              </w:rPr>
            </w:pPr>
            <w:r>
              <w:rPr>
                <w:rFonts w:eastAsia="Arial Unicode MS"/>
                <w:sz w:val="22"/>
                <w:szCs w:val="22"/>
              </w:rPr>
              <w:t>Average number of employees</w:t>
            </w:r>
          </w:p>
        </w:tc>
        <w:tc>
          <w:tcPr>
            <w:tcW w:w="1096" w:type="dxa"/>
            <w:tcBorders>
              <w:top w:val="nil"/>
              <w:left w:val="nil"/>
              <w:bottom w:val="nil"/>
              <w:right w:val="nil"/>
            </w:tcBorders>
            <w:noWrap/>
            <w:tcMar>
              <w:top w:w="15" w:type="dxa"/>
              <w:left w:w="15" w:type="dxa"/>
              <w:bottom w:w="0" w:type="dxa"/>
              <w:right w:w="15" w:type="dxa"/>
            </w:tcMar>
            <w:vAlign w:val="bottom"/>
          </w:tcPr>
          <w:p w14:paraId="1DF55A30" w14:textId="77777777" w:rsidR="004B3CAF" w:rsidRPr="00753313" w:rsidRDefault="004B3CAF" w:rsidP="00877D99">
            <w:pPr>
              <w:rPr>
                <w:rFonts w:eastAsia="Arial Unicode MS"/>
                <w:sz w:val="22"/>
                <w:szCs w:val="22"/>
              </w:rPr>
            </w:pPr>
          </w:p>
        </w:tc>
        <w:tc>
          <w:tcPr>
            <w:tcW w:w="1559"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6891A17A" w14:textId="77777777" w:rsidR="004B3CAF" w:rsidRPr="00527D44" w:rsidRDefault="004B3CAF" w:rsidP="00877D99">
            <w:pPr>
              <w:ind w:right="90"/>
              <w:jc w:val="right"/>
              <w:rPr>
                <w:rFonts w:eastAsia="Arial Unicode MS"/>
                <w:sz w:val="22"/>
                <w:szCs w:val="22"/>
              </w:rPr>
            </w:pPr>
            <w:r>
              <w:rPr>
                <w:rFonts w:eastAsia="Arial Unicode MS"/>
                <w:sz w:val="22"/>
                <w:szCs w:val="22"/>
              </w:rPr>
              <w:t>3</w:t>
            </w:r>
          </w:p>
        </w:tc>
        <w:tc>
          <w:tcPr>
            <w:tcW w:w="1418" w:type="dxa"/>
            <w:tcBorders>
              <w:top w:val="single" w:sz="4" w:space="0" w:color="auto"/>
              <w:left w:val="nil"/>
              <w:bottom w:val="double" w:sz="6" w:space="0" w:color="auto"/>
              <w:right w:val="nil"/>
            </w:tcBorders>
            <w:vAlign w:val="bottom"/>
          </w:tcPr>
          <w:p w14:paraId="35ECAE72" w14:textId="77777777" w:rsidR="004B3CAF" w:rsidRDefault="004B3CAF" w:rsidP="00877D99">
            <w:pPr>
              <w:ind w:right="95"/>
              <w:jc w:val="right"/>
              <w:rPr>
                <w:sz w:val="22"/>
                <w:szCs w:val="22"/>
              </w:rPr>
            </w:pPr>
            <w:r>
              <w:rPr>
                <w:rFonts w:eastAsia="Arial Unicode MS"/>
                <w:sz w:val="22"/>
                <w:szCs w:val="22"/>
              </w:rPr>
              <w:t>1</w:t>
            </w:r>
          </w:p>
        </w:tc>
      </w:tr>
    </w:tbl>
    <w:p w14:paraId="080F8399" w14:textId="5638398E" w:rsidR="00A6483E" w:rsidRDefault="00A6483E">
      <w:pPr>
        <w:jc w:val="both"/>
        <w:rPr>
          <w:sz w:val="22"/>
          <w:szCs w:val="22"/>
        </w:rPr>
      </w:pPr>
    </w:p>
    <w:p w14:paraId="01FEBD38" w14:textId="165BA026" w:rsidR="007623F0" w:rsidRPr="00F812B7" w:rsidRDefault="007D15C4" w:rsidP="007D15C4">
      <w:pPr>
        <w:overflowPunct/>
        <w:autoSpaceDE/>
        <w:autoSpaceDN/>
        <w:adjustRightInd/>
        <w:textAlignment w:val="auto"/>
        <w:rPr>
          <w:b/>
          <w:sz w:val="22"/>
          <w:szCs w:val="22"/>
        </w:rPr>
      </w:pPr>
      <w:r>
        <w:rPr>
          <w:b/>
          <w:sz w:val="22"/>
          <w:szCs w:val="22"/>
        </w:rPr>
        <w:t>4</w:t>
      </w:r>
      <w:r w:rsidR="007623F0" w:rsidRPr="00F812B7">
        <w:rPr>
          <w:b/>
          <w:sz w:val="22"/>
          <w:szCs w:val="22"/>
        </w:rPr>
        <w:t>.</w:t>
      </w:r>
      <w:r w:rsidR="007623F0" w:rsidRPr="00F812B7">
        <w:rPr>
          <w:b/>
          <w:sz w:val="22"/>
          <w:szCs w:val="22"/>
        </w:rPr>
        <w:tab/>
        <w:t>INCOME TAXES</w:t>
      </w:r>
    </w:p>
    <w:p w14:paraId="24ADC5EB" w14:textId="77777777" w:rsidR="007623F0" w:rsidRPr="00F812B7" w:rsidRDefault="007623F0">
      <w:pPr>
        <w:rPr>
          <w:sz w:val="22"/>
          <w:szCs w:val="22"/>
        </w:rPr>
      </w:pPr>
    </w:p>
    <w:p w14:paraId="2AFE3354" w14:textId="7321018D" w:rsidR="007623F0" w:rsidRPr="00F812B7" w:rsidRDefault="007623F0">
      <w:pPr>
        <w:jc w:val="both"/>
        <w:rPr>
          <w:sz w:val="22"/>
          <w:szCs w:val="22"/>
        </w:rPr>
      </w:pPr>
      <w:r w:rsidRPr="00F812B7">
        <w:rPr>
          <w:b/>
          <w:sz w:val="22"/>
          <w:szCs w:val="22"/>
        </w:rPr>
        <w:t>a) Analysis of charge in the period</w:t>
      </w:r>
    </w:p>
    <w:tbl>
      <w:tblPr>
        <w:tblW w:w="9944" w:type="dxa"/>
        <w:tblInd w:w="93" w:type="dxa"/>
        <w:tblLook w:val="0000" w:firstRow="0" w:lastRow="0" w:firstColumn="0" w:lastColumn="0" w:noHBand="0" w:noVBand="0"/>
      </w:tblPr>
      <w:tblGrid>
        <w:gridCol w:w="6711"/>
        <w:gridCol w:w="284"/>
        <w:gridCol w:w="1415"/>
        <w:gridCol w:w="1534"/>
      </w:tblGrid>
      <w:tr w:rsidR="00421CF9" w:rsidRPr="00765A1F" w14:paraId="16FA8D48" w14:textId="77777777" w:rsidTr="00421CF9">
        <w:trPr>
          <w:trHeight w:val="315"/>
        </w:trPr>
        <w:tc>
          <w:tcPr>
            <w:tcW w:w="6711" w:type="dxa"/>
            <w:tcBorders>
              <w:top w:val="nil"/>
              <w:left w:val="nil"/>
              <w:bottom w:val="nil"/>
              <w:right w:val="nil"/>
            </w:tcBorders>
            <w:noWrap/>
            <w:vAlign w:val="bottom"/>
          </w:tcPr>
          <w:p w14:paraId="7503D5C9" w14:textId="77777777" w:rsidR="00421CF9" w:rsidRPr="00F812B7" w:rsidRDefault="00421CF9" w:rsidP="00421CF9">
            <w:pPr>
              <w:overflowPunct/>
              <w:autoSpaceDE/>
              <w:autoSpaceDN/>
              <w:adjustRightInd/>
              <w:textAlignment w:val="auto"/>
              <w:rPr>
                <w:sz w:val="22"/>
                <w:szCs w:val="22"/>
                <w:lang w:eastAsia="en-GB"/>
              </w:rPr>
            </w:pPr>
          </w:p>
        </w:tc>
        <w:tc>
          <w:tcPr>
            <w:tcW w:w="1699" w:type="dxa"/>
            <w:gridSpan w:val="2"/>
            <w:tcBorders>
              <w:top w:val="nil"/>
              <w:left w:val="nil"/>
              <w:bottom w:val="nil"/>
              <w:right w:val="nil"/>
            </w:tcBorders>
            <w:noWrap/>
            <w:vAlign w:val="bottom"/>
          </w:tcPr>
          <w:p w14:paraId="2F2D69AB" w14:textId="4713DE4D" w:rsidR="00421CF9" w:rsidRPr="00765A1F" w:rsidRDefault="000B450B" w:rsidP="00421CF9">
            <w:pPr>
              <w:overflowPunct/>
              <w:autoSpaceDE/>
              <w:autoSpaceDN/>
              <w:adjustRightInd/>
              <w:jc w:val="right"/>
              <w:textAlignment w:val="auto"/>
              <w:rPr>
                <w:b/>
                <w:bCs/>
                <w:sz w:val="22"/>
                <w:szCs w:val="22"/>
                <w:lang w:eastAsia="en-GB"/>
              </w:rPr>
            </w:pPr>
            <w:r>
              <w:rPr>
                <w:b/>
                <w:bCs/>
                <w:sz w:val="22"/>
                <w:szCs w:val="22"/>
              </w:rPr>
              <w:t>Year</w:t>
            </w:r>
            <w:r w:rsidR="00421CF9">
              <w:rPr>
                <w:b/>
                <w:bCs/>
                <w:sz w:val="22"/>
                <w:szCs w:val="22"/>
              </w:rPr>
              <w:t xml:space="preserve"> to</w:t>
            </w:r>
          </w:p>
        </w:tc>
        <w:tc>
          <w:tcPr>
            <w:tcW w:w="1534" w:type="dxa"/>
            <w:tcBorders>
              <w:top w:val="nil"/>
              <w:left w:val="nil"/>
              <w:bottom w:val="nil"/>
              <w:right w:val="nil"/>
            </w:tcBorders>
            <w:noWrap/>
            <w:vAlign w:val="bottom"/>
          </w:tcPr>
          <w:p w14:paraId="7C3BA374" w14:textId="7821B72C" w:rsidR="00421CF9" w:rsidRPr="00765A1F" w:rsidRDefault="000B450B" w:rsidP="00421CF9">
            <w:pPr>
              <w:overflowPunct/>
              <w:autoSpaceDE/>
              <w:autoSpaceDN/>
              <w:adjustRightInd/>
              <w:jc w:val="right"/>
              <w:textAlignment w:val="auto"/>
              <w:rPr>
                <w:b/>
                <w:bCs/>
                <w:sz w:val="22"/>
                <w:szCs w:val="22"/>
                <w:lang w:eastAsia="en-GB"/>
              </w:rPr>
            </w:pPr>
            <w:r>
              <w:rPr>
                <w:b/>
                <w:bCs/>
                <w:sz w:val="22"/>
                <w:szCs w:val="22"/>
                <w:lang w:eastAsia="en-GB"/>
              </w:rPr>
              <w:t xml:space="preserve">10-Month Period </w:t>
            </w:r>
            <w:r w:rsidR="00421CF9">
              <w:rPr>
                <w:b/>
                <w:bCs/>
                <w:sz w:val="22"/>
                <w:szCs w:val="22"/>
                <w:lang w:eastAsia="en-GB"/>
              </w:rPr>
              <w:t>to</w:t>
            </w:r>
          </w:p>
        </w:tc>
      </w:tr>
      <w:tr w:rsidR="00421CF9" w:rsidRPr="00765A1F" w14:paraId="7AC3E591" w14:textId="77777777" w:rsidTr="00421CF9">
        <w:trPr>
          <w:trHeight w:val="315"/>
        </w:trPr>
        <w:tc>
          <w:tcPr>
            <w:tcW w:w="6711" w:type="dxa"/>
            <w:tcBorders>
              <w:top w:val="nil"/>
              <w:left w:val="nil"/>
              <w:bottom w:val="nil"/>
              <w:right w:val="nil"/>
            </w:tcBorders>
            <w:noWrap/>
            <w:vAlign w:val="bottom"/>
          </w:tcPr>
          <w:p w14:paraId="59653219" w14:textId="77777777" w:rsidR="00421CF9" w:rsidRPr="00F812B7" w:rsidRDefault="00421CF9" w:rsidP="00421CF9">
            <w:pPr>
              <w:overflowPunct/>
              <w:autoSpaceDE/>
              <w:autoSpaceDN/>
              <w:adjustRightInd/>
              <w:textAlignment w:val="auto"/>
              <w:rPr>
                <w:sz w:val="22"/>
                <w:szCs w:val="22"/>
                <w:lang w:eastAsia="en-GB"/>
              </w:rPr>
            </w:pPr>
          </w:p>
        </w:tc>
        <w:tc>
          <w:tcPr>
            <w:tcW w:w="1699" w:type="dxa"/>
            <w:gridSpan w:val="2"/>
            <w:tcBorders>
              <w:top w:val="nil"/>
              <w:left w:val="nil"/>
              <w:bottom w:val="nil"/>
              <w:right w:val="nil"/>
            </w:tcBorders>
            <w:noWrap/>
            <w:vAlign w:val="bottom"/>
          </w:tcPr>
          <w:p w14:paraId="1A3FD3C8" w14:textId="6043F953" w:rsidR="00421CF9" w:rsidRPr="00765A1F" w:rsidRDefault="00421CF9" w:rsidP="00421CF9">
            <w:pPr>
              <w:overflowPunct/>
              <w:autoSpaceDE/>
              <w:autoSpaceDN/>
              <w:adjustRightInd/>
              <w:jc w:val="right"/>
              <w:textAlignment w:val="auto"/>
              <w:rPr>
                <w:b/>
                <w:bCs/>
                <w:sz w:val="22"/>
                <w:szCs w:val="22"/>
                <w:lang w:eastAsia="en-GB"/>
              </w:rPr>
            </w:pPr>
            <w:r>
              <w:rPr>
                <w:b/>
                <w:bCs/>
                <w:sz w:val="22"/>
                <w:szCs w:val="22"/>
                <w:lang w:eastAsia="en-GB"/>
              </w:rPr>
              <w:t xml:space="preserve">31 December </w:t>
            </w:r>
            <w:r w:rsidR="000B450B">
              <w:rPr>
                <w:b/>
                <w:bCs/>
                <w:sz w:val="22"/>
                <w:szCs w:val="22"/>
                <w:lang w:eastAsia="en-GB"/>
              </w:rPr>
              <w:t>2020</w:t>
            </w:r>
          </w:p>
        </w:tc>
        <w:tc>
          <w:tcPr>
            <w:tcW w:w="1534" w:type="dxa"/>
            <w:tcBorders>
              <w:top w:val="nil"/>
              <w:left w:val="nil"/>
              <w:bottom w:val="nil"/>
              <w:right w:val="nil"/>
            </w:tcBorders>
            <w:noWrap/>
            <w:vAlign w:val="bottom"/>
          </w:tcPr>
          <w:p w14:paraId="1DAC6C4F" w14:textId="407CF85D" w:rsidR="00421CF9" w:rsidRPr="00765A1F" w:rsidRDefault="000B450B" w:rsidP="00421CF9">
            <w:pPr>
              <w:overflowPunct/>
              <w:autoSpaceDE/>
              <w:autoSpaceDN/>
              <w:adjustRightInd/>
              <w:jc w:val="right"/>
              <w:textAlignment w:val="auto"/>
              <w:rPr>
                <w:b/>
                <w:bCs/>
                <w:sz w:val="22"/>
                <w:szCs w:val="22"/>
                <w:lang w:eastAsia="en-GB"/>
              </w:rPr>
            </w:pPr>
            <w:r>
              <w:rPr>
                <w:b/>
                <w:bCs/>
                <w:sz w:val="22"/>
                <w:szCs w:val="22"/>
                <w:lang w:eastAsia="en-GB"/>
              </w:rPr>
              <w:t>31 December</w:t>
            </w:r>
            <w:r w:rsidR="00421CF9">
              <w:rPr>
                <w:b/>
                <w:bCs/>
                <w:sz w:val="22"/>
                <w:szCs w:val="22"/>
                <w:lang w:eastAsia="en-GB"/>
              </w:rPr>
              <w:t xml:space="preserve"> 2019</w:t>
            </w:r>
          </w:p>
        </w:tc>
      </w:tr>
      <w:tr w:rsidR="00F812B7" w:rsidRPr="00765A1F" w14:paraId="290F158A" w14:textId="77777777" w:rsidTr="00421CF9">
        <w:trPr>
          <w:trHeight w:val="315"/>
        </w:trPr>
        <w:tc>
          <w:tcPr>
            <w:tcW w:w="6995" w:type="dxa"/>
            <w:gridSpan w:val="2"/>
            <w:tcBorders>
              <w:top w:val="nil"/>
              <w:left w:val="nil"/>
              <w:bottom w:val="nil"/>
              <w:right w:val="nil"/>
            </w:tcBorders>
            <w:noWrap/>
            <w:vAlign w:val="bottom"/>
          </w:tcPr>
          <w:p w14:paraId="250ACB9D" w14:textId="77777777" w:rsidR="00F812B7" w:rsidRPr="00765A1F" w:rsidRDefault="00F812B7">
            <w:pPr>
              <w:overflowPunct/>
              <w:autoSpaceDE/>
              <w:autoSpaceDN/>
              <w:adjustRightInd/>
              <w:textAlignment w:val="auto"/>
              <w:rPr>
                <w:sz w:val="22"/>
                <w:szCs w:val="22"/>
                <w:lang w:eastAsia="en-GB"/>
              </w:rPr>
            </w:pPr>
          </w:p>
        </w:tc>
        <w:tc>
          <w:tcPr>
            <w:tcW w:w="1415" w:type="dxa"/>
            <w:tcBorders>
              <w:top w:val="nil"/>
              <w:left w:val="nil"/>
              <w:bottom w:val="nil"/>
              <w:right w:val="nil"/>
            </w:tcBorders>
            <w:noWrap/>
            <w:vAlign w:val="bottom"/>
          </w:tcPr>
          <w:p w14:paraId="2A321250" w14:textId="77777777" w:rsidR="00F812B7" w:rsidRPr="00765A1F" w:rsidRDefault="00F812B7">
            <w:pPr>
              <w:overflowPunct/>
              <w:autoSpaceDE/>
              <w:autoSpaceDN/>
              <w:adjustRightInd/>
              <w:jc w:val="right"/>
              <w:textAlignment w:val="auto"/>
              <w:rPr>
                <w:b/>
                <w:bCs/>
                <w:sz w:val="22"/>
                <w:szCs w:val="22"/>
                <w:lang w:eastAsia="en-GB"/>
              </w:rPr>
            </w:pPr>
            <w:r w:rsidRPr="00765A1F">
              <w:rPr>
                <w:b/>
                <w:bCs/>
                <w:sz w:val="22"/>
                <w:szCs w:val="22"/>
                <w:lang w:eastAsia="en-GB"/>
              </w:rPr>
              <w:t>£</w:t>
            </w:r>
          </w:p>
        </w:tc>
        <w:tc>
          <w:tcPr>
            <w:tcW w:w="1534" w:type="dxa"/>
            <w:tcBorders>
              <w:top w:val="nil"/>
              <w:left w:val="nil"/>
              <w:bottom w:val="nil"/>
              <w:right w:val="nil"/>
            </w:tcBorders>
            <w:noWrap/>
            <w:vAlign w:val="bottom"/>
          </w:tcPr>
          <w:p w14:paraId="5DF55D74" w14:textId="77777777" w:rsidR="00F812B7" w:rsidRPr="00765A1F" w:rsidRDefault="00F812B7">
            <w:pPr>
              <w:overflowPunct/>
              <w:autoSpaceDE/>
              <w:autoSpaceDN/>
              <w:adjustRightInd/>
              <w:jc w:val="right"/>
              <w:textAlignment w:val="auto"/>
              <w:rPr>
                <w:b/>
                <w:bCs/>
                <w:sz w:val="22"/>
                <w:szCs w:val="22"/>
                <w:lang w:eastAsia="en-GB"/>
              </w:rPr>
            </w:pPr>
            <w:r w:rsidRPr="00765A1F">
              <w:rPr>
                <w:b/>
                <w:bCs/>
                <w:sz w:val="22"/>
                <w:szCs w:val="22"/>
                <w:lang w:eastAsia="en-GB"/>
              </w:rPr>
              <w:t>£</w:t>
            </w:r>
          </w:p>
        </w:tc>
      </w:tr>
      <w:tr w:rsidR="00F812B7" w:rsidRPr="00765A1F" w14:paraId="0E52493E" w14:textId="77777777" w:rsidTr="00421CF9">
        <w:trPr>
          <w:trHeight w:val="315"/>
        </w:trPr>
        <w:tc>
          <w:tcPr>
            <w:tcW w:w="6995" w:type="dxa"/>
            <w:gridSpan w:val="2"/>
            <w:tcBorders>
              <w:top w:val="nil"/>
              <w:left w:val="nil"/>
              <w:bottom w:val="nil"/>
              <w:right w:val="nil"/>
            </w:tcBorders>
            <w:noWrap/>
            <w:vAlign w:val="bottom"/>
          </w:tcPr>
          <w:p w14:paraId="42BA2646" w14:textId="332CEF5D" w:rsidR="00F812B7" w:rsidRPr="00765A1F" w:rsidRDefault="00F812B7" w:rsidP="002200D4">
            <w:pPr>
              <w:overflowPunct/>
              <w:autoSpaceDE/>
              <w:autoSpaceDN/>
              <w:adjustRightInd/>
              <w:textAlignment w:val="auto"/>
              <w:rPr>
                <w:sz w:val="22"/>
                <w:szCs w:val="22"/>
                <w:lang w:eastAsia="en-GB"/>
              </w:rPr>
            </w:pPr>
            <w:r w:rsidRPr="00765A1F">
              <w:rPr>
                <w:sz w:val="22"/>
                <w:szCs w:val="22"/>
                <w:lang w:eastAsia="en-GB"/>
              </w:rPr>
              <w:t xml:space="preserve">United Kingdom corporation tax at </w:t>
            </w:r>
            <w:r w:rsidR="002200D4">
              <w:rPr>
                <w:sz w:val="22"/>
                <w:szCs w:val="22"/>
                <w:lang w:eastAsia="en-GB"/>
              </w:rPr>
              <w:t>19</w:t>
            </w:r>
            <w:r w:rsidR="008C7087" w:rsidRPr="00765A1F">
              <w:rPr>
                <w:sz w:val="22"/>
                <w:szCs w:val="22"/>
                <w:lang w:eastAsia="en-GB"/>
              </w:rPr>
              <w:t>%</w:t>
            </w:r>
            <w:r w:rsidRPr="00765A1F">
              <w:rPr>
                <w:sz w:val="22"/>
                <w:szCs w:val="22"/>
                <w:lang w:eastAsia="en-GB"/>
              </w:rPr>
              <w:t xml:space="preserve"> (</w:t>
            </w:r>
            <w:r w:rsidR="000B450B">
              <w:rPr>
                <w:sz w:val="22"/>
                <w:szCs w:val="22"/>
                <w:lang w:eastAsia="en-GB"/>
              </w:rPr>
              <w:t>31 December 2019</w:t>
            </w:r>
            <w:r w:rsidRPr="00765A1F">
              <w:rPr>
                <w:sz w:val="22"/>
                <w:szCs w:val="22"/>
                <w:lang w:eastAsia="en-GB"/>
              </w:rPr>
              <w:t xml:space="preserve">: </w:t>
            </w:r>
            <w:r w:rsidR="00D32F25">
              <w:rPr>
                <w:sz w:val="22"/>
                <w:szCs w:val="22"/>
                <w:lang w:eastAsia="en-GB"/>
              </w:rPr>
              <w:t>19</w:t>
            </w:r>
            <w:r w:rsidRPr="00765A1F">
              <w:rPr>
                <w:sz w:val="22"/>
                <w:szCs w:val="22"/>
                <w:lang w:eastAsia="en-GB"/>
              </w:rPr>
              <w:t>%)</w:t>
            </w:r>
          </w:p>
        </w:tc>
        <w:tc>
          <w:tcPr>
            <w:tcW w:w="1415" w:type="dxa"/>
            <w:tcBorders>
              <w:top w:val="nil"/>
              <w:left w:val="nil"/>
              <w:bottom w:val="nil"/>
              <w:right w:val="nil"/>
            </w:tcBorders>
            <w:noWrap/>
            <w:vAlign w:val="bottom"/>
          </w:tcPr>
          <w:p w14:paraId="7A5B2EC8"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c>
          <w:tcPr>
            <w:tcW w:w="1534" w:type="dxa"/>
            <w:tcBorders>
              <w:top w:val="nil"/>
              <w:left w:val="nil"/>
              <w:bottom w:val="nil"/>
              <w:right w:val="nil"/>
            </w:tcBorders>
            <w:noWrap/>
            <w:vAlign w:val="bottom"/>
          </w:tcPr>
          <w:p w14:paraId="171EA951"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r>
      <w:tr w:rsidR="00F812B7" w:rsidRPr="00765A1F" w14:paraId="1BC6E6F9" w14:textId="77777777" w:rsidTr="00421CF9">
        <w:trPr>
          <w:trHeight w:val="315"/>
        </w:trPr>
        <w:tc>
          <w:tcPr>
            <w:tcW w:w="6995" w:type="dxa"/>
            <w:gridSpan w:val="2"/>
            <w:tcBorders>
              <w:top w:val="nil"/>
              <w:left w:val="nil"/>
              <w:bottom w:val="nil"/>
              <w:right w:val="nil"/>
            </w:tcBorders>
            <w:noWrap/>
            <w:vAlign w:val="bottom"/>
          </w:tcPr>
          <w:p w14:paraId="05D08793" w14:textId="77777777" w:rsidR="00F812B7" w:rsidRPr="00765A1F" w:rsidRDefault="00F812B7">
            <w:pPr>
              <w:overflowPunct/>
              <w:autoSpaceDE/>
              <w:autoSpaceDN/>
              <w:adjustRightInd/>
              <w:textAlignment w:val="auto"/>
              <w:rPr>
                <w:sz w:val="22"/>
                <w:szCs w:val="22"/>
                <w:lang w:eastAsia="en-GB"/>
              </w:rPr>
            </w:pPr>
            <w:r w:rsidRPr="00765A1F">
              <w:rPr>
                <w:sz w:val="22"/>
                <w:szCs w:val="22"/>
                <w:lang w:eastAsia="en-GB"/>
              </w:rPr>
              <w:t>Deferred taxation</w:t>
            </w:r>
          </w:p>
        </w:tc>
        <w:tc>
          <w:tcPr>
            <w:tcW w:w="1415" w:type="dxa"/>
            <w:tcBorders>
              <w:top w:val="nil"/>
              <w:left w:val="nil"/>
              <w:bottom w:val="nil"/>
              <w:right w:val="nil"/>
            </w:tcBorders>
            <w:noWrap/>
            <w:vAlign w:val="bottom"/>
          </w:tcPr>
          <w:p w14:paraId="2BEDC0C9"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c>
          <w:tcPr>
            <w:tcW w:w="1534" w:type="dxa"/>
            <w:tcBorders>
              <w:top w:val="nil"/>
              <w:left w:val="nil"/>
              <w:bottom w:val="nil"/>
              <w:right w:val="nil"/>
            </w:tcBorders>
            <w:noWrap/>
            <w:vAlign w:val="bottom"/>
          </w:tcPr>
          <w:p w14:paraId="5B09A334"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r>
      <w:tr w:rsidR="00F812B7" w:rsidRPr="00765A1F" w14:paraId="0F3420B8" w14:textId="77777777" w:rsidTr="00421CF9">
        <w:trPr>
          <w:trHeight w:val="330"/>
        </w:trPr>
        <w:tc>
          <w:tcPr>
            <w:tcW w:w="6995" w:type="dxa"/>
            <w:gridSpan w:val="2"/>
            <w:tcBorders>
              <w:top w:val="nil"/>
              <w:left w:val="nil"/>
              <w:bottom w:val="nil"/>
              <w:right w:val="nil"/>
            </w:tcBorders>
            <w:noWrap/>
            <w:vAlign w:val="bottom"/>
          </w:tcPr>
          <w:p w14:paraId="38979335" w14:textId="77777777" w:rsidR="00F812B7" w:rsidRPr="00765A1F" w:rsidRDefault="00F812B7">
            <w:pPr>
              <w:overflowPunct/>
              <w:autoSpaceDE/>
              <w:autoSpaceDN/>
              <w:adjustRightInd/>
              <w:textAlignment w:val="auto"/>
              <w:rPr>
                <w:sz w:val="22"/>
                <w:szCs w:val="22"/>
                <w:lang w:eastAsia="en-GB"/>
              </w:rPr>
            </w:pPr>
          </w:p>
        </w:tc>
        <w:tc>
          <w:tcPr>
            <w:tcW w:w="1415" w:type="dxa"/>
            <w:tcBorders>
              <w:top w:val="single" w:sz="4" w:space="0" w:color="auto"/>
              <w:left w:val="nil"/>
              <w:bottom w:val="double" w:sz="6" w:space="0" w:color="auto"/>
              <w:right w:val="nil"/>
            </w:tcBorders>
            <w:noWrap/>
            <w:vAlign w:val="bottom"/>
          </w:tcPr>
          <w:p w14:paraId="29F72D4D"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c>
          <w:tcPr>
            <w:tcW w:w="1534" w:type="dxa"/>
            <w:tcBorders>
              <w:top w:val="single" w:sz="4" w:space="0" w:color="auto"/>
              <w:left w:val="nil"/>
              <w:bottom w:val="double" w:sz="6" w:space="0" w:color="auto"/>
              <w:right w:val="nil"/>
            </w:tcBorders>
            <w:noWrap/>
            <w:vAlign w:val="bottom"/>
          </w:tcPr>
          <w:p w14:paraId="0A919CAC" w14:textId="77777777" w:rsidR="00F812B7" w:rsidRPr="00765A1F" w:rsidRDefault="00F812B7">
            <w:pPr>
              <w:overflowPunct/>
              <w:autoSpaceDE/>
              <w:autoSpaceDN/>
              <w:adjustRightInd/>
              <w:jc w:val="right"/>
              <w:textAlignment w:val="auto"/>
              <w:rPr>
                <w:sz w:val="22"/>
                <w:szCs w:val="22"/>
                <w:lang w:eastAsia="en-GB"/>
              </w:rPr>
            </w:pPr>
            <w:r w:rsidRPr="00765A1F">
              <w:rPr>
                <w:sz w:val="22"/>
                <w:szCs w:val="22"/>
                <w:lang w:eastAsia="en-GB"/>
              </w:rPr>
              <w:t>-</w:t>
            </w:r>
          </w:p>
        </w:tc>
      </w:tr>
    </w:tbl>
    <w:p w14:paraId="5DD7E917" w14:textId="77777777" w:rsidR="007623F0" w:rsidRPr="00765A1F" w:rsidRDefault="007623F0">
      <w:pPr>
        <w:pStyle w:val="BodyText2"/>
        <w:rPr>
          <w:sz w:val="22"/>
          <w:szCs w:val="22"/>
        </w:rPr>
      </w:pPr>
    </w:p>
    <w:p w14:paraId="3F1604AD" w14:textId="77777777" w:rsidR="007623F0" w:rsidRPr="00765A1F" w:rsidRDefault="007623F0">
      <w:pPr>
        <w:pStyle w:val="BodyText2"/>
        <w:rPr>
          <w:b/>
          <w:sz w:val="22"/>
          <w:szCs w:val="22"/>
        </w:rPr>
      </w:pPr>
      <w:r w:rsidRPr="00765A1F">
        <w:rPr>
          <w:b/>
          <w:sz w:val="22"/>
          <w:szCs w:val="22"/>
        </w:rPr>
        <w:t>b) Factors affecting tax charge for the period</w:t>
      </w:r>
    </w:p>
    <w:p w14:paraId="4ABE3B36" w14:textId="77777777" w:rsidR="007623F0" w:rsidRPr="00765A1F" w:rsidRDefault="007623F0">
      <w:pPr>
        <w:jc w:val="both"/>
        <w:rPr>
          <w:sz w:val="22"/>
          <w:szCs w:val="22"/>
        </w:rPr>
      </w:pPr>
    </w:p>
    <w:p w14:paraId="7EF262B3" w14:textId="15603BB4" w:rsidR="007623F0" w:rsidRPr="00765A1F" w:rsidRDefault="007623F0">
      <w:pPr>
        <w:jc w:val="both"/>
        <w:rPr>
          <w:sz w:val="22"/>
          <w:szCs w:val="22"/>
        </w:rPr>
      </w:pPr>
      <w:r w:rsidRPr="00765A1F">
        <w:rPr>
          <w:sz w:val="22"/>
          <w:szCs w:val="22"/>
        </w:rPr>
        <w:t xml:space="preserve">The tax assessed on the loss on ordinary activities for the </w:t>
      </w:r>
      <w:r w:rsidR="00405F7F">
        <w:rPr>
          <w:sz w:val="22"/>
          <w:szCs w:val="22"/>
        </w:rPr>
        <w:t>period</w:t>
      </w:r>
      <w:r w:rsidRPr="00765A1F">
        <w:rPr>
          <w:sz w:val="22"/>
          <w:szCs w:val="22"/>
        </w:rPr>
        <w:t xml:space="preserve"> differs from the standard rate of corporation tax in the UK of </w:t>
      </w:r>
      <w:r w:rsidR="00A836E0">
        <w:rPr>
          <w:sz w:val="22"/>
          <w:szCs w:val="22"/>
        </w:rPr>
        <w:t>19</w:t>
      </w:r>
      <w:r w:rsidRPr="00765A1F">
        <w:rPr>
          <w:sz w:val="22"/>
          <w:szCs w:val="22"/>
        </w:rPr>
        <w:t xml:space="preserve">% </w:t>
      </w:r>
      <w:r w:rsidR="000B450B">
        <w:rPr>
          <w:sz w:val="22"/>
          <w:szCs w:val="22"/>
        </w:rPr>
        <w:t>31 December</w:t>
      </w:r>
      <w:r w:rsidR="00405F7F">
        <w:rPr>
          <w:sz w:val="22"/>
          <w:szCs w:val="22"/>
        </w:rPr>
        <w:t xml:space="preserve"> </w:t>
      </w:r>
      <w:r w:rsidRPr="00765A1F">
        <w:rPr>
          <w:sz w:val="22"/>
          <w:szCs w:val="22"/>
        </w:rPr>
        <w:t>201</w:t>
      </w:r>
      <w:r w:rsidR="008838E3">
        <w:rPr>
          <w:sz w:val="22"/>
          <w:szCs w:val="22"/>
        </w:rPr>
        <w:t>9</w:t>
      </w:r>
      <w:r w:rsidRPr="00765A1F">
        <w:rPr>
          <w:sz w:val="22"/>
          <w:szCs w:val="22"/>
        </w:rPr>
        <w:t xml:space="preserve">: </w:t>
      </w:r>
      <w:r w:rsidR="00D32F25">
        <w:rPr>
          <w:sz w:val="22"/>
          <w:szCs w:val="22"/>
        </w:rPr>
        <w:t>19</w:t>
      </w:r>
      <w:r w:rsidRPr="00765A1F">
        <w:rPr>
          <w:sz w:val="22"/>
          <w:szCs w:val="22"/>
        </w:rPr>
        <w:t>%). The differences are explained below:</w:t>
      </w:r>
    </w:p>
    <w:p w14:paraId="33C1764C" w14:textId="77777777" w:rsidR="007623F0" w:rsidRPr="00765A1F" w:rsidRDefault="007623F0">
      <w:pPr>
        <w:jc w:val="both"/>
        <w:rPr>
          <w:sz w:val="22"/>
          <w:szCs w:val="22"/>
        </w:rPr>
      </w:pPr>
    </w:p>
    <w:tbl>
      <w:tblPr>
        <w:tblW w:w="9938" w:type="dxa"/>
        <w:tblCellMar>
          <w:left w:w="0" w:type="dxa"/>
          <w:right w:w="0" w:type="dxa"/>
        </w:tblCellMar>
        <w:tblLook w:val="0000" w:firstRow="0" w:lastRow="0" w:firstColumn="0" w:lastColumn="0" w:noHBand="0" w:noVBand="0"/>
      </w:tblPr>
      <w:tblGrid>
        <w:gridCol w:w="6536"/>
        <w:gridCol w:w="1704"/>
        <w:gridCol w:w="1698"/>
      </w:tblGrid>
      <w:tr w:rsidR="00F812B7" w:rsidRPr="00765A1F" w14:paraId="23170484"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1FE41276" w14:textId="77777777" w:rsidR="00F812B7" w:rsidRPr="00765A1F" w:rsidRDefault="00F812B7" w:rsidP="00F812B7">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0BA4EBF9" w14:textId="5537C34D" w:rsidR="00F812B7" w:rsidRPr="00765A1F" w:rsidRDefault="000B450B" w:rsidP="00C52721">
            <w:pPr>
              <w:ind w:right="90"/>
              <w:jc w:val="right"/>
              <w:rPr>
                <w:rFonts w:eastAsia="Arial Unicode MS"/>
                <w:b/>
                <w:bCs/>
                <w:sz w:val="22"/>
                <w:szCs w:val="22"/>
              </w:rPr>
            </w:pPr>
            <w:r>
              <w:rPr>
                <w:b/>
                <w:bCs/>
                <w:sz w:val="22"/>
                <w:szCs w:val="22"/>
              </w:rPr>
              <w:t>Year</w:t>
            </w:r>
            <w:r w:rsidR="008838E3">
              <w:rPr>
                <w:b/>
                <w:bCs/>
                <w:sz w:val="22"/>
                <w:szCs w:val="22"/>
              </w:rPr>
              <w:t xml:space="preserve"> to</w:t>
            </w:r>
          </w:p>
        </w:tc>
        <w:tc>
          <w:tcPr>
            <w:tcW w:w="1698" w:type="dxa"/>
            <w:tcBorders>
              <w:top w:val="nil"/>
              <w:left w:val="nil"/>
              <w:bottom w:val="nil"/>
              <w:right w:val="nil"/>
            </w:tcBorders>
            <w:vAlign w:val="bottom"/>
          </w:tcPr>
          <w:p w14:paraId="50FD5E49" w14:textId="43176395" w:rsidR="00F812B7" w:rsidRPr="00765A1F" w:rsidRDefault="000B450B" w:rsidP="00F812B7">
            <w:pPr>
              <w:ind w:right="95"/>
              <w:jc w:val="right"/>
              <w:rPr>
                <w:rFonts w:eastAsia="Arial Unicode MS"/>
                <w:b/>
                <w:bCs/>
                <w:sz w:val="22"/>
                <w:szCs w:val="22"/>
              </w:rPr>
            </w:pPr>
            <w:r>
              <w:rPr>
                <w:b/>
                <w:bCs/>
                <w:sz w:val="22"/>
                <w:szCs w:val="22"/>
              </w:rPr>
              <w:t xml:space="preserve">10-Month Period </w:t>
            </w:r>
            <w:r w:rsidR="008838E3">
              <w:rPr>
                <w:b/>
                <w:bCs/>
                <w:sz w:val="22"/>
                <w:szCs w:val="22"/>
              </w:rPr>
              <w:t>to</w:t>
            </w:r>
          </w:p>
        </w:tc>
      </w:tr>
      <w:tr w:rsidR="008838E3" w:rsidRPr="00765A1F" w14:paraId="43DEDB7D"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23F456A8" w14:textId="77777777" w:rsidR="008838E3" w:rsidRPr="00765A1F" w:rsidRDefault="008838E3" w:rsidP="00F812B7">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6FAD4072" w14:textId="574C51AA" w:rsidR="008838E3" w:rsidRPr="00765A1F" w:rsidRDefault="008838E3" w:rsidP="00C52721">
            <w:pPr>
              <w:ind w:right="90"/>
              <w:jc w:val="right"/>
              <w:rPr>
                <w:b/>
                <w:bCs/>
                <w:sz w:val="22"/>
                <w:szCs w:val="22"/>
              </w:rPr>
            </w:pPr>
            <w:r>
              <w:rPr>
                <w:b/>
                <w:bCs/>
                <w:sz w:val="22"/>
                <w:szCs w:val="22"/>
              </w:rPr>
              <w:t xml:space="preserve">31 December </w:t>
            </w:r>
            <w:r w:rsidR="000B450B">
              <w:rPr>
                <w:b/>
                <w:bCs/>
                <w:sz w:val="22"/>
                <w:szCs w:val="22"/>
              </w:rPr>
              <w:t>2020</w:t>
            </w:r>
          </w:p>
        </w:tc>
        <w:tc>
          <w:tcPr>
            <w:tcW w:w="1698" w:type="dxa"/>
            <w:tcBorders>
              <w:top w:val="nil"/>
              <w:left w:val="nil"/>
              <w:bottom w:val="nil"/>
              <w:right w:val="nil"/>
            </w:tcBorders>
            <w:vAlign w:val="bottom"/>
          </w:tcPr>
          <w:p w14:paraId="648E5850" w14:textId="5DE78DDD" w:rsidR="008838E3" w:rsidRPr="00765A1F" w:rsidRDefault="000B450B" w:rsidP="00F812B7">
            <w:pPr>
              <w:ind w:right="95"/>
              <w:jc w:val="right"/>
              <w:rPr>
                <w:b/>
                <w:bCs/>
                <w:sz w:val="22"/>
                <w:szCs w:val="22"/>
              </w:rPr>
            </w:pPr>
            <w:r>
              <w:rPr>
                <w:b/>
                <w:bCs/>
                <w:sz w:val="22"/>
                <w:szCs w:val="22"/>
              </w:rPr>
              <w:t>31 December</w:t>
            </w:r>
            <w:r w:rsidR="008838E3">
              <w:rPr>
                <w:b/>
                <w:bCs/>
                <w:sz w:val="22"/>
                <w:szCs w:val="22"/>
              </w:rPr>
              <w:t xml:space="preserve"> 2019</w:t>
            </w:r>
          </w:p>
        </w:tc>
      </w:tr>
      <w:tr w:rsidR="00F812B7" w:rsidRPr="00765A1F" w14:paraId="5145DC11"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4515084E" w14:textId="77777777" w:rsidR="00F812B7" w:rsidRPr="00765A1F" w:rsidRDefault="00F812B7" w:rsidP="00F812B7">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52EC75B2" w14:textId="77777777" w:rsidR="00F812B7" w:rsidRPr="00765A1F" w:rsidRDefault="00F812B7" w:rsidP="00F812B7">
            <w:pPr>
              <w:ind w:right="90"/>
              <w:jc w:val="right"/>
              <w:rPr>
                <w:rFonts w:eastAsia="Arial Unicode MS"/>
                <w:b/>
                <w:bCs/>
                <w:sz w:val="22"/>
                <w:szCs w:val="22"/>
              </w:rPr>
            </w:pPr>
            <w:r w:rsidRPr="00765A1F">
              <w:rPr>
                <w:b/>
                <w:bCs/>
                <w:sz w:val="22"/>
                <w:szCs w:val="22"/>
              </w:rPr>
              <w:t>£</w:t>
            </w:r>
          </w:p>
        </w:tc>
        <w:tc>
          <w:tcPr>
            <w:tcW w:w="1698" w:type="dxa"/>
            <w:tcBorders>
              <w:top w:val="nil"/>
              <w:left w:val="nil"/>
              <w:bottom w:val="nil"/>
              <w:right w:val="nil"/>
            </w:tcBorders>
            <w:vAlign w:val="bottom"/>
          </w:tcPr>
          <w:p w14:paraId="546C13F1" w14:textId="77777777" w:rsidR="00F812B7" w:rsidRPr="00765A1F" w:rsidRDefault="00F812B7" w:rsidP="00F812B7">
            <w:pPr>
              <w:ind w:right="95"/>
              <w:jc w:val="right"/>
              <w:rPr>
                <w:rFonts w:eastAsia="Arial Unicode MS"/>
                <w:b/>
                <w:bCs/>
                <w:sz w:val="22"/>
                <w:szCs w:val="22"/>
              </w:rPr>
            </w:pPr>
            <w:r w:rsidRPr="00765A1F">
              <w:rPr>
                <w:b/>
                <w:bCs/>
                <w:sz w:val="22"/>
                <w:szCs w:val="22"/>
              </w:rPr>
              <w:t>£</w:t>
            </w:r>
          </w:p>
        </w:tc>
      </w:tr>
      <w:tr w:rsidR="00C52721" w:rsidRPr="00765A1F" w14:paraId="27DF138A" w14:textId="77777777" w:rsidTr="00652CBB">
        <w:trPr>
          <w:trHeight w:val="346"/>
        </w:trPr>
        <w:tc>
          <w:tcPr>
            <w:tcW w:w="6536" w:type="dxa"/>
            <w:tcBorders>
              <w:top w:val="nil"/>
              <w:left w:val="nil"/>
              <w:bottom w:val="nil"/>
              <w:right w:val="nil"/>
            </w:tcBorders>
            <w:noWrap/>
            <w:tcMar>
              <w:top w:w="15" w:type="dxa"/>
              <w:left w:w="15" w:type="dxa"/>
              <w:bottom w:w="0" w:type="dxa"/>
              <w:right w:w="15" w:type="dxa"/>
            </w:tcMar>
            <w:vAlign w:val="bottom"/>
          </w:tcPr>
          <w:p w14:paraId="00185803" w14:textId="4F9F1AC6" w:rsidR="00C52721" w:rsidRPr="00765A1F" w:rsidRDefault="00C52721" w:rsidP="00C52721">
            <w:pPr>
              <w:rPr>
                <w:rFonts w:eastAsia="Arial Unicode MS"/>
                <w:sz w:val="22"/>
                <w:szCs w:val="22"/>
              </w:rPr>
            </w:pPr>
            <w:r w:rsidRPr="00765A1F">
              <w:rPr>
                <w:sz w:val="22"/>
                <w:szCs w:val="22"/>
              </w:rPr>
              <w:t>Loss on ordinary activities before tax</w:t>
            </w:r>
          </w:p>
        </w:tc>
        <w:tc>
          <w:tcPr>
            <w:tcW w:w="1704" w:type="dxa"/>
            <w:tcBorders>
              <w:top w:val="nil"/>
              <w:left w:val="nil"/>
              <w:bottom w:val="double" w:sz="6" w:space="0" w:color="auto"/>
              <w:right w:val="nil"/>
            </w:tcBorders>
            <w:noWrap/>
            <w:tcMar>
              <w:top w:w="15" w:type="dxa"/>
              <w:left w:w="15" w:type="dxa"/>
              <w:bottom w:w="0" w:type="dxa"/>
              <w:right w:w="15" w:type="dxa"/>
            </w:tcMar>
            <w:vAlign w:val="bottom"/>
          </w:tcPr>
          <w:p w14:paraId="40F52AC7" w14:textId="7ED476F0" w:rsidR="00C52721" w:rsidRPr="00DD7324" w:rsidRDefault="006406CF" w:rsidP="00294E59">
            <w:pPr>
              <w:ind w:right="90"/>
              <w:jc w:val="right"/>
              <w:rPr>
                <w:rFonts w:eastAsia="Arial Unicode MS"/>
                <w:sz w:val="22"/>
                <w:szCs w:val="22"/>
              </w:rPr>
            </w:pPr>
            <w:r w:rsidRPr="00DD7324">
              <w:rPr>
                <w:rFonts w:eastAsia="Arial Unicode MS"/>
                <w:sz w:val="22"/>
                <w:szCs w:val="22"/>
              </w:rPr>
              <w:t>(</w:t>
            </w:r>
            <w:r w:rsidR="007E411E">
              <w:rPr>
                <w:rFonts w:eastAsia="Arial Unicode MS"/>
                <w:sz w:val="22"/>
                <w:szCs w:val="22"/>
              </w:rPr>
              <w:t>810,133</w:t>
            </w:r>
            <w:r w:rsidR="00A92C6A" w:rsidRPr="00DD7324">
              <w:rPr>
                <w:rFonts w:eastAsia="Arial Unicode MS"/>
                <w:sz w:val="22"/>
                <w:szCs w:val="22"/>
              </w:rPr>
              <w:t>)</w:t>
            </w:r>
          </w:p>
        </w:tc>
        <w:tc>
          <w:tcPr>
            <w:tcW w:w="1698" w:type="dxa"/>
            <w:tcBorders>
              <w:top w:val="nil"/>
              <w:left w:val="nil"/>
              <w:bottom w:val="double" w:sz="6" w:space="0" w:color="auto"/>
              <w:right w:val="nil"/>
            </w:tcBorders>
            <w:vAlign w:val="bottom"/>
          </w:tcPr>
          <w:p w14:paraId="1876FD46" w14:textId="47F07525" w:rsidR="00C52721" w:rsidRPr="00765A1F" w:rsidRDefault="00C52721" w:rsidP="00C52721">
            <w:pPr>
              <w:ind w:right="95"/>
              <w:jc w:val="right"/>
              <w:rPr>
                <w:rFonts w:eastAsia="Arial Unicode MS"/>
                <w:sz w:val="22"/>
                <w:szCs w:val="22"/>
              </w:rPr>
            </w:pPr>
            <w:r w:rsidRPr="00765A1F">
              <w:rPr>
                <w:rFonts w:eastAsia="Arial Unicode MS"/>
                <w:sz w:val="22"/>
                <w:szCs w:val="22"/>
              </w:rPr>
              <w:t>(</w:t>
            </w:r>
            <w:r w:rsidR="000B450B">
              <w:rPr>
                <w:rFonts w:eastAsia="Arial Unicode MS"/>
                <w:sz w:val="22"/>
                <w:szCs w:val="22"/>
              </w:rPr>
              <w:t>584,855</w:t>
            </w:r>
            <w:r w:rsidRPr="00765A1F">
              <w:rPr>
                <w:rFonts w:eastAsia="Arial Unicode MS"/>
                <w:sz w:val="22"/>
                <w:szCs w:val="22"/>
              </w:rPr>
              <w:t>)</w:t>
            </w:r>
          </w:p>
        </w:tc>
      </w:tr>
      <w:tr w:rsidR="00C52721" w:rsidRPr="00765A1F" w14:paraId="2E7D4ABE" w14:textId="77777777" w:rsidTr="00652CBB">
        <w:trPr>
          <w:trHeight w:val="346"/>
        </w:trPr>
        <w:tc>
          <w:tcPr>
            <w:tcW w:w="6536" w:type="dxa"/>
            <w:tcBorders>
              <w:top w:val="nil"/>
              <w:left w:val="nil"/>
              <w:bottom w:val="nil"/>
              <w:right w:val="nil"/>
            </w:tcBorders>
            <w:noWrap/>
            <w:tcMar>
              <w:top w:w="15" w:type="dxa"/>
              <w:left w:w="15" w:type="dxa"/>
              <w:bottom w:w="0" w:type="dxa"/>
              <w:right w:w="15" w:type="dxa"/>
            </w:tcMar>
            <w:vAlign w:val="bottom"/>
          </w:tcPr>
          <w:p w14:paraId="33FD55F2" w14:textId="77777777" w:rsidR="00C52721" w:rsidRPr="00765A1F" w:rsidRDefault="00C52721" w:rsidP="00C52721">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18D70354" w14:textId="77777777" w:rsidR="00C52721" w:rsidRPr="00DD7324" w:rsidRDefault="00C52721" w:rsidP="00C52721">
            <w:pPr>
              <w:ind w:right="90"/>
              <w:jc w:val="right"/>
              <w:rPr>
                <w:rFonts w:eastAsia="Arial Unicode MS"/>
                <w:b/>
                <w:bCs/>
                <w:sz w:val="22"/>
                <w:szCs w:val="22"/>
              </w:rPr>
            </w:pPr>
          </w:p>
        </w:tc>
        <w:tc>
          <w:tcPr>
            <w:tcW w:w="1698" w:type="dxa"/>
            <w:tcBorders>
              <w:top w:val="nil"/>
              <w:left w:val="nil"/>
              <w:bottom w:val="nil"/>
              <w:right w:val="nil"/>
            </w:tcBorders>
            <w:vAlign w:val="bottom"/>
          </w:tcPr>
          <w:p w14:paraId="0BA75BE6" w14:textId="77777777" w:rsidR="00C52721" w:rsidRPr="00765A1F" w:rsidRDefault="00C52721" w:rsidP="00C52721">
            <w:pPr>
              <w:ind w:right="95"/>
              <w:jc w:val="right"/>
              <w:rPr>
                <w:rFonts w:eastAsia="Arial Unicode MS"/>
                <w:b/>
                <w:bCs/>
                <w:sz w:val="22"/>
                <w:szCs w:val="22"/>
              </w:rPr>
            </w:pPr>
          </w:p>
        </w:tc>
      </w:tr>
      <w:tr w:rsidR="00C52721" w:rsidRPr="00765A1F" w14:paraId="42058284"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17A919BE" w14:textId="6D9C689E" w:rsidR="00C52721" w:rsidRPr="00765A1F" w:rsidRDefault="00C52721" w:rsidP="00C52721">
            <w:pPr>
              <w:rPr>
                <w:rFonts w:eastAsia="Arial Unicode MS"/>
                <w:sz w:val="22"/>
                <w:szCs w:val="22"/>
              </w:rPr>
            </w:pPr>
            <w:r w:rsidRPr="00765A1F">
              <w:rPr>
                <w:sz w:val="22"/>
                <w:szCs w:val="22"/>
              </w:rPr>
              <w:t>Loss multiplied by standard rate of tax</w:t>
            </w:r>
          </w:p>
        </w:tc>
        <w:tc>
          <w:tcPr>
            <w:tcW w:w="1704" w:type="dxa"/>
            <w:tcBorders>
              <w:top w:val="nil"/>
              <w:left w:val="nil"/>
              <w:bottom w:val="nil"/>
              <w:right w:val="nil"/>
            </w:tcBorders>
            <w:noWrap/>
            <w:tcMar>
              <w:top w:w="15" w:type="dxa"/>
              <w:left w:w="15" w:type="dxa"/>
              <w:bottom w:w="0" w:type="dxa"/>
              <w:right w:w="15" w:type="dxa"/>
            </w:tcMar>
            <w:vAlign w:val="bottom"/>
          </w:tcPr>
          <w:p w14:paraId="4D4D42C6" w14:textId="37E3CECC" w:rsidR="00C52721" w:rsidRPr="00DD7324" w:rsidRDefault="00A92C6A" w:rsidP="00294E59">
            <w:pPr>
              <w:ind w:right="90"/>
              <w:jc w:val="right"/>
              <w:rPr>
                <w:rFonts w:eastAsia="Arial Unicode MS"/>
                <w:sz w:val="22"/>
                <w:szCs w:val="22"/>
              </w:rPr>
            </w:pPr>
            <w:r w:rsidRPr="00DD7324">
              <w:rPr>
                <w:rFonts w:eastAsia="Arial Unicode MS"/>
                <w:sz w:val="22"/>
                <w:szCs w:val="22"/>
              </w:rPr>
              <w:t>(</w:t>
            </w:r>
            <w:r w:rsidR="007E411E">
              <w:rPr>
                <w:rFonts w:eastAsia="Arial Unicode MS"/>
                <w:sz w:val="22"/>
                <w:szCs w:val="22"/>
              </w:rPr>
              <w:t>153,925</w:t>
            </w:r>
            <w:r w:rsidRPr="00DD7324">
              <w:rPr>
                <w:rFonts w:eastAsia="Arial Unicode MS"/>
                <w:sz w:val="22"/>
                <w:szCs w:val="22"/>
              </w:rPr>
              <w:t>)</w:t>
            </w:r>
          </w:p>
        </w:tc>
        <w:tc>
          <w:tcPr>
            <w:tcW w:w="1698" w:type="dxa"/>
            <w:tcBorders>
              <w:top w:val="nil"/>
              <w:left w:val="nil"/>
              <w:bottom w:val="nil"/>
              <w:right w:val="nil"/>
            </w:tcBorders>
            <w:vAlign w:val="bottom"/>
          </w:tcPr>
          <w:p w14:paraId="28077AFA" w14:textId="6FC83372" w:rsidR="00C52721" w:rsidRPr="00765A1F" w:rsidRDefault="00C52721" w:rsidP="00C52721">
            <w:pPr>
              <w:ind w:right="95"/>
              <w:jc w:val="right"/>
              <w:rPr>
                <w:rFonts w:eastAsia="Arial Unicode MS"/>
                <w:sz w:val="22"/>
                <w:szCs w:val="22"/>
              </w:rPr>
            </w:pPr>
            <w:r w:rsidRPr="00765A1F">
              <w:rPr>
                <w:rFonts w:eastAsia="Arial Unicode MS"/>
                <w:sz w:val="22"/>
                <w:szCs w:val="22"/>
              </w:rPr>
              <w:t>(</w:t>
            </w:r>
            <w:r w:rsidR="000B450B">
              <w:rPr>
                <w:rFonts w:eastAsia="Arial Unicode MS"/>
                <w:sz w:val="22"/>
                <w:szCs w:val="22"/>
              </w:rPr>
              <w:t>111,122</w:t>
            </w:r>
            <w:r w:rsidRPr="00765A1F">
              <w:rPr>
                <w:rFonts w:eastAsia="Arial Unicode MS"/>
                <w:sz w:val="22"/>
                <w:szCs w:val="22"/>
              </w:rPr>
              <w:t>)</w:t>
            </w:r>
          </w:p>
        </w:tc>
      </w:tr>
      <w:tr w:rsidR="00C52721" w:rsidRPr="00765A1F" w14:paraId="3177305F"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686CD68C" w14:textId="77777777" w:rsidR="00C52721" w:rsidRPr="00765A1F" w:rsidRDefault="00C52721" w:rsidP="00C52721">
            <w:pPr>
              <w:rPr>
                <w:rFonts w:eastAsia="Arial Unicode MS"/>
                <w:sz w:val="22"/>
                <w:szCs w:val="22"/>
              </w:rPr>
            </w:pPr>
            <w:r w:rsidRPr="00765A1F">
              <w:rPr>
                <w:sz w:val="22"/>
                <w:szCs w:val="22"/>
              </w:rPr>
              <w:t>Effects of:</w:t>
            </w:r>
          </w:p>
        </w:tc>
        <w:tc>
          <w:tcPr>
            <w:tcW w:w="1704" w:type="dxa"/>
            <w:tcBorders>
              <w:top w:val="nil"/>
              <w:left w:val="nil"/>
              <w:bottom w:val="nil"/>
              <w:right w:val="nil"/>
            </w:tcBorders>
            <w:noWrap/>
            <w:tcMar>
              <w:top w:w="15" w:type="dxa"/>
              <w:left w:w="15" w:type="dxa"/>
              <w:bottom w:w="0" w:type="dxa"/>
              <w:right w:w="15" w:type="dxa"/>
            </w:tcMar>
            <w:vAlign w:val="bottom"/>
          </w:tcPr>
          <w:p w14:paraId="326F9579" w14:textId="77777777" w:rsidR="00C52721" w:rsidRPr="00DD7324" w:rsidRDefault="00C52721" w:rsidP="00C52721">
            <w:pPr>
              <w:ind w:right="90"/>
              <w:jc w:val="right"/>
              <w:rPr>
                <w:rFonts w:eastAsia="Arial Unicode MS"/>
                <w:b/>
                <w:bCs/>
                <w:sz w:val="22"/>
                <w:szCs w:val="22"/>
              </w:rPr>
            </w:pPr>
          </w:p>
        </w:tc>
        <w:tc>
          <w:tcPr>
            <w:tcW w:w="1698" w:type="dxa"/>
            <w:tcBorders>
              <w:top w:val="nil"/>
              <w:left w:val="nil"/>
              <w:bottom w:val="nil"/>
              <w:right w:val="nil"/>
            </w:tcBorders>
            <w:vAlign w:val="bottom"/>
          </w:tcPr>
          <w:p w14:paraId="7DC609E9" w14:textId="77777777" w:rsidR="00C52721" w:rsidRPr="00765A1F" w:rsidRDefault="00C52721" w:rsidP="00C52721">
            <w:pPr>
              <w:ind w:right="95"/>
              <w:jc w:val="right"/>
              <w:rPr>
                <w:rFonts w:eastAsia="Arial Unicode MS"/>
                <w:b/>
                <w:bCs/>
                <w:sz w:val="22"/>
                <w:szCs w:val="22"/>
              </w:rPr>
            </w:pPr>
          </w:p>
        </w:tc>
      </w:tr>
      <w:tr w:rsidR="006F5DF1" w:rsidRPr="00765A1F" w14:paraId="6BA6F075"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72250DA9" w14:textId="104740DF" w:rsidR="006F5DF1" w:rsidRPr="00765A1F" w:rsidRDefault="006F5DF1" w:rsidP="00C52721">
            <w:pPr>
              <w:rPr>
                <w:sz w:val="22"/>
                <w:szCs w:val="22"/>
              </w:rPr>
            </w:pPr>
            <w:r>
              <w:rPr>
                <w:sz w:val="22"/>
                <w:szCs w:val="22"/>
              </w:rPr>
              <w:t>Expenses not deductible for tax</w:t>
            </w:r>
          </w:p>
        </w:tc>
        <w:tc>
          <w:tcPr>
            <w:tcW w:w="1704" w:type="dxa"/>
            <w:tcBorders>
              <w:top w:val="nil"/>
              <w:left w:val="nil"/>
              <w:bottom w:val="nil"/>
              <w:right w:val="nil"/>
            </w:tcBorders>
            <w:noWrap/>
            <w:tcMar>
              <w:top w:w="15" w:type="dxa"/>
              <w:left w:w="15" w:type="dxa"/>
              <w:bottom w:w="0" w:type="dxa"/>
              <w:right w:w="15" w:type="dxa"/>
            </w:tcMar>
            <w:vAlign w:val="bottom"/>
          </w:tcPr>
          <w:p w14:paraId="128A11C5" w14:textId="08D88953" w:rsidR="006F5DF1" w:rsidRPr="006F5DF1" w:rsidRDefault="000B450B" w:rsidP="00C52721">
            <w:pPr>
              <w:ind w:right="90"/>
              <w:jc w:val="right"/>
              <w:rPr>
                <w:rFonts w:eastAsia="Arial Unicode MS"/>
                <w:sz w:val="22"/>
                <w:szCs w:val="22"/>
              </w:rPr>
            </w:pPr>
            <w:r>
              <w:rPr>
                <w:rFonts w:eastAsia="Arial Unicode MS"/>
                <w:sz w:val="22"/>
                <w:szCs w:val="22"/>
              </w:rPr>
              <w:t>42,696</w:t>
            </w:r>
          </w:p>
        </w:tc>
        <w:tc>
          <w:tcPr>
            <w:tcW w:w="1698" w:type="dxa"/>
            <w:tcBorders>
              <w:top w:val="nil"/>
              <w:left w:val="nil"/>
              <w:bottom w:val="nil"/>
              <w:right w:val="nil"/>
            </w:tcBorders>
            <w:vAlign w:val="bottom"/>
          </w:tcPr>
          <w:p w14:paraId="55D87254" w14:textId="72CE4F61" w:rsidR="006F5DF1" w:rsidRPr="006F5DF1" w:rsidRDefault="000B450B" w:rsidP="00C52721">
            <w:pPr>
              <w:ind w:right="95"/>
              <w:jc w:val="right"/>
              <w:rPr>
                <w:rFonts w:eastAsia="Arial Unicode MS"/>
                <w:sz w:val="22"/>
                <w:szCs w:val="22"/>
              </w:rPr>
            </w:pPr>
            <w:r>
              <w:rPr>
                <w:rFonts w:eastAsia="Arial Unicode MS"/>
                <w:sz w:val="22"/>
                <w:szCs w:val="22"/>
              </w:rPr>
              <w:t>42,854</w:t>
            </w:r>
          </w:p>
        </w:tc>
      </w:tr>
      <w:tr w:rsidR="00C52721" w:rsidRPr="00765A1F" w14:paraId="6B8131D8" w14:textId="77777777" w:rsidTr="00652CBB">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448788C0" w14:textId="77777777" w:rsidR="00C52721" w:rsidRPr="00765A1F" w:rsidRDefault="00C52721" w:rsidP="00C52721">
            <w:pPr>
              <w:rPr>
                <w:rFonts w:eastAsia="Arial Unicode MS"/>
                <w:sz w:val="22"/>
                <w:szCs w:val="22"/>
              </w:rPr>
            </w:pPr>
            <w:r w:rsidRPr="00765A1F">
              <w:rPr>
                <w:sz w:val="22"/>
                <w:szCs w:val="22"/>
              </w:rPr>
              <w:t>Losses carried forward not recognised as deferred tax assets</w:t>
            </w:r>
          </w:p>
        </w:tc>
        <w:tc>
          <w:tcPr>
            <w:tcW w:w="1704" w:type="dxa"/>
            <w:tcBorders>
              <w:top w:val="nil"/>
              <w:left w:val="nil"/>
              <w:bottom w:val="nil"/>
              <w:right w:val="nil"/>
            </w:tcBorders>
            <w:noWrap/>
            <w:tcMar>
              <w:top w:w="15" w:type="dxa"/>
              <w:left w:w="15" w:type="dxa"/>
              <w:bottom w:w="0" w:type="dxa"/>
              <w:right w:w="15" w:type="dxa"/>
            </w:tcMar>
            <w:vAlign w:val="bottom"/>
          </w:tcPr>
          <w:p w14:paraId="1E95F83B" w14:textId="39813A75" w:rsidR="00C52721" w:rsidRPr="00DD7324" w:rsidRDefault="007E411E" w:rsidP="00294E59">
            <w:pPr>
              <w:ind w:right="90"/>
              <w:jc w:val="right"/>
              <w:rPr>
                <w:rFonts w:eastAsia="Arial Unicode MS"/>
                <w:sz w:val="22"/>
                <w:szCs w:val="22"/>
              </w:rPr>
            </w:pPr>
            <w:r>
              <w:rPr>
                <w:rFonts w:eastAsia="Arial Unicode MS"/>
                <w:sz w:val="22"/>
                <w:szCs w:val="22"/>
              </w:rPr>
              <w:t>111,229</w:t>
            </w:r>
          </w:p>
        </w:tc>
        <w:tc>
          <w:tcPr>
            <w:tcW w:w="1698" w:type="dxa"/>
            <w:tcBorders>
              <w:top w:val="nil"/>
              <w:left w:val="nil"/>
              <w:bottom w:val="nil"/>
              <w:right w:val="nil"/>
            </w:tcBorders>
            <w:vAlign w:val="bottom"/>
          </w:tcPr>
          <w:p w14:paraId="7A60B809" w14:textId="5BFC22C2" w:rsidR="00C52721" w:rsidRPr="00765A1F" w:rsidRDefault="000B450B" w:rsidP="00C52721">
            <w:pPr>
              <w:ind w:right="95"/>
              <w:jc w:val="right"/>
              <w:rPr>
                <w:rFonts w:eastAsia="Arial Unicode MS"/>
                <w:sz w:val="22"/>
                <w:szCs w:val="22"/>
              </w:rPr>
            </w:pPr>
            <w:r>
              <w:rPr>
                <w:rFonts w:eastAsia="Arial Unicode MS"/>
                <w:sz w:val="22"/>
                <w:szCs w:val="22"/>
              </w:rPr>
              <w:t>68,268</w:t>
            </w:r>
          </w:p>
        </w:tc>
      </w:tr>
      <w:tr w:rsidR="00C52721" w:rsidRPr="00F812B7" w14:paraId="32C00038" w14:textId="77777777" w:rsidTr="00652CBB">
        <w:trPr>
          <w:trHeight w:val="346"/>
        </w:trPr>
        <w:tc>
          <w:tcPr>
            <w:tcW w:w="6536" w:type="dxa"/>
            <w:tcBorders>
              <w:top w:val="nil"/>
              <w:left w:val="nil"/>
              <w:bottom w:val="nil"/>
              <w:right w:val="nil"/>
            </w:tcBorders>
            <w:noWrap/>
            <w:tcMar>
              <w:top w:w="15" w:type="dxa"/>
              <w:left w:w="15" w:type="dxa"/>
              <w:bottom w:w="0" w:type="dxa"/>
              <w:right w:w="15" w:type="dxa"/>
            </w:tcMar>
            <w:vAlign w:val="bottom"/>
          </w:tcPr>
          <w:p w14:paraId="56621FFB" w14:textId="77777777" w:rsidR="00C52721" w:rsidRPr="00765A1F" w:rsidRDefault="00C52721" w:rsidP="00C52721">
            <w:pPr>
              <w:rPr>
                <w:rFonts w:eastAsia="Arial Unicode MS"/>
                <w:sz w:val="22"/>
                <w:szCs w:val="22"/>
              </w:rPr>
            </w:pPr>
          </w:p>
        </w:tc>
        <w:tc>
          <w:tcPr>
            <w:tcW w:w="1704"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0D71CB69" w14:textId="77777777" w:rsidR="00C52721" w:rsidRPr="00765A1F" w:rsidRDefault="00C52721" w:rsidP="00C52721">
            <w:pPr>
              <w:ind w:right="90"/>
              <w:jc w:val="right"/>
              <w:rPr>
                <w:rFonts w:eastAsia="Arial Unicode MS"/>
                <w:sz w:val="22"/>
                <w:szCs w:val="22"/>
              </w:rPr>
            </w:pPr>
            <w:r w:rsidRPr="00765A1F">
              <w:rPr>
                <w:rFonts w:eastAsia="Arial Unicode MS"/>
                <w:sz w:val="22"/>
                <w:szCs w:val="22"/>
              </w:rPr>
              <w:t>-</w:t>
            </w:r>
          </w:p>
        </w:tc>
        <w:tc>
          <w:tcPr>
            <w:tcW w:w="1698" w:type="dxa"/>
            <w:tcBorders>
              <w:top w:val="single" w:sz="4" w:space="0" w:color="auto"/>
              <w:left w:val="nil"/>
              <w:bottom w:val="double" w:sz="6" w:space="0" w:color="auto"/>
              <w:right w:val="nil"/>
            </w:tcBorders>
            <w:vAlign w:val="bottom"/>
          </w:tcPr>
          <w:p w14:paraId="61952BD9" w14:textId="32A96AAE" w:rsidR="00C52721" w:rsidRPr="00F812B7" w:rsidRDefault="00C52721" w:rsidP="00C52721">
            <w:pPr>
              <w:ind w:right="95"/>
              <w:jc w:val="right"/>
              <w:rPr>
                <w:rFonts w:eastAsia="Arial Unicode MS"/>
                <w:sz w:val="22"/>
                <w:szCs w:val="22"/>
              </w:rPr>
            </w:pPr>
            <w:r w:rsidRPr="00765A1F">
              <w:rPr>
                <w:rFonts w:eastAsia="Arial Unicode MS"/>
                <w:sz w:val="22"/>
                <w:szCs w:val="22"/>
              </w:rPr>
              <w:t>-</w:t>
            </w:r>
          </w:p>
        </w:tc>
      </w:tr>
    </w:tbl>
    <w:p w14:paraId="0AD53CC3" w14:textId="2614507F" w:rsidR="007623F0" w:rsidRDefault="007623F0">
      <w:pPr>
        <w:jc w:val="both"/>
        <w:rPr>
          <w:sz w:val="22"/>
          <w:szCs w:val="22"/>
        </w:rPr>
      </w:pPr>
    </w:p>
    <w:p w14:paraId="5D842EEF" w14:textId="0A65AE97" w:rsidR="00916E27" w:rsidRDefault="00916E27">
      <w:pPr>
        <w:jc w:val="both"/>
        <w:rPr>
          <w:sz w:val="22"/>
          <w:szCs w:val="22"/>
        </w:rPr>
      </w:pPr>
      <w:r>
        <w:rPr>
          <w:sz w:val="22"/>
          <w:szCs w:val="22"/>
        </w:rPr>
        <w:t xml:space="preserve">No deferred tax asset has been recognised because there is insufficient evidence of the timing of suitable future profits against which they can be recovered. </w:t>
      </w:r>
    </w:p>
    <w:tbl>
      <w:tblPr>
        <w:tblW w:w="9938" w:type="dxa"/>
        <w:tblCellMar>
          <w:left w:w="0" w:type="dxa"/>
          <w:right w:w="0" w:type="dxa"/>
        </w:tblCellMar>
        <w:tblLook w:val="0000" w:firstRow="0" w:lastRow="0" w:firstColumn="0" w:lastColumn="0" w:noHBand="0" w:noVBand="0"/>
      </w:tblPr>
      <w:tblGrid>
        <w:gridCol w:w="6536"/>
        <w:gridCol w:w="1704"/>
        <w:gridCol w:w="1698"/>
      </w:tblGrid>
      <w:tr w:rsidR="00916E27" w:rsidRPr="00765A1F" w14:paraId="2ED83EAE" w14:textId="77777777" w:rsidTr="00BB0A40">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284C860B" w14:textId="77777777" w:rsidR="00916E27" w:rsidRPr="00765A1F" w:rsidRDefault="00916E27" w:rsidP="00BB0A40">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1ABF11E4" w14:textId="77777777" w:rsidR="00916E27" w:rsidRPr="00765A1F" w:rsidRDefault="00916E27" w:rsidP="00BB0A40">
            <w:pPr>
              <w:ind w:right="90"/>
              <w:jc w:val="right"/>
              <w:rPr>
                <w:rFonts w:eastAsia="Arial Unicode MS"/>
                <w:b/>
                <w:bCs/>
                <w:sz w:val="22"/>
                <w:szCs w:val="22"/>
              </w:rPr>
            </w:pPr>
            <w:r>
              <w:rPr>
                <w:b/>
                <w:bCs/>
                <w:sz w:val="22"/>
                <w:szCs w:val="22"/>
              </w:rPr>
              <w:t>Year to</w:t>
            </w:r>
          </w:p>
        </w:tc>
        <w:tc>
          <w:tcPr>
            <w:tcW w:w="1698" w:type="dxa"/>
            <w:tcBorders>
              <w:top w:val="nil"/>
              <w:left w:val="nil"/>
              <w:bottom w:val="nil"/>
              <w:right w:val="nil"/>
            </w:tcBorders>
            <w:vAlign w:val="bottom"/>
          </w:tcPr>
          <w:p w14:paraId="2F1E0CA7" w14:textId="77777777" w:rsidR="00916E27" w:rsidRPr="00765A1F" w:rsidRDefault="00916E27" w:rsidP="00BB0A40">
            <w:pPr>
              <w:ind w:right="95"/>
              <w:jc w:val="right"/>
              <w:rPr>
                <w:rFonts w:eastAsia="Arial Unicode MS"/>
                <w:b/>
                <w:bCs/>
                <w:sz w:val="22"/>
                <w:szCs w:val="22"/>
              </w:rPr>
            </w:pPr>
            <w:r>
              <w:rPr>
                <w:b/>
                <w:bCs/>
                <w:sz w:val="22"/>
                <w:szCs w:val="22"/>
              </w:rPr>
              <w:t>10-Month Period to</w:t>
            </w:r>
          </w:p>
        </w:tc>
      </w:tr>
      <w:tr w:rsidR="00916E27" w:rsidRPr="00765A1F" w14:paraId="20AE689C" w14:textId="77777777" w:rsidTr="00BB0A40">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38E97526" w14:textId="77777777" w:rsidR="00916E27" w:rsidRPr="00765A1F" w:rsidRDefault="00916E27" w:rsidP="00BB0A40">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6F4007C5" w14:textId="77777777" w:rsidR="00916E27" w:rsidRPr="00765A1F" w:rsidRDefault="00916E27" w:rsidP="00BB0A40">
            <w:pPr>
              <w:ind w:right="90"/>
              <w:jc w:val="right"/>
              <w:rPr>
                <w:b/>
                <w:bCs/>
                <w:sz w:val="22"/>
                <w:szCs w:val="22"/>
              </w:rPr>
            </w:pPr>
            <w:r>
              <w:rPr>
                <w:b/>
                <w:bCs/>
                <w:sz w:val="22"/>
                <w:szCs w:val="22"/>
              </w:rPr>
              <w:t>31 December 2020</w:t>
            </w:r>
          </w:p>
        </w:tc>
        <w:tc>
          <w:tcPr>
            <w:tcW w:w="1698" w:type="dxa"/>
            <w:tcBorders>
              <w:top w:val="nil"/>
              <w:left w:val="nil"/>
              <w:bottom w:val="nil"/>
              <w:right w:val="nil"/>
            </w:tcBorders>
            <w:vAlign w:val="bottom"/>
          </w:tcPr>
          <w:p w14:paraId="06771006" w14:textId="77777777" w:rsidR="00916E27" w:rsidRPr="00765A1F" w:rsidRDefault="00916E27" w:rsidP="00BB0A40">
            <w:pPr>
              <w:ind w:right="95"/>
              <w:jc w:val="right"/>
              <w:rPr>
                <w:b/>
                <w:bCs/>
                <w:sz w:val="22"/>
                <w:szCs w:val="22"/>
              </w:rPr>
            </w:pPr>
            <w:r>
              <w:rPr>
                <w:b/>
                <w:bCs/>
                <w:sz w:val="22"/>
                <w:szCs w:val="22"/>
              </w:rPr>
              <w:t>31 December 2019</w:t>
            </w:r>
          </w:p>
        </w:tc>
      </w:tr>
      <w:tr w:rsidR="00916E27" w:rsidRPr="00765A1F" w14:paraId="676F61B0" w14:textId="77777777" w:rsidTr="00BB0A40">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5DEFE583" w14:textId="77777777" w:rsidR="00916E27" w:rsidRPr="00765A1F" w:rsidRDefault="00916E27" w:rsidP="00BB0A40">
            <w:pPr>
              <w:rPr>
                <w:rFonts w:eastAsia="Arial Unicode MS"/>
                <w:sz w:val="22"/>
                <w:szCs w:val="22"/>
              </w:rPr>
            </w:pPr>
          </w:p>
        </w:tc>
        <w:tc>
          <w:tcPr>
            <w:tcW w:w="1704" w:type="dxa"/>
            <w:tcBorders>
              <w:top w:val="nil"/>
              <w:left w:val="nil"/>
              <w:bottom w:val="nil"/>
              <w:right w:val="nil"/>
            </w:tcBorders>
            <w:noWrap/>
            <w:tcMar>
              <w:top w:w="15" w:type="dxa"/>
              <w:left w:w="15" w:type="dxa"/>
              <w:bottom w:w="0" w:type="dxa"/>
              <w:right w:w="15" w:type="dxa"/>
            </w:tcMar>
            <w:vAlign w:val="bottom"/>
          </w:tcPr>
          <w:p w14:paraId="5744BF4F" w14:textId="77777777" w:rsidR="00916E27" w:rsidRPr="00765A1F" w:rsidRDefault="00916E27" w:rsidP="00BB0A40">
            <w:pPr>
              <w:ind w:right="90"/>
              <w:jc w:val="right"/>
              <w:rPr>
                <w:rFonts w:eastAsia="Arial Unicode MS"/>
                <w:b/>
                <w:bCs/>
                <w:sz w:val="22"/>
                <w:szCs w:val="22"/>
              </w:rPr>
            </w:pPr>
            <w:r w:rsidRPr="00765A1F">
              <w:rPr>
                <w:b/>
                <w:bCs/>
                <w:sz w:val="22"/>
                <w:szCs w:val="22"/>
              </w:rPr>
              <w:t>£</w:t>
            </w:r>
          </w:p>
        </w:tc>
        <w:tc>
          <w:tcPr>
            <w:tcW w:w="1698" w:type="dxa"/>
            <w:tcBorders>
              <w:top w:val="nil"/>
              <w:left w:val="nil"/>
              <w:bottom w:val="nil"/>
              <w:right w:val="nil"/>
            </w:tcBorders>
            <w:vAlign w:val="bottom"/>
          </w:tcPr>
          <w:p w14:paraId="036C290C" w14:textId="77777777" w:rsidR="00916E27" w:rsidRPr="00765A1F" w:rsidRDefault="00916E27" w:rsidP="00BB0A40">
            <w:pPr>
              <w:ind w:right="95"/>
              <w:jc w:val="right"/>
              <w:rPr>
                <w:rFonts w:eastAsia="Arial Unicode MS"/>
                <w:b/>
                <w:bCs/>
                <w:sz w:val="22"/>
                <w:szCs w:val="22"/>
              </w:rPr>
            </w:pPr>
            <w:r w:rsidRPr="00765A1F">
              <w:rPr>
                <w:b/>
                <w:bCs/>
                <w:sz w:val="22"/>
                <w:szCs w:val="22"/>
              </w:rPr>
              <w:t>£</w:t>
            </w:r>
          </w:p>
        </w:tc>
      </w:tr>
      <w:tr w:rsidR="00916E27" w:rsidRPr="00765A1F" w14:paraId="6DB1B7D3" w14:textId="77777777" w:rsidTr="00BB0A40">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13A4F812" w14:textId="1A808D0B" w:rsidR="00916E27" w:rsidRPr="00765A1F" w:rsidRDefault="00916E27" w:rsidP="00BB0A40">
            <w:pPr>
              <w:rPr>
                <w:rFonts w:eastAsia="Arial Unicode MS"/>
                <w:sz w:val="22"/>
                <w:szCs w:val="22"/>
              </w:rPr>
            </w:pPr>
            <w:r>
              <w:rPr>
                <w:sz w:val="22"/>
                <w:szCs w:val="22"/>
              </w:rPr>
              <w:t>Losses carried forward:</w:t>
            </w:r>
          </w:p>
        </w:tc>
        <w:tc>
          <w:tcPr>
            <w:tcW w:w="1704" w:type="dxa"/>
            <w:tcBorders>
              <w:top w:val="nil"/>
              <w:left w:val="nil"/>
              <w:bottom w:val="nil"/>
              <w:right w:val="nil"/>
            </w:tcBorders>
            <w:noWrap/>
            <w:tcMar>
              <w:top w:w="15" w:type="dxa"/>
              <w:left w:w="15" w:type="dxa"/>
              <w:bottom w:w="0" w:type="dxa"/>
              <w:right w:w="15" w:type="dxa"/>
            </w:tcMar>
            <w:vAlign w:val="bottom"/>
          </w:tcPr>
          <w:p w14:paraId="3ACD7F84" w14:textId="69980C91" w:rsidR="00916E27" w:rsidRPr="00DD7324" w:rsidRDefault="00916E27" w:rsidP="00BB0A40">
            <w:pPr>
              <w:ind w:right="90"/>
              <w:jc w:val="right"/>
              <w:rPr>
                <w:rFonts w:eastAsia="Arial Unicode MS"/>
                <w:sz w:val="22"/>
                <w:szCs w:val="22"/>
              </w:rPr>
            </w:pPr>
          </w:p>
        </w:tc>
        <w:tc>
          <w:tcPr>
            <w:tcW w:w="1698" w:type="dxa"/>
            <w:tcBorders>
              <w:top w:val="nil"/>
              <w:left w:val="nil"/>
              <w:bottom w:val="nil"/>
              <w:right w:val="nil"/>
            </w:tcBorders>
            <w:vAlign w:val="bottom"/>
          </w:tcPr>
          <w:p w14:paraId="78A1AE89" w14:textId="55A200E1" w:rsidR="00916E27" w:rsidRPr="00765A1F" w:rsidRDefault="00916E27" w:rsidP="00BB0A40">
            <w:pPr>
              <w:ind w:right="95"/>
              <w:jc w:val="right"/>
              <w:rPr>
                <w:rFonts w:eastAsia="Arial Unicode MS"/>
                <w:sz w:val="22"/>
                <w:szCs w:val="22"/>
              </w:rPr>
            </w:pPr>
          </w:p>
        </w:tc>
      </w:tr>
      <w:tr w:rsidR="00916E27" w:rsidRPr="00765A1F" w14:paraId="178D53D2" w14:textId="77777777" w:rsidTr="00BB0A40">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55E615CF" w14:textId="47552DC9" w:rsidR="00916E27" w:rsidRPr="00765A1F" w:rsidRDefault="00916E27" w:rsidP="00BB0A40">
            <w:pPr>
              <w:rPr>
                <w:rFonts w:eastAsia="Arial Unicode MS"/>
                <w:sz w:val="22"/>
                <w:szCs w:val="22"/>
              </w:rPr>
            </w:pPr>
            <w:r>
              <w:rPr>
                <w:sz w:val="22"/>
                <w:szCs w:val="22"/>
              </w:rPr>
              <w:t>Brought forward losses 31 December 2019</w:t>
            </w:r>
          </w:p>
        </w:tc>
        <w:tc>
          <w:tcPr>
            <w:tcW w:w="1704" w:type="dxa"/>
            <w:tcBorders>
              <w:top w:val="nil"/>
              <w:left w:val="nil"/>
              <w:bottom w:val="nil"/>
              <w:right w:val="nil"/>
            </w:tcBorders>
            <w:noWrap/>
            <w:tcMar>
              <w:top w:w="15" w:type="dxa"/>
              <w:left w:w="15" w:type="dxa"/>
              <w:bottom w:w="0" w:type="dxa"/>
              <w:right w:w="15" w:type="dxa"/>
            </w:tcMar>
            <w:vAlign w:val="bottom"/>
          </w:tcPr>
          <w:p w14:paraId="76DF7F49" w14:textId="4F2C762D" w:rsidR="00916E27" w:rsidRPr="0081446B" w:rsidRDefault="0081446B" w:rsidP="00BB0A40">
            <w:pPr>
              <w:ind w:right="90"/>
              <w:jc w:val="right"/>
              <w:rPr>
                <w:rFonts w:eastAsia="Arial Unicode MS"/>
                <w:sz w:val="22"/>
                <w:szCs w:val="22"/>
              </w:rPr>
            </w:pPr>
            <w:r>
              <w:rPr>
                <w:rFonts w:eastAsia="Arial Unicode MS"/>
                <w:sz w:val="22"/>
                <w:szCs w:val="22"/>
              </w:rPr>
              <w:t>1,453,610</w:t>
            </w:r>
          </w:p>
        </w:tc>
        <w:tc>
          <w:tcPr>
            <w:tcW w:w="1698" w:type="dxa"/>
            <w:tcBorders>
              <w:top w:val="nil"/>
              <w:left w:val="nil"/>
              <w:bottom w:val="nil"/>
              <w:right w:val="nil"/>
            </w:tcBorders>
            <w:vAlign w:val="bottom"/>
          </w:tcPr>
          <w:p w14:paraId="77231298" w14:textId="097D1E45" w:rsidR="00916E27" w:rsidRPr="0081446B" w:rsidRDefault="0081446B" w:rsidP="00BB0A40">
            <w:pPr>
              <w:ind w:right="95"/>
              <w:jc w:val="right"/>
              <w:rPr>
                <w:rFonts w:eastAsia="Arial Unicode MS"/>
                <w:sz w:val="22"/>
                <w:szCs w:val="22"/>
              </w:rPr>
            </w:pPr>
            <w:r>
              <w:rPr>
                <w:rFonts w:eastAsia="Arial Unicode MS"/>
                <w:sz w:val="22"/>
                <w:szCs w:val="22"/>
              </w:rPr>
              <w:t>1,087,810</w:t>
            </w:r>
          </w:p>
        </w:tc>
      </w:tr>
      <w:tr w:rsidR="00916E27" w:rsidRPr="00765A1F" w14:paraId="115D77E2" w14:textId="77777777" w:rsidTr="00916E27">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23D569D8" w14:textId="583FE743" w:rsidR="00916E27" w:rsidRPr="00765A1F" w:rsidRDefault="00916E27" w:rsidP="00BB0A40">
            <w:pPr>
              <w:rPr>
                <w:sz w:val="22"/>
                <w:szCs w:val="22"/>
              </w:rPr>
            </w:pPr>
            <w:r>
              <w:rPr>
                <w:sz w:val="22"/>
                <w:szCs w:val="22"/>
              </w:rPr>
              <w:t xml:space="preserve">Current year </w:t>
            </w:r>
            <w:r w:rsidR="00A128AC">
              <w:rPr>
                <w:sz w:val="22"/>
                <w:szCs w:val="22"/>
              </w:rPr>
              <w:t xml:space="preserve">allowable </w:t>
            </w:r>
            <w:r>
              <w:rPr>
                <w:sz w:val="22"/>
                <w:szCs w:val="22"/>
              </w:rPr>
              <w:t>losses</w:t>
            </w:r>
          </w:p>
        </w:tc>
        <w:tc>
          <w:tcPr>
            <w:tcW w:w="1704" w:type="dxa"/>
            <w:tcBorders>
              <w:top w:val="nil"/>
              <w:left w:val="nil"/>
              <w:bottom w:val="single" w:sz="4" w:space="0" w:color="auto"/>
              <w:right w:val="nil"/>
            </w:tcBorders>
            <w:noWrap/>
            <w:tcMar>
              <w:top w:w="15" w:type="dxa"/>
              <w:left w:w="15" w:type="dxa"/>
              <w:bottom w:w="0" w:type="dxa"/>
              <w:right w:w="15" w:type="dxa"/>
            </w:tcMar>
            <w:vAlign w:val="bottom"/>
          </w:tcPr>
          <w:p w14:paraId="4D4A530B" w14:textId="6F0AD152" w:rsidR="00916E27" w:rsidRPr="006F5DF1" w:rsidRDefault="0081446B" w:rsidP="00BB0A40">
            <w:pPr>
              <w:ind w:right="90"/>
              <w:jc w:val="right"/>
              <w:rPr>
                <w:rFonts w:eastAsia="Arial Unicode MS"/>
                <w:sz w:val="22"/>
                <w:szCs w:val="22"/>
              </w:rPr>
            </w:pPr>
            <w:r>
              <w:rPr>
                <w:rFonts w:eastAsia="Arial Unicode MS"/>
                <w:sz w:val="22"/>
                <w:szCs w:val="22"/>
              </w:rPr>
              <w:t>585,519</w:t>
            </w:r>
          </w:p>
        </w:tc>
        <w:tc>
          <w:tcPr>
            <w:tcW w:w="1698" w:type="dxa"/>
            <w:tcBorders>
              <w:top w:val="nil"/>
              <w:left w:val="nil"/>
              <w:bottom w:val="single" w:sz="4" w:space="0" w:color="auto"/>
              <w:right w:val="nil"/>
            </w:tcBorders>
            <w:vAlign w:val="bottom"/>
          </w:tcPr>
          <w:p w14:paraId="3760A317" w14:textId="5E0811C6" w:rsidR="00916E27" w:rsidRPr="006F5DF1" w:rsidRDefault="0081446B" w:rsidP="00BB0A40">
            <w:pPr>
              <w:ind w:right="95"/>
              <w:jc w:val="right"/>
              <w:rPr>
                <w:rFonts w:eastAsia="Arial Unicode MS"/>
                <w:sz w:val="22"/>
                <w:szCs w:val="22"/>
              </w:rPr>
            </w:pPr>
            <w:r>
              <w:rPr>
                <w:rFonts w:eastAsia="Arial Unicode MS"/>
                <w:sz w:val="22"/>
                <w:szCs w:val="22"/>
              </w:rPr>
              <w:t>365,800</w:t>
            </w:r>
          </w:p>
        </w:tc>
      </w:tr>
      <w:tr w:rsidR="00916E27" w:rsidRPr="00765A1F" w14:paraId="33D67FCD" w14:textId="77777777" w:rsidTr="00916E27">
        <w:trPr>
          <w:trHeight w:val="330"/>
        </w:trPr>
        <w:tc>
          <w:tcPr>
            <w:tcW w:w="6536" w:type="dxa"/>
            <w:tcBorders>
              <w:top w:val="nil"/>
              <w:left w:val="nil"/>
              <w:bottom w:val="nil"/>
              <w:right w:val="nil"/>
            </w:tcBorders>
            <w:noWrap/>
            <w:tcMar>
              <w:top w:w="15" w:type="dxa"/>
              <w:left w:w="15" w:type="dxa"/>
              <w:bottom w:w="0" w:type="dxa"/>
              <w:right w:w="15" w:type="dxa"/>
            </w:tcMar>
            <w:vAlign w:val="bottom"/>
          </w:tcPr>
          <w:p w14:paraId="49CCDA5D" w14:textId="412ACF19" w:rsidR="00916E27" w:rsidRPr="00765A1F" w:rsidRDefault="00916E27" w:rsidP="00BB0A40">
            <w:pPr>
              <w:rPr>
                <w:rFonts w:eastAsia="Arial Unicode MS"/>
                <w:sz w:val="22"/>
                <w:szCs w:val="22"/>
              </w:rPr>
            </w:pPr>
            <w:r>
              <w:rPr>
                <w:sz w:val="22"/>
                <w:szCs w:val="22"/>
              </w:rPr>
              <w:t>Losses carried for 31 December 2020</w:t>
            </w:r>
          </w:p>
        </w:tc>
        <w:tc>
          <w:tcPr>
            <w:tcW w:w="1704" w:type="dxa"/>
            <w:tcBorders>
              <w:top w:val="single" w:sz="4" w:space="0" w:color="auto"/>
              <w:left w:val="nil"/>
              <w:bottom w:val="double" w:sz="4" w:space="0" w:color="auto"/>
              <w:right w:val="nil"/>
            </w:tcBorders>
            <w:noWrap/>
            <w:tcMar>
              <w:top w:w="15" w:type="dxa"/>
              <w:left w:w="15" w:type="dxa"/>
              <w:bottom w:w="0" w:type="dxa"/>
              <w:right w:w="15" w:type="dxa"/>
            </w:tcMar>
            <w:vAlign w:val="bottom"/>
          </w:tcPr>
          <w:p w14:paraId="52E203A4" w14:textId="66346C8E" w:rsidR="00916E27" w:rsidRPr="00DD7324" w:rsidRDefault="00EB3E5B" w:rsidP="00BB0A40">
            <w:pPr>
              <w:ind w:right="90"/>
              <w:jc w:val="right"/>
              <w:rPr>
                <w:rFonts w:eastAsia="Arial Unicode MS"/>
                <w:sz w:val="22"/>
                <w:szCs w:val="22"/>
              </w:rPr>
            </w:pPr>
            <w:r>
              <w:rPr>
                <w:rFonts w:eastAsia="Arial Unicode MS"/>
                <w:sz w:val="22"/>
                <w:szCs w:val="22"/>
              </w:rPr>
              <w:t>2,039,129</w:t>
            </w:r>
          </w:p>
        </w:tc>
        <w:tc>
          <w:tcPr>
            <w:tcW w:w="1698" w:type="dxa"/>
            <w:tcBorders>
              <w:top w:val="single" w:sz="4" w:space="0" w:color="auto"/>
              <w:left w:val="nil"/>
              <w:bottom w:val="double" w:sz="4" w:space="0" w:color="auto"/>
              <w:right w:val="nil"/>
            </w:tcBorders>
            <w:vAlign w:val="bottom"/>
          </w:tcPr>
          <w:p w14:paraId="43B28CF6" w14:textId="56B22A2C" w:rsidR="00916E27" w:rsidRPr="00765A1F" w:rsidRDefault="0081446B" w:rsidP="00BB0A40">
            <w:pPr>
              <w:ind w:right="95"/>
              <w:jc w:val="right"/>
              <w:rPr>
                <w:rFonts w:eastAsia="Arial Unicode MS"/>
                <w:sz w:val="22"/>
                <w:szCs w:val="22"/>
              </w:rPr>
            </w:pPr>
            <w:r>
              <w:rPr>
                <w:rFonts w:eastAsia="Arial Unicode MS"/>
                <w:sz w:val="22"/>
                <w:szCs w:val="22"/>
              </w:rPr>
              <w:t>1,453,610</w:t>
            </w:r>
          </w:p>
        </w:tc>
      </w:tr>
    </w:tbl>
    <w:p w14:paraId="0E8E14BA" w14:textId="7BBDEC19" w:rsidR="00916E27" w:rsidRDefault="00916E27">
      <w:pPr>
        <w:jc w:val="both"/>
        <w:rPr>
          <w:sz w:val="22"/>
          <w:szCs w:val="22"/>
        </w:rPr>
      </w:pPr>
    </w:p>
    <w:p w14:paraId="401774B1" w14:textId="5EE47CA5" w:rsidR="00916E27" w:rsidRDefault="00916E27">
      <w:pPr>
        <w:jc w:val="both"/>
        <w:rPr>
          <w:sz w:val="22"/>
          <w:szCs w:val="22"/>
        </w:rPr>
      </w:pPr>
    </w:p>
    <w:p w14:paraId="15960CA1" w14:textId="035D8DB0" w:rsidR="007623F0" w:rsidRPr="00F777CB" w:rsidRDefault="007D15C4">
      <w:pPr>
        <w:jc w:val="both"/>
        <w:rPr>
          <w:b/>
          <w:sz w:val="22"/>
          <w:szCs w:val="22"/>
        </w:rPr>
      </w:pPr>
      <w:r>
        <w:rPr>
          <w:b/>
          <w:sz w:val="22"/>
          <w:szCs w:val="22"/>
        </w:rPr>
        <w:t>5</w:t>
      </w:r>
      <w:r w:rsidR="007623F0" w:rsidRPr="00F777CB">
        <w:rPr>
          <w:b/>
          <w:sz w:val="22"/>
          <w:szCs w:val="22"/>
        </w:rPr>
        <w:t>.</w:t>
      </w:r>
      <w:r w:rsidR="007623F0" w:rsidRPr="00F777CB">
        <w:rPr>
          <w:b/>
          <w:sz w:val="22"/>
          <w:szCs w:val="22"/>
        </w:rPr>
        <w:tab/>
        <w:t xml:space="preserve">COMPANY LOSS FOR THE </w:t>
      </w:r>
      <w:r w:rsidR="00DB6B73">
        <w:rPr>
          <w:b/>
          <w:sz w:val="22"/>
          <w:szCs w:val="22"/>
        </w:rPr>
        <w:t>PERIOD</w:t>
      </w:r>
    </w:p>
    <w:p w14:paraId="386F4C23" w14:textId="77777777" w:rsidR="007623F0" w:rsidRPr="00F777CB" w:rsidRDefault="007623F0">
      <w:pPr>
        <w:jc w:val="both"/>
        <w:rPr>
          <w:sz w:val="22"/>
          <w:szCs w:val="22"/>
        </w:rPr>
      </w:pPr>
    </w:p>
    <w:p w14:paraId="20C8B7C7" w14:textId="6CD19131" w:rsidR="007623F0" w:rsidRPr="00F777CB" w:rsidRDefault="007623F0">
      <w:pPr>
        <w:pStyle w:val="Heading7"/>
        <w:rPr>
          <w:b w:val="0"/>
          <w:sz w:val="22"/>
          <w:szCs w:val="22"/>
        </w:rPr>
      </w:pPr>
      <w:r w:rsidRPr="00F777CB">
        <w:rPr>
          <w:b w:val="0"/>
          <w:sz w:val="22"/>
          <w:szCs w:val="22"/>
        </w:rPr>
        <w:t xml:space="preserve">The Company has taken advantage of the exemption allowed under section 408 of the Companies Act 2006 and has not included its own income statement and statement of comprehensive income in these financial statements. The Company’s loss for the </w:t>
      </w:r>
      <w:r w:rsidR="00DB6B73">
        <w:rPr>
          <w:b w:val="0"/>
          <w:sz w:val="22"/>
          <w:szCs w:val="22"/>
        </w:rPr>
        <w:t>period</w:t>
      </w:r>
      <w:r w:rsidRPr="00F777CB">
        <w:rPr>
          <w:b w:val="0"/>
          <w:sz w:val="22"/>
          <w:szCs w:val="22"/>
        </w:rPr>
        <w:t xml:space="preserve"> amounted </w:t>
      </w:r>
      <w:r w:rsidRPr="006C3CA3">
        <w:rPr>
          <w:b w:val="0"/>
          <w:sz w:val="22"/>
          <w:szCs w:val="22"/>
        </w:rPr>
        <w:t xml:space="preserve">to </w:t>
      </w:r>
      <w:r w:rsidR="004D314E" w:rsidRPr="006C3CA3">
        <w:rPr>
          <w:b w:val="0"/>
          <w:sz w:val="22"/>
          <w:szCs w:val="22"/>
        </w:rPr>
        <w:t>£</w:t>
      </w:r>
      <w:r w:rsidR="007E411E">
        <w:rPr>
          <w:b w:val="0"/>
          <w:sz w:val="22"/>
          <w:szCs w:val="22"/>
        </w:rPr>
        <w:t>810,233</w:t>
      </w:r>
      <w:r w:rsidR="00DD71EE">
        <w:rPr>
          <w:b w:val="0"/>
          <w:sz w:val="22"/>
          <w:szCs w:val="22"/>
        </w:rPr>
        <w:t xml:space="preserve"> </w:t>
      </w:r>
      <w:r w:rsidRPr="00F777CB">
        <w:rPr>
          <w:b w:val="0"/>
          <w:sz w:val="22"/>
          <w:szCs w:val="22"/>
        </w:rPr>
        <w:t>(</w:t>
      </w:r>
      <w:r w:rsidR="001F700D">
        <w:rPr>
          <w:b w:val="0"/>
          <w:sz w:val="22"/>
          <w:szCs w:val="22"/>
        </w:rPr>
        <w:t>31 December</w:t>
      </w:r>
      <w:r w:rsidR="00DB6B73">
        <w:rPr>
          <w:b w:val="0"/>
          <w:sz w:val="22"/>
          <w:szCs w:val="22"/>
        </w:rPr>
        <w:t xml:space="preserve"> </w:t>
      </w:r>
      <w:r w:rsidRPr="00F777CB">
        <w:rPr>
          <w:b w:val="0"/>
          <w:sz w:val="22"/>
          <w:szCs w:val="22"/>
        </w:rPr>
        <w:t>201</w:t>
      </w:r>
      <w:r w:rsidR="00DB6B73">
        <w:rPr>
          <w:b w:val="0"/>
          <w:sz w:val="22"/>
          <w:szCs w:val="22"/>
        </w:rPr>
        <w:t>9</w:t>
      </w:r>
      <w:r w:rsidRPr="00F777CB">
        <w:rPr>
          <w:b w:val="0"/>
          <w:sz w:val="22"/>
          <w:szCs w:val="22"/>
        </w:rPr>
        <w:t>: £</w:t>
      </w:r>
      <w:r w:rsidR="001F700D">
        <w:rPr>
          <w:b w:val="0"/>
          <w:sz w:val="22"/>
          <w:szCs w:val="22"/>
        </w:rPr>
        <w:t>591,347</w:t>
      </w:r>
      <w:r w:rsidRPr="00F777CB">
        <w:rPr>
          <w:b w:val="0"/>
          <w:sz w:val="22"/>
          <w:szCs w:val="22"/>
        </w:rPr>
        <w:t xml:space="preserve"> </w:t>
      </w:r>
      <w:r w:rsidR="00F812B7" w:rsidRPr="00F777CB">
        <w:rPr>
          <w:b w:val="0"/>
          <w:sz w:val="22"/>
          <w:szCs w:val="22"/>
        </w:rPr>
        <w:t>loss</w:t>
      </w:r>
      <w:r w:rsidRPr="00F777CB">
        <w:rPr>
          <w:b w:val="0"/>
          <w:sz w:val="22"/>
          <w:szCs w:val="22"/>
        </w:rPr>
        <w:t>).</w:t>
      </w:r>
    </w:p>
    <w:p w14:paraId="4F3F17B2" w14:textId="77777777" w:rsidR="007623F0" w:rsidRDefault="007623F0">
      <w:pPr>
        <w:rPr>
          <w:bCs/>
          <w:sz w:val="22"/>
          <w:szCs w:val="22"/>
        </w:rPr>
      </w:pPr>
    </w:p>
    <w:p w14:paraId="427CEFAA" w14:textId="7C793C96" w:rsidR="007623F0" w:rsidRPr="00F777CB" w:rsidRDefault="007D15C4">
      <w:pPr>
        <w:pStyle w:val="Heading7"/>
        <w:rPr>
          <w:bCs w:val="0"/>
          <w:sz w:val="22"/>
          <w:szCs w:val="22"/>
        </w:rPr>
      </w:pPr>
      <w:r>
        <w:rPr>
          <w:bCs w:val="0"/>
          <w:sz w:val="22"/>
          <w:szCs w:val="22"/>
        </w:rPr>
        <w:t>6</w:t>
      </w:r>
      <w:r w:rsidR="007623F0" w:rsidRPr="00F777CB">
        <w:rPr>
          <w:bCs w:val="0"/>
          <w:sz w:val="22"/>
          <w:szCs w:val="22"/>
        </w:rPr>
        <w:t>.</w:t>
      </w:r>
      <w:r w:rsidR="007623F0" w:rsidRPr="00F777CB">
        <w:rPr>
          <w:bCs w:val="0"/>
          <w:sz w:val="22"/>
          <w:szCs w:val="22"/>
        </w:rPr>
        <w:tab/>
      </w:r>
      <w:r w:rsidR="001041EE" w:rsidRPr="006529AB">
        <w:rPr>
          <w:bCs w:val="0"/>
          <w:sz w:val="22"/>
          <w:szCs w:val="22"/>
        </w:rPr>
        <w:t>LOSS</w:t>
      </w:r>
      <w:r w:rsidR="007623F0" w:rsidRPr="006529AB">
        <w:rPr>
          <w:bCs w:val="0"/>
          <w:sz w:val="22"/>
          <w:szCs w:val="22"/>
        </w:rPr>
        <w:t xml:space="preserve"> PER SHARE</w:t>
      </w:r>
    </w:p>
    <w:p w14:paraId="4E032B18" w14:textId="77777777" w:rsidR="007623F0" w:rsidRPr="00F777CB" w:rsidRDefault="007623F0">
      <w:pPr>
        <w:jc w:val="both"/>
        <w:rPr>
          <w:sz w:val="22"/>
          <w:szCs w:val="22"/>
        </w:rPr>
      </w:pPr>
    </w:p>
    <w:p w14:paraId="6A99057E" w14:textId="14520C1D" w:rsidR="007623F0" w:rsidRPr="00F777CB" w:rsidRDefault="007623F0" w:rsidP="00434CEB">
      <w:pPr>
        <w:jc w:val="both"/>
        <w:rPr>
          <w:sz w:val="22"/>
          <w:szCs w:val="22"/>
        </w:rPr>
      </w:pPr>
      <w:r w:rsidRPr="00F777CB">
        <w:rPr>
          <w:sz w:val="22"/>
          <w:szCs w:val="22"/>
        </w:rPr>
        <w:t xml:space="preserve">Basic loss per share is calculated by dividing the loss attributed to ordinary shareholders of </w:t>
      </w:r>
      <w:r w:rsidR="00765A1F" w:rsidRPr="006C3CA3">
        <w:rPr>
          <w:sz w:val="22"/>
          <w:szCs w:val="22"/>
        </w:rPr>
        <w:t>£</w:t>
      </w:r>
      <w:r w:rsidR="007E411E">
        <w:rPr>
          <w:sz w:val="22"/>
          <w:szCs w:val="22"/>
        </w:rPr>
        <w:t>810,133</w:t>
      </w:r>
      <w:r w:rsidR="00410D4A">
        <w:rPr>
          <w:sz w:val="22"/>
          <w:szCs w:val="22"/>
        </w:rPr>
        <w:t xml:space="preserve"> </w:t>
      </w:r>
      <w:r w:rsidRPr="00F777CB">
        <w:rPr>
          <w:sz w:val="22"/>
          <w:szCs w:val="22"/>
        </w:rPr>
        <w:t>(</w:t>
      </w:r>
      <w:r w:rsidR="001F700D">
        <w:rPr>
          <w:sz w:val="22"/>
          <w:szCs w:val="22"/>
        </w:rPr>
        <w:t xml:space="preserve">10-Month period </w:t>
      </w:r>
      <w:r w:rsidR="004C6D6A">
        <w:rPr>
          <w:sz w:val="22"/>
          <w:szCs w:val="22"/>
        </w:rPr>
        <w:t xml:space="preserve">to </w:t>
      </w:r>
      <w:r w:rsidR="001F700D">
        <w:rPr>
          <w:sz w:val="22"/>
          <w:szCs w:val="22"/>
        </w:rPr>
        <w:t>31 December</w:t>
      </w:r>
      <w:r w:rsidR="004C6D6A">
        <w:rPr>
          <w:sz w:val="22"/>
          <w:szCs w:val="22"/>
        </w:rPr>
        <w:t xml:space="preserve"> 2019</w:t>
      </w:r>
      <w:r w:rsidRPr="00F777CB">
        <w:rPr>
          <w:sz w:val="22"/>
          <w:szCs w:val="22"/>
        </w:rPr>
        <w:t>: £</w:t>
      </w:r>
      <w:r w:rsidR="001F700D">
        <w:rPr>
          <w:sz w:val="22"/>
          <w:szCs w:val="22"/>
        </w:rPr>
        <w:t>584,855</w:t>
      </w:r>
      <w:r w:rsidR="00F812B7" w:rsidRPr="00F777CB">
        <w:rPr>
          <w:sz w:val="22"/>
          <w:szCs w:val="22"/>
        </w:rPr>
        <w:t xml:space="preserve"> loss)</w:t>
      </w:r>
      <w:r w:rsidRPr="00F777CB">
        <w:rPr>
          <w:sz w:val="22"/>
          <w:szCs w:val="22"/>
        </w:rPr>
        <w:t xml:space="preserve"> by the weighted average number of shares of </w:t>
      </w:r>
      <w:r w:rsidR="001F700D">
        <w:rPr>
          <w:sz w:val="22"/>
          <w:szCs w:val="22"/>
        </w:rPr>
        <w:t>363,554,242</w:t>
      </w:r>
      <w:r w:rsidR="00CA0D7C" w:rsidRPr="007269C7">
        <w:rPr>
          <w:sz w:val="22"/>
          <w:szCs w:val="22"/>
        </w:rPr>
        <w:t xml:space="preserve"> </w:t>
      </w:r>
      <w:r w:rsidRPr="00F777CB">
        <w:rPr>
          <w:sz w:val="22"/>
          <w:szCs w:val="22"/>
        </w:rPr>
        <w:t>(</w:t>
      </w:r>
      <w:r w:rsidR="001F700D">
        <w:rPr>
          <w:sz w:val="22"/>
          <w:szCs w:val="22"/>
        </w:rPr>
        <w:t>10-Month period</w:t>
      </w:r>
      <w:r w:rsidR="004C6D6A">
        <w:rPr>
          <w:sz w:val="22"/>
          <w:szCs w:val="22"/>
        </w:rPr>
        <w:t xml:space="preserve"> to </w:t>
      </w:r>
      <w:r w:rsidR="001F700D">
        <w:rPr>
          <w:sz w:val="22"/>
          <w:szCs w:val="22"/>
        </w:rPr>
        <w:t>31 December</w:t>
      </w:r>
      <w:r w:rsidR="004C6D6A">
        <w:rPr>
          <w:sz w:val="22"/>
          <w:szCs w:val="22"/>
        </w:rPr>
        <w:t xml:space="preserve"> 2019</w:t>
      </w:r>
      <w:r w:rsidRPr="00F777CB">
        <w:rPr>
          <w:sz w:val="22"/>
          <w:szCs w:val="22"/>
        </w:rPr>
        <w:t xml:space="preserve">: </w:t>
      </w:r>
      <w:r w:rsidR="001F700D">
        <w:rPr>
          <w:sz w:val="22"/>
          <w:szCs w:val="22"/>
        </w:rPr>
        <w:t>260,741,282</w:t>
      </w:r>
      <w:r w:rsidRPr="00F777CB">
        <w:rPr>
          <w:sz w:val="22"/>
          <w:szCs w:val="22"/>
        </w:rPr>
        <w:t xml:space="preserve">) in issue during the </w:t>
      </w:r>
      <w:r w:rsidR="004C6D6A">
        <w:rPr>
          <w:sz w:val="22"/>
          <w:szCs w:val="22"/>
        </w:rPr>
        <w:t>period</w:t>
      </w:r>
      <w:r w:rsidRPr="00F777CB">
        <w:rPr>
          <w:sz w:val="22"/>
          <w:szCs w:val="22"/>
        </w:rPr>
        <w:t xml:space="preserve">. </w:t>
      </w:r>
      <w:r w:rsidRPr="00E75A49">
        <w:rPr>
          <w:sz w:val="22"/>
          <w:szCs w:val="22"/>
        </w:rPr>
        <w:t xml:space="preserve">The diluted </w:t>
      </w:r>
      <w:r w:rsidR="001041EE" w:rsidRPr="00E75A49">
        <w:rPr>
          <w:sz w:val="22"/>
          <w:szCs w:val="22"/>
        </w:rPr>
        <w:t>loss</w:t>
      </w:r>
      <w:r w:rsidRPr="00E75A49">
        <w:rPr>
          <w:sz w:val="22"/>
          <w:szCs w:val="22"/>
        </w:rPr>
        <w:t xml:space="preserve"> per share </w:t>
      </w:r>
      <w:r w:rsidR="00E75A49" w:rsidRPr="00E75A49">
        <w:rPr>
          <w:sz w:val="22"/>
          <w:szCs w:val="22"/>
        </w:rPr>
        <w:t>is calculated by dividing the loss attributed to ordinary shareholders of £</w:t>
      </w:r>
      <w:r w:rsidR="007E411E">
        <w:rPr>
          <w:sz w:val="22"/>
          <w:szCs w:val="22"/>
        </w:rPr>
        <w:t>810,133</w:t>
      </w:r>
      <w:r w:rsidR="00E75A49" w:rsidRPr="00E75A49">
        <w:rPr>
          <w:sz w:val="22"/>
          <w:szCs w:val="22"/>
        </w:rPr>
        <w:t xml:space="preserve"> (</w:t>
      </w:r>
      <w:r w:rsidR="001F700D">
        <w:rPr>
          <w:sz w:val="22"/>
          <w:szCs w:val="22"/>
        </w:rPr>
        <w:t>10-Month period</w:t>
      </w:r>
      <w:r w:rsidR="006529AB">
        <w:rPr>
          <w:sz w:val="22"/>
          <w:szCs w:val="22"/>
        </w:rPr>
        <w:t xml:space="preserve"> to </w:t>
      </w:r>
      <w:r w:rsidR="001F700D">
        <w:rPr>
          <w:sz w:val="22"/>
          <w:szCs w:val="22"/>
        </w:rPr>
        <w:t>31 December</w:t>
      </w:r>
      <w:r w:rsidR="006529AB">
        <w:rPr>
          <w:sz w:val="22"/>
          <w:szCs w:val="22"/>
        </w:rPr>
        <w:t xml:space="preserve"> 2019</w:t>
      </w:r>
      <w:r w:rsidR="00E75A49" w:rsidRPr="00E75A49">
        <w:rPr>
          <w:sz w:val="22"/>
          <w:szCs w:val="22"/>
        </w:rPr>
        <w:t>: £</w:t>
      </w:r>
      <w:r w:rsidR="001F700D">
        <w:rPr>
          <w:sz w:val="22"/>
          <w:szCs w:val="22"/>
        </w:rPr>
        <w:t>584,855</w:t>
      </w:r>
      <w:r w:rsidR="006529AB">
        <w:rPr>
          <w:sz w:val="22"/>
          <w:szCs w:val="22"/>
        </w:rPr>
        <w:t xml:space="preserve"> loss</w:t>
      </w:r>
      <w:r w:rsidR="00E75A49" w:rsidRPr="00E75A49">
        <w:rPr>
          <w:sz w:val="22"/>
          <w:szCs w:val="22"/>
        </w:rPr>
        <w:t xml:space="preserve">) by the weighted average number of shares including the total number of options and warrants outstanding of </w:t>
      </w:r>
      <w:r w:rsidR="001F700D">
        <w:rPr>
          <w:sz w:val="22"/>
          <w:szCs w:val="22"/>
        </w:rPr>
        <w:t>453,720,902</w:t>
      </w:r>
      <w:r w:rsidR="00E75A49" w:rsidRPr="00E75A49">
        <w:rPr>
          <w:sz w:val="22"/>
          <w:szCs w:val="22"/>
        </w:rPr>
        <w:t xml:space="preserve"> (</w:t>
      </w:r>
      <w:r w:rsidR="001F700D">
        <w:rPr>
          <w:sz w:val="22"/>
          <w:szCs w:val="22"/>
        </w:rPr>
        <w:t>10-Month period to</w:t>
      </w:r>
      <w:r w:rsidR="006529AB">
        <w:rPr>
          <w:sz w:val="22"/>
          <w:szCs w:val="22"/>
        </w:rPr>
        <w:t xml:space="preserve"> </w:t>
      </w:r>
      <w:r w:rsidR="001F700D">
        <w:rPr>
          <w:sz w:val="22"/>
          <w:szCs w:val="22"/>
        </w:rPr>
        <w:t>31 December</w:t>
      </w:r>
      <w:r w:rsidR="006529AB">
        <w:rPr>
          <w:sz w:val="22"/>
          <w:szCs w:val="22"/>
        </w:rPr>
        <w:t xml:space="preserve"> </w:t>
      </w:r>
      <w:r w:rsidR="00E75A49" w:rsidRPr="00E75A49">
        <w:rPr>
          <w:sz w:val="22"/>
          <w:szCs w:val="22"/>
        </w:rPr>
        <w:t>201</w:t>
      </w:r>
      <w:r w:rsidR="006529AB">
        <w:rPr>
          <w:sz w:val="22"/>
          <w:szCs w:val="22"/>
        </w:rPr>
        <w:t>9</w:t>
      </w:r>
      <w:r w:rsidR="00E75A49" w:rsidRPr="00E75A49">
        <w:rPr>
          <w:sz w:val="22"/>
          <w:szCs w:val="22"/>
        </w:rPr>
        <w:t xml:space="preserve">: </w:t>
      </w:r>
      <w:r w:rsidR="001F700D">
        <w:rPr>
          <w:sz w:val="22"/>
          <w:szCs w:val="22"/>
        </w:rPr>
        <w:t>388,024,608</w:t>
      </w:r>
      <w:r w:rsidR="00E75A49" w:rsidRPr="00E75A49">
        <w:rPr>
          <w:sz w:val="22"/>
          <w:szCs w:val="22"/>
        </w:rPr>
        <w:t>).</w:t>
      </w:r>
    </w:p>
    <w:p w14:paraId="77836D60" w14:textId="6FEC9009" w:rsidR="0007382B" w:rsidRDefault="0007382B">
      <w:pPr>
        <w:overflowPunct/>
        <w:autoSpaceDE/>
        <w:autoSpaceDN/>
        <w:adjustRightInd/>
        <w:textAlignment w:val="auto"/>
        <w:rPr>
          <w:b/>
          <w:sz w:val="22"/>
          <w:szCs w:val="22"/>
        </w:rPr>
      </w:pPr>
    </w:p>
    <w:p w14:paraId="3F964F07" w14:textId="57C33E12" w:rsidR="007B5847" w:rsidRDefault="007D15C4" w:rsidP="007B5847">
      <w:pPr>
        <w:rPr>
          <w:b/>
          <w:sz w:val="22"/>
          <w:szCs w:val="22"/>
        </w:rPr>
      </w:pPr>
      <w:r>
        <w:rPr>
          <w:b/>
          <w:sz w:val="22"/>
          <w:szCs w:val="22"/>
        </w:rPr>
        <w:t>7</w:t>
      </w:r>
      <w:r w:rsidR="007B5847" w:rsidRPr="00F777CB">
        <w:rPr>
          <w:b/>
          <w:sz w:val="22"/>
          <w:szCs w:val="22"/>
        </w:rPr>
        <w:t>.</w:t>
      </w:r>
      <w:r w:rsidR="007B5847" w:rsidRPr="00F777CB">
        <w:rPr>
          <w:sz w:val="22"/>
          <w:szCs w:val="22"/>
        </w:rPr>
        <w:tab/>
      </w:r>
      <w:r w:rsidR="007B5847" w:rsidRPr="00E45398">
        <w:rPr>
          <w:b/>
          <w:sz w:val="22"/>
          <w:szCs w:val="22"/>
        </w:rPr>
        <w:t>INVESTMENTS</w:t>
      </w:r>
    </w:p>
    <w:p w14:paraId="1C987DC9" w14:textId="6DF8469A" w:rsidR="00381766" w:rsidRDefault="00381766" w:rsidP="00381766">
      <w:pPr>
        <w:rPr>
          <w:b/>
          <w:sz w:val="22"/>
          <w:szCs w:val="22"/>
        </w:rPr>
      </w:pPr>
    </w:p>
    <w:tbl>
      <w:tblPr>
        <w:tblW w:w="9904" w:type="dxa"/>
        <w:tblLayout w:type="fixed"/>
        <w:tblCellMar>
          <w:left w:w="0" w:type="dxa"/>
          <w:right w:w="0" w:type="dxa"/>
        </w:tblCellMar>
        <w:tblLook w:val="0000" w:firstRow="0" w:lastRow="0" w:firstColumn="0" w:lastColumn="0" w:noHBand="0" w:noVBand="0"/>
      </w:tblPr>
      <w:tblGrid>
        <w:gridCol w:w="2694"/>
        <w:gridCol w:w="1710"/>
        <w:gridCol w:w="1266"/>
        <w:gridCol w:w="1276"/>
        <w:gridCol w:w="1248"/>
        <w:gridCol w:w="1710"/>
      </w:tblGrid>
      <w:tr w:rsidR="007C489F" w:rsidRPr="00F777CB" w14:paraId="64F422F5"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054F370D" w14:textId="77777777" w:rsidR="007C489F" w:rsidRPr="00F777CB" w:rsidRDefault="007C489F" w:rsidP="007C489F">
            <w:pPr>
              <w:rPr>
                <w:rFonts w:eastAsia="Arial Unicode MS"/>
                <w:sz w:val="22"/>
                <w:szCs w:val="22"/>
              </w:rPr>
            </w:pPr>
          </w:p>
        </w:tc>
        <w:tc>
          <w:tcPr>
            <w:tcW w:w="1710" w:type="dxa"/>
            <w:tcBorders>
              <w:top w:val="nil"/>
              <w:left w:val="nil"/>
              <w:bottom w:val="nil"/>
              <w:right w:val="nil"/>
            </w:tcBorders>
            <w:vAlign w:val="bottom"/>
          </w:tcPr>
          <w:p w14:paraId="7BCBDFCD" w14:textId="2C4318CA" w:rsidR="007C489F" w:rsidRPr="00F777CB" w:rsidRDefault="007C489F" w:rsidP="00656716">
            <w:pPr>
              <w:ind w:left="-1950" w:right="38" w:firstLine="1950"/>
              <w:jc w:val="right"/>
              <w:rPr>
                <w:b/>
                <w:bCs/>
                <w:sz w:val="22"/>
                <w:szCs w:val="22"/>
              </w:rPr>
            </w:pPr>
            <w:r>
              <w:rPr>
                <w:b/>
                <w:bCs/>
                <w:sz w:val="22"/>
                <w:szCs w:val="22"/>
              </w:rPr>
              <w:t>Available for sale</w:t>
            </w:r>
          </w:p>
        </w:tc>
        <w:tc>
          <w:tcPr>
            <w:tcW w:w="1266" w:type="dxa"/>
            <w:tcBorders>
              <w:top w:val="nil"/>
              <w:left w:val="nil"/>
              <w:bottom w:val="nil"/>
              <w:right w:val="nil"/>
            </w:tcBorders>
            <w:vAlign w:val="bottom"/>
          </w:tcPr>
          <w:p w14:paraId="603392D3" w14:textId="6DF70652" w:rsidR="007C489F" w:rsidRDefault="007C489F" w:rsidP="00656716">
            <w:pPr>
              <w:ind w:left="-1950" w:right="38" w:firstLine="1950"/>
              <w:jc w:val="right"/>
              <w:rPr>
                <w:b/>
                <w:bCs/>
                <w:sz w:val="22"/>
                <w:szCs w:val="22"/>
              </w:rPr>
            </w:pPr>
            <w:r>
              <w:rPr>
                <w:b/>
                <w:bCs/>
                <w:sz w:val="22"/>
                <w:szCs w:val="22"/>
              </w:rPr>
              <w:t>Investments</w:t>
            </w:r>
          </w:p>
        </w:tc>
        <w:tc>
          <w:tcPr>
            <w:tcW w:w="1276" w:type="dxa"/>
            <w:tcBorders>
              <w:top w:val="nil"/>
              <w:left w:val="nil"/>
              <w:bottom w:val="nil"/>
              <w:right w:val="nil"/>
            </w:tcBorders>
            <w:vAlign w:val="bottom"/>
          </w:tcPr>
          <w:p w14:paraId="4AFFB07C" w14:textId="0710A6DD" w:rsidR="007C489F" w:rsidRPr="00F777CB" w:rsidRDefault="007C489F" w:rsidP="00656716">
            <w:pPr>
              <w:ind w:right="38"/>
              <w:jc w:val="right"/>
              <w:rPr>
                <w:b/>
                <w:bCs/>
                <w:sz w:val="22"/>
                <w:szCs w:val="22"/>
              </w:rPr>
            </w:pPr>
            <w:r>
              <w:rPr>
                <w:b/>
                <w:bCs/>
                <w:sz w:val="22"/>
                <w:szCs w:val="22"/>
              </w:rPr>
              <w:t>Subsidiaries</w:t>
            </w:r>
          </w:p>
        </w:tc>
        <w:tc>
          <w:tcPr>
            <w:tcW w:w="1248" w:type="dxa"/>
            <w:tcBorders>
              <w:top w:val="nil"/>
              <w:left w:val="nil"/>
              <w:bottom w:val="nil"/>
              <w:right w:val="nil"/>
            </w:tcBorders>
            <w:noWrap/>
            <w:tcMar>
              <w:top w:w="15" w:type="dxa"/>
              <w:left w:w="15" w:type="dxa"/>
              <w:bottom w:w="0" w:type="dxa"/>
              <w:right w:w="15" w:type="dxa"/>
            </w:tcMar>
            <w:vAlign w:val="bottom"/>
          </w:tcPr>
          <w:p w14:paraId="4E2258D1" w14:textId="77777777" w:rsidR="007C489F" w:rsidRPr="00F777CB" w:rsidRDefault="007C489F" w:rsidP="00656716">
            <w:pPr>
              <w:ind w:right="38"/>
              <w:jc w:val="right"/>
              <w:rPr>
                <w:rFonts w:eastAsia="Arial Unicode MS"/>
                <w:b/>
                <w:bCs/>
                <w:sz w:val="22"/>
                <w:szCs w:val="22"/>
              </w:rPr>
            </w:pPr>
            <w:r w:rsidRPr="00F777CB">
              <w:rPr>
                <w:b/>
                <w:bCs/>
                <w:sz w:val="22"/>
                <w:szCs w:val="22"/>
              </w:rPr>
              <w:t>Loans</w:t>
            </w:r>
          </w:p>
        </w:tc>
        <w:tc>
          <w:tcPr>
            <w:tcW w:w="1710" w:type="dxa"/>
            <w:tcBorders>
              <w:top w:val="nil"/>
              <w:left w:val="nil"/>
              <w:bottom w:val="nil"/>
              <w:right w:val="nil"/>
            </w:tcBorders>
            <w:noWrap/>
            <w:tcMar>
              <w:top w:w="15" w:type="dxa"/>
              <w:left w:w="15" w:type="dxa"/>
              <w:bottom w:w="0" w:type="dxa"/>
              <w:right w:w="15" w:type="dxa"/>
            </w:tcMar>
            <w:vAlign w:val="bottom"/>
          </w:tcPr>
          <w:p w14:paraId="16B6269D" w14:textId="77777777" w:rsidR="007C489F" w:rsidRPr="00F777CB" w:rsidRDefault="007C489F" w:rsidP="00656716">
            <w:pPr>
              <w:ind w:right="69"/>
              <w:jc w:val="right"/>
              <w:rPr>
                <w:rFonts w:eastAsia="Arial Unicode MS"/>
                <w:b/>
                <w:bCs/>
                <w:sz w:val="22"/>
                <w:szCs w:val="22"/>
              </w:rPr>
            </w:pPr>
            <w:r w:rsidRPr="00F777CB">
              <w:rPr>
                <w:b/>
                <w:bCs/>
                <w:sz w:val="22"/>
                <w:szCs w:val="22"/>
              </w:rPr>
              <w:t>Total</w:t>
            </w:r>
          </w:p>
        </w:tc>
      </w:tr>
      <w:tr w:rsidR="007C489F" w:rsidRPr="00F777CB" w14:paraId="6A944C41"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04EE0D9D" w14:textId="77777777" w:rsidR="007C489F" w:rsidRPr="00F777CB" w:rsidRDefault="007C489F" w:rsidP="007C489F">
            <w:pPr>
              <w:rPr>
                <w:rFonts w:eastAsia="Arial Unicode MS"/>
                <w:sz w:val="22"/>
                <w:szCs w:val="22"/>
              </w:rPr>
            </w:pPr>
            <w:r w:rsidRPr="00F777CB">
              <w:rPr>
                <w:b/>
                <w:bCs/>
                <w:sz w:val="22"/>
                <w:szCs w:val="22"/>
              </w:rPr>
              <w:t>Company</w:t>
            </w:r>
          </w:p>
        </w:tc>
        <w:tc>
          <w:tcPr>
            <w:tcW w:w="1710" w:type="dxa"/>
            <w:tcBorders>
              <w:top w:val="nil"/>
              <w:left w:val="nil"/>
              <w:right w:val="nil"/>
            </w:tcBorders>
            <w:vAlign w:val="bottom"/>
          </w:tcPr>
          <w:p w14:paraId="10F097DF" w14:textId="5C88DF92" w:rsidR="007C489F" w:rsidRPr="00F777CB" w:rsidRDefault="007C489F" w:rsidP="00656716">
            <w:pPr>
              <w:ind w:left="-1950" w:right="38" w:firstLine="1950"/>
              <w:jc w:val="right"/>
              <w:rPr>
                <w:b/>
                <w:bCs/>
                <w:sz w:val="22"/>
                <w:szCs w:val="22"/>
              </w:rPr>
            </w:pPr>
            <w:r w:rsidRPr="00F777CB">
              <w:rPr>
                <w:b/>
                <w:bCs/>
                <w:sz w:val="22"/>
                <w:szCs w:val="22"/>
              </w:rPr>
              <w:t>£</w:t>
            </w:r>
          </w:p>
        </w:tc>
        <w:tc>
          <w:tcPr>
            <w:tcW w:w="1266" w:type="dxa"/>
            <w:tcBorders>
              <w:top w:val="nil"/>
              <w:left w:val="nil"/>
              <w:right w:val="nil"/>
            </w:tcBorders>
            <w:vAlign w:val="bottom"/>
          </w:tcPr>
          <w:p w14:paraId="208F48B8" w14:textId="5EEB855A" w:rsidR="007C489F" w:rsidRPr="00F777CB" w:rsidRDefault="007C489F" w:rsidP="00656716">
            <w:pPr>
              <w:ind w:left="-1950" w:right="38" w:firstLine="1950"/>
              <w:jc w:val="right"/>
              <w:rPr>
                <w:b/>
                <w:bCs/>
                <w:sz w:val="22"/>
                <w:szCs w:val="22"/>
              </w:rPr>
            </w:pPr>
            <w:r w:rsidRPr="00F777CB">
              <w:rPr>
                <w:b/>
                <w:bCs/>
                <w:sz w:val="22"/>
                <w:szCs w:val="22"/>
              </w:rPr>
              <w:t>£</w:t>
            </w:r>
          </w:p>
        </w:tc>
        <w:tc>
          <w:tcPr>
            <w:tcW w:w="1276" w:type="dxa"/>
            <w:tcBorders>
              <w:top w:val="nil"/>
              <w:left w:val="nil"/>
              <w:right w:val="nil"/>
            </w:tcBorders>
            <w:vAlign w:val="bottom"/>
          </w:tcPr>
          <w:p w14:paraId="3B8CF622" w14:textId="01732B65" w:rsidR="007C489F" w:rsidRPr="00F777CB" w:rsidRDefault="007C489F" w:rsidP="00656716">
            <w:pPr>
              <w:ind w:right="38"/>
              <w:jc w:val="right"/>
              <w:rPr>
                <w:b/>
                <w:bCs/>
                <w:sz w:val="22"/>
                <w:szCs w:val="22"/>
              </w:rPr>
            </w:pPr>
            <w:r w:rsidRPr="00F777CB">
              <w:rPr>
                <w:b/>
                <w:bCs/>
                <w:sz w:val="22"/>
                <w:szCs w:val="22"/>
              </w:rPr>
              <w:t>£</w:t>
            </w:r>
          </w:p>
        </w:tc>
        <w:tc>
          <w:tcPr>
            <w:tcW w:w="1248" w:type="dxa"/>
            <w:tcBorders>
              <w:top w:val="nil"/>
              <w:left w:val="nil"/>
              <w:right w:val="nil"/>
            </w:tcBorders>
            <w:noWrap/>
            <w:tcMar>
              <w:top w:w="15" w:type="dxa"/>
              <w:left w:w="15" w:type="dxa"/>
              <w:bottom w:w="0" w:type="dxa"/>
              <w:right w:w="15" w:type="dxa"/>
            </w:tcMar>
            <w:vAlign w:val="bottom"/>
          </w:tcPr>
          <w:p w14:paraId="29CB55BD" w14:textId="77777777" w:rsidR="007C489F" w:rsidRPr="00F777CB" w:rsidRDefault="007C489F" w:rsidP="00656716">
            <w:pPr>
              <w:ind w:right="38"/>
              <w:jc w:val="right"/>
              <w:rPr>
                <w:rFonts w:eastAsia="Arial Unicode MS"/>
                <w:b/>
                <w:bCs/>
                <w:sz w:val="22"/>
                <w:szCs w:val="22"/>
              </w:rPr>
            </w:pPr>
            <w:r w:rsidRPr="00F777CB">
              <w:rPr>
                <w:b/>
                <w:bCs/>
                <w:sz w:val="22"/>
                <w:szCs w:val="22"/>
              </w:rPr>
              <w:t>£</w:t>
            </w:r>
          </w:p>
        </w:tc>
        <w:tc>
          <w:tcPr>
            <w:tcW w:w="1710" w:type="dxa"/>
            <w:tcBorders>
              <w:top w:val="nil"/>
              <w:left w:val="nil"/>
              <w:right w:val="nil"/>
            </w:tcBorders>
            <w:noWrap/>
            <w:tcMar>
              <w:top w:w="15" w:type="dxa"/>
              <w:left w:w="15" w:type="dxa"/>
              <w:bottom w:w="0" w:type="dxa"/>
              <w:right w:w="15" w:type="dxa"/>
            </w:tcMar>
            <w:vAlign w:val="bottom"/>
          </w:tcPr>
          <w:p w14:paraId="78A4EFE6" w14:textId="77777777" w:rsidR="007C489F" w:rsidRPr="00F777CB" w:rsidRDefault="007C489F" w:rsidP="00656716">
            <w:pPr>
              <w:ind w:right="69"/>
              <w:jc w:val="right"/>
              <w:rPr>
                <w:rFonts w:eastAsia="Arial Unicode MS"/>
                <w:b/>
                <w:bCs/>
                <w:sz w:val="22"/>
                <w:szCs w:val="22"/>
              </w:rPr>
            </w:pPr>
            <w:r w:rsidRPr="00F777CB">
              <w:rPr>
                <w:b/>
                <w:bCs/>
                <w:sz w:val="22"/>
                <w:szCs w:val="22"/>
              </w:rPr>
              <w:t>£</w:t>
            </w:r>
          </w:p>
        </w:tc>
      </w:tr>
      <w:tr w:rsidR="007C489F" w:rsidRPr="00F777CB" w14:paraId="3005B41B"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563E43A3" w14:textId="6219268E" w:rsidR="007C489F" w:rsidRPr="00F777CB" w:rsidRDefault="007C489F" w:rsidP="007C489F">
            <w:pPr>
              <w:rPr>
                <w:rFonts w:eastAsia="Arial Unicode MS"/>
                <w:sz w:val="22"/>
                <w:szCs w:val="22"/>
              </w:rPr>
            </w:pPr>
            <w:r w:rsidRPr="00F777CB">
              <w:rPr>
                <w:sz w:val="22"/>
                <w:szCs w:val="22"/>
              </w:rPr>
              <w:t xml:space="preserve">At </w:t>
            </w:r>
            <w:r w:rsidR="00AA39A9">
              <w:rPr>
                <w:sz w:val="22"/>
                <w:szCs w:val="22"/>
              </w:rPr>
              <w:t>28 February 2019</w:t>
            </w:r>
          </w:p>
        </w:tc>
        <w:tc>
          <w:tcPr>
            <w:tcW w:w="1710" w:type="dxa"/>
            <w:tcBorders>
              <w:left w:val="nil"/>
              <w:right w:val="nil"/>
            </w:tcBorders>
            <w:vAlign w:val="bottom"/>
          </w:tcPr>
          <w:p w14:paraId="696B19EF" w14:textId="5B152502" w:rsidR="007C489F" w:rsidRPr="00EF3C75" w:rsidRDefault="00AA39A9" w:rsidP="00656716">
            <w:pPr>
              <w:ind w:left="-1950" w:right="38" w:firstLine="1950"/>
              <w:jc w:val="right"/>
              <w:rPr>
                <w:sz w:val="22"/>
                <w:szCs w:val="22"/>
              </w:rPr>
            </w:pPr>
            <w:r w:rsidRPr="00EF3C75">
              <w:rPr>
                <w:sz w:val="22"/>
                <w:szCs w:val="22"/>
              </w:rPr>
              <w:t>107,800</w:t>
            </w:r>
          </w:p>
        </w:tc>
        <w:tc>
          <w:tcPr>
            <w:tcW w:w="1266" w:type="dxa"/>
            <w:tcBorders>
              <w:left w:val="nil"/>
              <w:right w:val="nil"/>
            </w:tcBorders>
            <w:vAlign w:val="bottom"/>
          </w:tcPr>
          <w:p w14:paraId="068931A7" w14:textId="4DC66C24" w:rsidR="007C489F" w:rsidRPr="004248E6" w:rsidRDefault="00AA39A9" w:rsidP="00E34C09">
            <w:pPr>
              <w:ind w:left="-1950" w:right="38" w:firstLine="1950"/>
              <w:jc w:val="right"/>
              <w:rPr>
                <w:sz w:val="22"/>
                <w:szCs w:val="22"/>
              </w:rPr>
            </w:pPr>
            <w:r w:rsidRPr="004248E6">
              <w:rPr>
                <w:sz w:val="22"/>
                <w:szCs w:val="22"/>
              </w:rPr>
              <w:t>168,919</w:t>
            </w:r>
          </w:p>
        </w:tc>
        <w:tc>
          <w:tcPr>
            <w:tcW w:w="1276" w:type="dxa"/>
            <w:tcBorders>
              <w:left w:val="nil"/>
              <w:right w:val="nil"/>
            </w:tcBorders>
            <w:vAlign w:val="bottom"/>
          </w:tcPr>
          <w:p w14:paraId="2DB59EE1" w14:textId="0269C773" w:rsidR="007C489F" w:rsidRPr="004248E6" w:rsidRDefault="00AA39A9" w:rsidP="00420155">
            <w:pPr>
              <w:ind w:right="38"/>
              <w:jc w:val="right"/>
              <w:rPr>
                <w:sz w:val="22"/>
                <w:szCs w:val="22"/>
              </w:rPr>
            </w:pPr>
            <w:r w:rsidRPr="004248E6">
              <w:rPr>
                <w:sz w:val="22"/>
                <w:szCs w:val="22"/>
              </w:rPr>
              <w:t>584,369</w:t>
            </w:r>
          </w:p>
        </w:tc>
        <w:tc>
          <w:tcPr>
            <w:tcW w:w="1248" w:type="dxa"/>
            <w:tcBorders>
              <w:left w:val="nil"/>
              <w:right w:val="nil"/>
            </w:tcBorders>
            <w:noWrap/>
            <w:tcMar>
              <w:top w:w="15" w:type="dxa"/>
              <w:left w:w="15" w:type="dxa"/>
              <w:bottom w:w="0" w:type="dxa"/>
              <w:right w:w="15" w:type="dxa"/>
            </w:tcMar>
            <w:vAlign w:val="bottom"/>
          </w:tcPr>
          <w:p w14:paraId="2B9CEF56" w14:textId="7A2E9EDD" w:rsidR="007C489F" w:rsidRPr="004248E6" w:rsidRDefault="00C57C9F" w:rsidP="00420155">
            <w:pPr>
              <w:ind w:right="38"/>
              <w:jc w:val="right"/>
              <w:rPr>
                <w:rFonts w:eastAsia="Arial Unicode MS"/>
                <w:sz w:val="22"/>
                <w:szCs w:val="22"/>
              </w:rPr>
            </w:pPr>
            <w:r w:rsidRPr="004248E6">
              <w:rPr>
                <w:sz w:val="22"/>
                <w:szCs w:val="22"/>
              </w:rPr>
              <w:t>6,281</w:t>
            </w:r>
          </w:p>
        </w:tc>
        <w:tc>
          <w:tcPr>
            <w:tcW w:w="1710" w:type="dxa"/>
            <w:tcBorders>
              <w:left w:val="nil"/>
              <w:right w:val="nil"/>
            </w:tcBorders>
            <w:noWrap/>
            <w:tcMar>
              <w:top w:w="15" w:type="dxa"/>
              <w:left w:w="15" w:type="dxa"/>
              <w:bottom w:w="0" w:type="dxa"/>
              <w:right w:w="15" w:type="dxa"/>
            </w:tcMar>
            <w:vAlign w:val="bottom"/>
          </w:tcPr>
          <w:p w14:paraId="3E9688AA" w14:textId="2D525468" w:rsidR="007C489F" w:rsidRPr="00826D44" w:rsidRDefault="00C57C9F" w:rsidP="00420155">
            <w:pPr>
              <w:ind w:right="69"/>
              <w:jc w:val="right"/>
              <w:rPr>
                <w:rFonts w:eastAsia="Arial Unicode MS"/>
                <w:sz w:val="22"/>
                <w:szCs w:val="22"/>
              </w:rPr>
            </w:pPr>
            <w:r>
              <w:rPr>
                <w:sz w:val="22"/>
                <w:szCs w:val="22"/>
              </w:rPr>
              <w:t>867,369</w:t>
            </w:r>
          </w:p>
        </w:tc>
      </w:tr>
      <w:tr w:rsidR="007C489F" w:rsidRPr="00F777CB" w14:paraId="1B7ADB02"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65DB3B2F" w14:textId="77777777" w:rsidR="007C489F" w:rsidRPr="00F777CB" w:rsidRDefault="007C489F" w:rsidP="007C489F">
            <w:pPr>
              <w:rPr>
                <w:rFonts w:eastAsia="Arial Unicode MS"/>
                <w:sz w:val="22"/>
                <w:szCs w:val="22"/>
              </w:rPr>
            </w:pPr>
            <w:r w:rsidRPr="00F777CB">
              <w:rPr>
                <w:sz w:val="22"/>
                <w:szCs w:val="22"/>
              </w:rPr>
              <w:t>Additions</w:t>
            </w:r>
          </w:p>
        </w:tc>
        <w:tc>
          <w:tcPr>
            <w:tcW w:w="1710" w:type="dxa"/>
            <w:tcBorders>
              <w:left w:val="nil"/>
              <w:right w:val="nil"/>
            </w:tcBorders>
            <w:vAlign w:val="bottom"/>
          </w:tcPr>
          <w:p w14:paraId="33E35FB0" w14:textId="41DC0BB6" w:rsidR="007C489F" w:rsidRPr="00EF3C75" w:rsidRDefault="00AA39A9" w:rsidP="00656716">
            <w:pPr>
              <w:ind w:left="-1950" w:right="38" w:firstLine="1950"/>
              <w:jc w:val="right"/>
              <w:rPr>
                <w:sz w:val="22"/>
                <w:szCs w:val="22"/>
              </w:rPr>
            </w:pPr>
            <w:r w:rsidRPr="00EF3C75">
              <w:rPr>
                <w:sz w:val="22"/>
                <w:szCs w:val="22"/>
              </w:rPr>
              <w:t>25,000</w:t>
            </w:r>
          </w:p>
        </w:tc>
        <w:tc>
          <w:tcPr>
            <w:tcW w:w="1266" w:type="dxa"/>
            <w:tcBorders>
              <w:left w:val="nil"/>
              <w:right w:val="nil"/>
            </w:tcBorders>
            <w:vAlign w:val="bottom"/>
          </w:tcPr>
          <w:p w14:paraId="08C38516" w14:textId="38637D94" w:rsidR="007C489F" w:rsidRPr="004248E6" w:rsidRDefault="00AA39A9" w:rsidP="00E34C09">
            <w:pPr>
              <w:ind w:left="-1950" w:right="38" w:firstLine="1950"/>
              <w:jc w:val="right"/>
              <w:rPr>
                <w:sz w:val="22"/>
                <w:szCs w:val="22"/>
              </w:rPr>
            </w:pPr>
            <w:r w:rsidRPr="004248E6">
              <w:rPr>
                <w:sz w:val="22"/>
                <w:szCs w:val="22"/>
              </w:rPr>
              <w:t>13,845</w:t>
            </w:r>
          </w:p>
        </w:tc>
        <w:tc>
          <w:tcPr>
            <w:tcW w:w="1276" w:type="dxa"/>
            <w:tcBorders>
              <w:left w:val="nil"/>
              <w:right w:val="nil"/>
            </w:tcBorders>
            <w:vAlign w:val="bottom"/>
          </w:tcPr>
          <w:p w14:paraId="267A6FF0" w14:textId="057F5EF0" w:rsidR="007C489F" w:rsidRPr="004248E6" w:rsidRDefault="00AA39A9" w:rsidP="00420155">
            <w:pPr>
              <w:ind w:right="38"/>
              <w:jc w:val="right"/>
              <w:rPr>
                <w:sz w:val="22"/>
                <w:szCs w:val="22"/>
              </w:rPr>
            </w:pPr>
            <w:r w:rsidRPr="004248E6">
              <w:rPr>
                <w:sz w:val="22"/>
                <w:szCs w:val="22"/>
              </w:rPr>
              <w:t>-</w:t>
            </w:r>
          </w:p>
        </w:tc>
        <w:tc>
          <w:tcPr>
            <w:tcW w:w="1248" w:type="dxa"/>
            <w:tcBorders>
              <w:left w:val="nil"/>
              <w:right w:val="nil"/>
            </w:tcBorders>
            <w:noWrap/>
            <w:tcMar>
              <w:top w:w="15" w:type="dxa"/>
              <w:left w:w="15" w:type="dxa"/>
              <w:bottom w:w="0" w:type="dxa"/>
              <w:right w:w="15" w:type="dxa"/>
            </w:tcMar>
            <w:vAlign w:val="bottom"/>
          </w:tcPr>
          <w:p w14:paraId="42251950" w14:textId="16345775" w:rsidR="007C489F" w:rsidRPr="004248E6" w:rsidRDefault="00C57C9F" w:rsidP="00420155">
            <w:pPr>
              <w:ind w:right="38"/>
              <w:jc w:val="right"/>
              <w:rPr>
                <w:rFonts w:eastAsia="Arial Unicode MS"/>
                <w:sz w:val="22"/>
                <w:szCs w:val="22"/>
              </w:rPr>
            </w:pPr>
            <w:r w:rsidRPr="004248E6">
              <w:rPr>
                <w:sz w:val="22"/>
                <w:szCs w:val="22"/>
              </w:rPr>
              <w:t>54,523</w:t>
            </w:r>
          </w:p>
        </w:tc>
        <w:tc>
          <w:tcPr>
            <w:tcW w:w="1710" w:type="dxa"/>
            <w:tcBorders>
              <w:left w:val="nil"/>
              <w:right w:val="nil"/>
            </w:tcBorders>
            <w:noWrap/>
            <w:tcMar>
              <w:top w:w="15" w:type="dxa"/>
              <w:left w:w="15" w:type="dxa"/>
              <w:bottom w:w="0" w:type="dxa"/>
              <w:right w:w="15" w:type="dxa"/>
            </w:tcMar>
            <w:vAlign w:val="bottom"/>
          </w:tcPr>
          <w:p w14:paraId="2448E4B6" w14:textId="66D67755" w:rsidR="007C489F" w:rsidRPr="00826D44" w:rsidRDefault="00C57C9F" w:rsidP="00420155">
            <w:pPr>
              <w:ind w:right="69"/>
              <w:jc w:val="right"/>
              <w:rPr>
                <w:rFonts w:eastAsia="Arial Unicode MS"/>
                <w:sz w:val="22"/>
                <w:szCs w:val="22"/>
              </w:rPr>
            </w:pPr>
            <w:r>
              <w:rPr>
                <w:sz w:val="22"/>
                <w:szCs w:val="22"/>
              </w:rPr>
              <w:t>93,368</w:t>
            </w:r>
          </w:p>
        </w:tc>
      </w:tr>
      <w:tr w:rsidR="00AD6C2C" w:rsidRPr="00F777CB" w14:paraId="020EA11D"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34D9D4C6" w14:textId="119061E9" w:rsidR="00AD6C2C" w:rsidRDefault="00AD6C2C" w:rsidP="007C489F">
            <w:pPr>
              <w:rPr>
                <w:sz w:val="22"/>
                <w:szCs w:val="22"/>
              </w:rPr>
            </w:pPr>
            <w:r>
              <w:rPr>
                <w:sz w:val="22"/>
                <w:szCs w:val="22"/>
              </w:rPr>
              <w:t>Disposals</w:t>
            </w:r>
          </w:p>
        </w:tc>
        <w:tc>
          <w:tcPr>
            <w:tcW w:w="1710" w:type="dxa"/>
            <w:tcBorders>
              <w:left w:val="nil"/>
              <w:right w:val="nil"/>
            </w:tcBorders>
            <w:vAlign w:val="bottom"/>
          </w:tcPr>
          <w:p w14:paraId="23C47F95" w14:textId="7A524B1F" w:rsidR="00AD6C2C" w:rsidRPr="002F62EA" w:rsidRDefault="00AD6C2C" w:rsidP="00656716">
            <w:pPr>
              <w:ind w:left="-1950" w:right="38" w:firstLine="1950"/>
              <w:jc w:val="right"/>
              <w:rPr>
                <w:sz w:val="22"/>
                <w:szCs w:val="22"/>
              </w:rPr>
            </w:pPr>
            <w:r w:rsidRPr="00EF3C75">
              <w:rPr>
                <w:sz w:val="22"/>
                <w:szCs w:val="22"/>
              </w:rPr>
              <w:t>(</w:t>
            </w:r>
            <w:r w:rsidR="00AA39A9" w:rsidRPr="00EF3C75">
              <w:rPr>
                <w:sz w:val="22"/>
                <w:szCs w:val="22"/>
              </w:rPr>
              <w:t>55,717</w:t>
            </w:r>
            <w:r w:rsidRPr="002F62EA">
              <w:rPr>
                <w:sz w:val="22"/>
                <w:szCs w:val="22"/>
              </w:rPr>
              <w:t>)</w:t>
            </w:r>
          </w:p>
        </w:tc>
        <w:tc>
          <w:tcPr>
            <w:tcW w:w="1266" w:type="dxa"/>
            <w:tcBorders>
              <w:left w:val="nil"/>
              <w:right w:val="nil"/>
            </w:tcBorders>
            <w:vAlign w:val="bottom"/>
          </w:tcPr>
          <w:p w14:paraId="445F2DD4" w14:textId="2DB31D24" w:rsidR="00AD6C2C" w:rsidRPr="004248E6" w:rsidRDefault="00ED67F5" w:rsidP="00E34C09">
            <w:pPr>
              <w:ind w:left="-1950" w:right="38" w:firstLine="1950"/>
              <w:jc w:val="right"/>
              <w:rPr>
                <w:sz w:val="22"/>
                <w:szCs w:val="22"/>
              </w:rPr>
            </w:pPr>
            <w:r>
              <w:rPr>
                <w:sz w:val="22"/>
                <w:szCs w:val="22"/>
              </w:rPr>
              <w:t>-</w:t>
            </w:r>
          </w:p>
        </w:tc>
        <w:tc>
          <w:tcPr>
            <w:tcW w:w="1276" w:type="dxa"/>
            <w:tcBorders>
              <w:left w:val="nil"/>
              <w:right w:val="nil"/>
            </w:tcBorders>
            <w:vAlign w:val="bottom"/>
          </w:tcPr>
          <w:p w14:paraId="126DE86C" w14:textId="66EBAFD4" w:rsidR="00AD6C2C" w:rsidRPr="004248E6" w:rsidRDefault="00ED67F5" w:rsidP="00420155">
            <w:pPr>
              <w:ind w:right="38"/>
              <w:jc w:val="right"/>
              <w:rPr>
                <w:sz w:val="22"/>
                <w:szCs w:val="22"/>
              </w:rPr>
            </w:pPr>
            <w:r>
              <w:rPr>
                <w:sz w:val="22"/>
                <w:szCs w:val="22"/>
              </w:rPr>
              <w:t>-</w:t>
            </w:r>
          </w:p>
        </w:tc>
        <w:tc>
          <w:tcPr>
            <w:tcW w:w="1248" w:type="dxa"/>
            <w:tcBorders>
              <w:left w:val="nil"/>
              <w:right w:val="nil"/>
            </w:tcBorders>
            <w:noWrap/>
            <w:tcMar>
              <w:top w:w="15" w:type="dxa"/>
              <w:left w:w="15" w:type="dxa"/>
              <w:bottom w:w="0" w:type="dxa"/>
              <w:right w:w="15" w:type="dxa"/>
            </w:tcMar>
            <w:vAlign w:val="bottom"/>
          </w:tcPr>
          <w:p w14:paraId="1D7A38E0" w14:textId="779538F7" w:rsidR="00AD6C2C" w:rsidRPr="004248E6" w:rsidRDefault="00ED67F5" w:rsidP="00420155">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74E4A158" w14:textId="32B74B99" w:rsidR="00AD6C2C" w:rsidRDefault="00AD6C2C" w:rsidP="00420155">
            <w:pPr>
              <w:ind w:right="69"/>
              <w:jc w:val="right"/>
              <w:rPr>
                <w:sz w:val="22"/>
                <w:szCs w:val="22"/>
              </w:rPr>
            </w:pPr>
            <w:r>
              <w:rPr>
                <w:sz w:val="22"/>
                <w:szCs w:val="22"/>
              </w:rPr>
              <w:t>(</w:t>
            </w:r>
            <w:r w:rsidR="00ED67F5">
              <w:rPr>
                <w:sz w:val="22"/>
                <w:szCs w:val="22"/>
              </w:rPr>
              <w:t>55,717</w:t>
            </w:r>
            <w:r>
              <w:rPr>
                <w:sz w:val="22"/>
                <w:szCs w:val="22"/>
              </w:rPr>
              <w:t>)</w:t>
            </w:r>
          </w:p>
        </w:tc>
      </w:tr>
      <w:tr w:rsidR="007C489F" w:rsidRPr="00F777CB" w14:paraId="56502247" w14:textId="77777777" w:rsidTr="00B47A77">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2156F7BD" w14:textId="1002D305" w:rsidR="007C489F" w:rsidRPr="00F777CB" w:rsidRDefault="007C489F" w:rsidP="007C489F">
            <w:pPr>
              <w:rPr>
                <w:sz w:val="22"/>
                <w:szCs w:val="22"/>
              </w:rPr>
            </w:pPr>
            <w:r>
              <w:rPr>
                <w:sz w:val="22"/>
                <w:szCs w:val="22"/>
              </w:rPr>
              <w:t>Impairment</w:t>
            </w:r>
          </w:p>
        </w:tc>
        <w:tc>
          <w:tcPr>
            <w:tcW w:w="1710" w:type="dxa"/>
            <w:tcBorders>
              <w:left w:val="nil"/>
              <w:bottom w:val="single" w:sz="4" w:space="0" w:color="auto"/>
              <w:right w:val="nil"/>
            </w:tcBorders>
            <w:vAlign w:val="bottom"/>
          </w:tcPr>
          <w:p w14:paraId="7A9A08B8" w14:textId="44701DAC" w:rsidR="007C489F" w:rsidRPr="00EF3C75" w:rsidRDefault="00AA39A9" w:rsidP="00656716">
            <w:pPr>
              <w:ind w:left="-1950" w:right="38" w:firstLine="1950"/>
              <w:jc w:val="right"/>
              <w:rPr>
                <w:sz w:val="22"/>
                <w:szCs w:val="22"/>
              </w:rPr>
            </w:pPr>
            <w:r w:rsidRPr="00EF3C75">
              <w:rPr>
                <w:sz w:val="22"/>
                <w:szCs w:val="22"/>
              </w:rPr>
              <w:t>6,250</w:t>
            </w:r>
          </w:p>
        </w:tc>
        <w:tc>
          <w:tcPr>
            <w:tcW w:w="1266" w:type="dxa"/>
            <w:tcBorders>
              <w:left w:val="nil"/>
              <w:bottom w:val="single" w:sz="4" w:space="0" w:color="auto"/>
              <w:right w:val="nil"/>
            </w:tcBorders>
            <w:vAlign w:val="bottom"/>
          </w:tcPr>
          <w:p w14:paraId="54DDB337" w14:textId="0784FE4B" w:rsidR="007C489F" w:rsidRPr="004248E6" w:rsidRDefault="00BC0FDF" w:rsidP="00E34C09">
            <w:pPr>
              <w:ind w:left="-1950" w:right="38" w:firstLine="1950"/>
              <w:jc w:val="right"/>
              <w:rPr>
                <w:sz w:val="22"/>
                <w:szCs w:val="22"/>
              </w:rPr>
            </w:pPr>
            <w:r>
              <w:rPr>
                <w:sz w:val="22"/>
                <w:szCs w:val="22"/>
              </w:rPr>
              <w:t>(51,097)</w:t>
            </w:r>
          </w:p>
        </w:tc>
        <w:tc>
          <w:tcPr>
            <w:tcW w:w="1276" w:type="dxa"/>
            <w:tcBorders>
              <w:left w:val="nil"/>
              <w:bottom w:val="single" w:sz="4" w:space="0" w:color="auto"/>
              <w:right w:val="nil"/>
            </w:tcBorders>
            <w:vAlign w:val="bottom"/>
          </w:tcPr>
          <w:p w14:paraId="206ADC1D" w14:textId="141C4A5B" w:rsidR="007C489F" w:rsidRPr="004248E6" w:rsidRDefault="00BC0FDF" w:rsidP="00420155">
            <w:pPr>
              <w:ind w:right="38"/>
              <w:jc w:val="right"/>
              <w:rPr>
                <w:sz w:val="22"/>
                <w:szCs w:val="22"/>
              </w:rPr>
            </w:pPr>
            <w:r>
              <w:rPr>
                <w:sz w:val="22"/>
                <w:szCs w:val="22"/>
              </w:rPr>
              <w:t>(1,320)</w:t>
            </w:r>
          </w:p>
        </w:tc>
        <w:tc>
          <w:tcPr>
            <w:tcW w:w="1248" w:type="dxa"/>
            <w:tcBorders>
              <w:left w:val="nil"/>
              <w:bottom w:val="single" w:sz="4" w:space="0" w:color="auto"/>
              <w:right w:val="nil"/>
            </w:tcBorders>
            <w:noWrap/>
            <w:tcMar>
              <w:top w:w="15" w:type="dxa"/>
              <w:left w:w="15" w:type="dxa"/>
              <w:bottom w:w="0" w:type="dxa"/>
              <w:right w:w="15" w:type="dxa"/>
            </w:tcMar>
            <w:vAlign w:val="bottom"/>
          </w:tcPr>
          <w:p w14:paraId="3E8AFED4" w14:textId="1C5D46FF" w:rsidR="007C489F" w:rsidRPr="004248E6" w:rsidRDefault="00BC0FDF" w:rsidP="00420155">
            <w:pPr>
              <w:ind w:right="38"/>
              <w:jc w:val="right"/>
              <w:rPr>
                <w:sz w:val="22"/>
                <w:szCs w:val="22"/>
              </w:rPr>
            </w:pPr>
            <w:r>
              <w:rPr>
                <w:sz w:val="22"/>
                <w:szCs w:val="22"/>
              </w:rPr>
              <w:t>(12,511</w:t>
            </w:r>
            <w:r w:rsidR="00ED67F5">
              <w:rPr>
                <w:sz w:val="22"/>
                <w:szCs w:val="22"/>
              </w:rPr>
              <w:t>)</w:t>
            </w:r>
          </w:p>
        </w:tc>
        <w:tc>
          <w:tcPr>
            <w:tcW w:w="1710" w:type="dxa"/>
            <w:tcBorders>
              <w:left w:val="nil"/>
              <w:bottom w:val="single" w:sz="4" w:space="0" w:color="auto"/>
              <w:right w:val="nil"/>
            </w:tcBorders>
            <w:noWrap/>
            <w:tcMar>
              <w:top w:w="15" w:type="dxa"/>
              <w:left w:w="15" w:type="dxa"/>
              <w:bottom w:w="0" w:type="dxa"/>
              <w:right w:w="15" w:type="dxa"/>
            </w:tcMar>
            <w:vAlign w:val="bottom"/>
          </w:tcPr>
          <w:p w14:paraId="755EF0FD" w14:textId="17A1E283" w:rsidR="007C489F" w:rsidRPr="00826D44" w:rsidRDefault="00ED67F5" w:rsidP="00420155">
            <w:pPr>
              <w:ind w:right="69"/>
              <w:jc w:val="right"/>
              <w:rPr>
                <w:sz w:val="22"/>
                <w:szCs w:val="22"/>
              </w:rPr>
            </w:pPr>
            <w:r>
              <w:rPr>
                <w:sz w:val="22"/>
                <w:szCs w:val="22"/>
              </w:rPr>
              <w:t>(58,678)</w:t>
            </w:r>
          </w:p>
        </w:tc>
      </w:tr>
      <w:tr w:rsidR="007C489F" w:rsidRPr="00F777CB" w14:paraId="08F1EAA8" w14:textId="77777777" w:rsidTr="00B47A77">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5B3FEE1C" w14:textId="397543E4" w:rsidR="007C489F" w:rsidRPr="00F777CB" w:rsidRDefault="007C489F" w:rsidP="007C489F">
            <w:pPr>
              <w:rPr>
                <w:rFonts w:eastAsia="Arial Unicode MS"/>
                <w:sz w:val="22"/>
                <w:szCs w:val="22"/>
              </w:rPr>
            </w:pPr>
            <w:r>
              <w:rPr>
                <w:sz w:val="22"/>
                <w:szCs w:val="22"/>
              </w:rPr>
              <w:t xml:space="preserve">At </w:t>
            </w:r>
            <w:r w:rsidR="00AA39A9">
              <w:rPr>
                <w:sz w:val="22"/>
                <w:szCs w:val="22"/>
              </w:rPr>
              <w:t>31 December</w:t>
            </w:r>
            <w:r>
              <w:rPr>
                <w:sz w:val="22"/>
                <w:szCs w:val="22"/>
              </w:rPr>
              <w:t xml:space="preserve"> 201</w:t>
            </w:r>
            <w:r w:rsidR="00AD6C2C">
              <w:rPr>
                <w:sz w:val="22"/>
                <w:szCs w:val="22"/>
              </w:rPr>
              <w:t>9</w:t>
            </w:r>
          </w:p>
        </w:tc>
        <w:tc>
          <w:tcPr>
            <w:tcW w:w="1710" w:type="dxa"/>
            <w:tcBorders>
              <w:top w:val="single" w:sz="4" w:space="0" w:color="auto"/>
              <w:left w:val="nil"/>
              <w:bottom w:val="single" w:sz="4" w:space="0" w:color="auto"/>
              <w:right w:val="nil"/>
            </w:tcBorders>
            <w:vAlign w:val="bottom"/>
          </w:tcPr>
          <w:p w14:paraId="70065DA8" w14:textId="13A4E045" w:rsidR="007C489F" w:rsidRPr="00EF3C75" w:rsidRDefault="00AA39A9" w:rsidP="00656716">
            <w:pPr>
              <w:ind w:left="-1950" w:right="38" w:firstLine="1950"/>
              <w:jc w:val="right"/>
              <w:rPr>
                <w:sz w:val="22"/>
                <w:szCs w:val="22"/>
              </w:rPr>
            </w:pPr>
            <w:r w:rsidRPr="00EF3C75">
              <w:rPr>
                <w:sz w:val="22"/>
                <w:szCs w:val="22"/>
              </w:rPr>
              <w:t>83,333</w:t>
            </w:r>
          </w:p>
        </w:tc>
        <w:tc>
          <w:tcPr>
            <w:tcW w:w="1266" w:type="dxa"/>
            <w:tcBorders>
              <w:top w:val="single" w:sz="4" w:space="0" w:color="auto"/>
              <w:left w:val="nil"/>
              <w:bottom w:val="single" w:sz="4" w:space="0" w:color="auto"/>
              <w:right w:val="nil"/>
            </w:tcBorders>
            <w:vAlign w:val="bottom"/>
          </w:tcPr>
          <w:p w14:paraId="70E25FAA" w14:textId="1C53D03E" w:rsidR="007C489F" w:rsidRPr="004248E6" w:rsidRDefault="00AA39A9" w:rsidP="00E34C09">
            <w:pPr>
              <w:ind w:left="-1950" w:right="38" w:firstLine="1950"/>
              <w:jc w:val="right"/>
              <w:rPr>
                <w:sz w:val="22"/>
                <w:szCs w:val="22"/>
              </w:rPr>
            </w:pPr>
            <w:r w:rsidRPr="004248E6">
              <w:rPr>
                <w:sz w:val="22"/>
                <w:szCs w:val="22"/>
              </w:rPr>
              <w:t>131,667</w:t>
            </w:r>
          </w:p>
        </w:tc>
        <w:tc>
          <w:tcPr>
            <w:tcW w:w="1276" w:type="dxa"/>
            <w:tcBorders>
              <w:top w:val="single" w:sz="4" w:space="0" w:color="auto"/>
              <w:left w:val="nil"/>
              <w:bottom w:val="single" w:sz="4" w:space="0" w:color="auto"/>
              <w:right w:val="nil"/>
            </w:tcBorders>
            <w:vAlign w:val="bottom"/>
          </w:tcPr>
          <w:p w14:paraId="3E9E8CBA" w14:textId="2F154B57" w:rsidR="007C489F" w:rsidRPr="004248E6" w:rsidRDefault="00AA39A9" w:rsidP="00420155">
            <w:pPr>
              <w:ind w:right="38"/>
              <w:jc w:val="right"/>
              <w:rPr>
                <w:sz w:val="22"/>
                <w:szCs w:val="22"/>
              </w:rPr>
            </w:pPr>
            <w:r w:rsidRPr="004248E6">
              <w:rPr>
                <w:sz w:val="22"/>
                <w:szCs w:val="22"/>
              </w:rPr>
              <w:t>583,049</w:t>
            </w:r>
          </w:p>
        </w:tc>
        <w:tc>
          <w:tcPr>
            <w:tcW w:w="124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3898C44" w14:textId="30CEBD24" w:rsidR="007C489F" w:rsidRPr="004248E6" w:rsidRDefault="00C57C9F" w:rsidP="00420155">
            <w:pPr>
              <w:ind w:right="38"/>
              <w:jc w:val="right"/>
              <w:rPr>
                <w:rFonts w:eastAsia="Arial Unicode MS"/>
                <w:sz w:val="22"/>
                <w:szCs w:val="22"/>
              </w:rPr>
            </w:pPr>
            <w:r w:rsidRPr="004248E6">
              <w:rPr>
                <w:sz w:val="22"/>
                <w:szCs w:val="22"/>
              </w:rPr>
              <w:t>48,293</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ED6FE98" w14:textId="47606AFE" w:rsidR="007C489F" w:rsidRPr="00826D44" w:rsidRDefault="00C57C9F" w:rsidP="00420155">
            <w:pPr>
              <w:ind w:right="69"/>
              <w:jc w:val="right"/>
              <w:rPr>
                <w:rFonts w:eastAsia="Arial Unicode MS"/>
                <w:sz w:val="22"/>
                <w:szCs w:val="22"/>
              </w:rPr>
            </w:pPr>
            <w:r>
              <w:rPr>
                <w:sz w:val="22"/>
                <w:szCs w:val="22"/>
              </w:rPr>
              <w:t>846,342</w:t>
            </w:r>
          </w:p>
        </w:tc>
      </w:tr>
      <w:tr w:rsidR="007C489F" w:rsidRPr="00F777CB" w14:paraId="395C6D67" w14:textId="77777777" w:rsidTr="00B47A77">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43C3F5EA" w14:textId="77777777" w:rsidR="007C489F" w:rsidRPr="00F777CB" w:rsidRDefault="007C489F" w:rsidP="007C489F">
            <w:pPr>
              <w:rPr>
                <w:sz w:val="22"/>
                <w:szCs w:val="22"/>
              </w:rPr>
            </w:pPr>
            <w:r w:rsidRPr="00F777CB">
              <w:rPr>
                <w:sz w:val="22"/>
                <w:szCs w:val="22"/>
              </w:rPr>
              <w:t>Additions</w:t>
            </w:r>
          </w:p>
        </w:tc>
        <w:tc>
          <w:tcPr>
            <w:tcW w:w="1710" w:type="dxa"/>
            <w:tcBorders>
              <w:top w:val="single" w:sz="4" w:space="0" w:color="auto"/>
              <w:left w:val="nil"/>
              <w:right w:val="nil"/>
            </w:tcBorders>
            <w:vAlign w:val="bottom"/>
          </w:tcPr>
          <w:p w14:paraId="2CD469DA" w14:textId="480B6DF9" w:rsidR="007C489F" w:rsidRPr="00EF3C75" w:rsidRDefault="00AA39A9" w:rsidP="00656716">
            <w:pPr>
              <w:ind w:left="-1950" w:right="38" w:firstLine="1950"/>
              <w:jc w:val="right"/>
              <w:rPr>
                <w:sz w:val="22"/>
                <w:szCs w:val="22"/>
              </w:rPr>
            </w:pPr>
            <w:r w:rsidRPr="00EF3C75">
              <w:rPr>
                <w:sz w:val="22"/>
                <w:szCs w:val="22"/>
              </w:rPr>
              <w:t>-</w:t>
            </w:r>
          </w:p>
        </w:tc>
        <w:tc>
          <w:tcPr>
            <w:tcW w:w="1266" w:type="dxa"/>
            <w:tcBorders>
              <w:top w:val="single" w:sz="4" w:space="0" w:color="auto"/>
              <w:left w:val="nil"/>
              <w:right w:val="nil"/>
            </w:tcBorders>
            <w:vAlign w:val="bottom"/>
          </w:tcPr>
          <w:p w14:paraId="4DDC5F53" w14:textId="4C9AE3B8" w:rsidR="007C489F" w:rsidRPr="004248E6" w:rsidRDefault="004D219B" w:rsidP="00E34C09">
            <w:pPr>
              <w:ind w:left="-1950" w:right="38" w:firstLine="1950"/>
              <w:jc w:val="right"/>
              <w:rPr>
                <w:sz w:val="22"/>
                <w:szCs w:val="22"/>
              </w:rPr>
            </w:pPr>
            <w:r>
              <w:rPr>
                <w:sz w:val="22"/>
                <w:szCs w:val="22"/>
              </w:rPr>
              <w:t>334,985</w:t>
            </w:r>
          </w:p>
        </w:tc>
        <w:tc>
          <w:tcPr>
            <w:tcW w:w="1276" w:type="dxa"/>
            <w:tcBorders>
              <w:top w:val="single" w:sz="4" w:space="0" w:color="auto"/>
              <w:left w:val="nil"/>
              <w:right w:val="nil"/>
            </w:tcBorders>
            <w:vAlign w:val="bottom"/>
          </w:tcPr>
          <w:p w14:paraId="4FBDE567" w14:textId="663B03AD" w:rsidR="007C489F" w:rsidRPr="004248E6" w:rsidRDefault="004D219B" w:rsidP="00420155">
            <w:pPr>
              <w:ind w:right="38"/>
              <w:jc w:val="right"/>
              <w:rPr>
                <w:sz w:val="22"/>
                <w:szCs w:val="22"/>
              </w:rPr>
            </w:pPr>
            <w:r>
              <w:rPr>
                <w:sz w:val="22"/>
                <w:szCs w:val="22"/>
              </w:rPr>
              <w:t>-</w:t>
            </w:r>
          </w:p>
        </w:tc>
        <w:tc>
          <w:tcPr>
            <w:tcW w:w="1248" w:type="dxa"/>
            <w:tcBorders>
              <w:top w:val="single" w:sz="4" w:space="0" w:color="auto"/>
              <w:left w:val="nil"/>
              <w:right w:val="nil"/>
            </w:tcBorders>
            <w:noWrap/>
            <w:tcMar>
              <w:top w:w="15" w:type="dxa"/>
              <w:left w:w="15" w:type="dxa"/>
              <w:bottom w:w="0" w:type="dxa"/>
              <w:right w:w="15" w:type="dxa"/>
            </w:tcMar>
            <w:vAlign w:val="bottom"/>
          </w:tcPr>
          <w:p w14:paraId="431680A0" w14:textId="349D81F7" w:rsidR="007C489F" w:rsidRPr="004248E6" w:rsidRDefault="004D219B" w:rsidP="00420155">
            <w:pPr>
              <w:ind w:right="38"/>
              <w:jc w:val="right"/>
              <w:rPr>
                <w:sz w:val="22"/>
                <w:szCs w:val="22"/>
              </w:rPr>
            </w:pPr>
            <w:r>
              <w:rPr>
                <w:sz w:val="22"/>
                <w:szCs w:val="22"/>
              </w:rPr>
              <w:t>4,391</w:t>
            </w:r>
          </w:p>
        </w:tc>
        <w:tc>
          <w:tcPr>
            <w:tcW w:w="1710" w:type="dxa"/>
            <w:tcBorders>
              <w:top w:val="single" w:sz="4" w:space="0" w:color="auto"/>
              <w:left w:val="nil"/>
              <w:right w:val="nil"/>
            </w:tcBorders>
            <w:noWrap/>
            <w:tcMar>
              <w:top w:w="15" w:type="dxa"/>
              <w:left w:w="15" w:type="dxa"/>
              <w:bottom w:w="0" w:type="dxa"/>
              <w:right w:w="15" w:type="dxa"/>
            </w:tcMar>
            <w:vAlign w:val="bottom"/>
          </w:tcPr>
          <w:p w14:paraId="51515CA8" w14:textId="40F39785" w:rsidR="007C489F" w:rsidRPr="008E3E7F" w:rsidRDefault="004D219B" w:rsidP="00420155">
            <w:pPr>
              <w:ind w:right="69"/>
              <w:jc w:val="right"/>
              <w:rPr>
                <w:sz w:val="22"/>
                <w:szCs w:val="22"/>
              </w:rPr>
            </w:pPr>
            <w:r>
              <w:rPr>
                <w:sz w:val="22"/>
                <w:szCs w:val="22"/>
              </w:rPr>
              <w:t>339,376</w:t>
            </w:r>
          </w:p>
        </w:tc>
      </w:tr>
      <w:tr w:rsidR="007C489F" w:rsidRPr="00F777CB" w14:paraId="5D3CA8F6" w14:textId="77777777" w:rsidTr="007C489F">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41C221FE" w14:textId="53A00A2C" w:rsidR="007C489F" w:rsidRPr="00F777CB" w:rsidRDefault="007C489F" w:rsidP="007C489F">
            <w:pPr>
              <w:rPr>
                <w:sz w:val="22"/>
                <w:szCs w:val="22"/>
              </w:rPr>
            </w:pPr>
            <w:r>
              <w:rPr>
                <w:sz w:val="22"/>
                <w:szCs w:val="22"/>
              </w:rPr>
              <w:t>Disposals</w:t>
            </w:r>
          </w:p>
        </w:tc>
        <w:tc>
          <w:tcPr>
            <w:tcW w:w="1710" w:type="dxa"/>
            <w:tcBorders>
              <w:left w:val="nil"/>
              <w:right w:val="nil"/>
            </w:tcBorders>
            <w:vAlign w:val="bottom"/>
          </w:tcPr>
          <w:p w14:paraId="4F9ED49B" w14:textId="7986D62D" w:rsidR="007C489F" w:rsidRPr="002F62EA" w:rsidRDefault="007C489F" w:rsidP="00656716">
            <w:pPr>
              <w:ind w:left="-1950" w:right="38" w:firstLine="1950"/>
              <w:jc w:val="right"/>
              <w:rPr>
                <w:sz w:val="22"/>
                <w:szCs w:val="22"/>
              </w:rPr>
            </w:pPr>
            <w:r w:rsidRPr="00EF3C75">
              <w:rPr>
                <w:sz w:val="22"/>
                <w:szCs w:val="22"/>
              </w:rPr>
              <w:t>(</w:t>
            </w:r>
            <w:r w:rsidR="00AA39A9" w:rsidRPr="00EF3C75">
              <w:rPr>
                <w:sz w:val="22"/>
                <w:szCs w:val="22"/>
              </w:rPr>
              <w:t>83,333</w:t>
            </w:r>
            <w:r w:rsidRPr="002F62EA">
              <w:rPr>
                <w:sz w:val="22"/>
                <w:szCs w:val="22"/>
              </w:rPr>
              <w:t>)</w:t>
            </w:r>
          </w:p>
        </w:tc>
        <w:tc>
          <w:tcPr>
            <w:tcW w:w="1266" w:type="dxa"/>
            <w:tcBorders>
              <w:left w:val="nil"/>
              <w:right w:val="nil"/>
            </w:tcBorders>
            <w:vAlign w:val="bottom"/>
          </w:tcPr>
          <w:p w14:paraId="1B4F1527" w14:textId="3AE3844C" w:rsidR="007C489F" w:rsidRPr="004248E6" w:rsidRDefault="00AA39A9" w:rsidP="00E34C09">
            <w:pPr>
              <w:ind w:left="-1950" w:right="38" w:firstLine="1950"/>
              <w:jc w:val="right"/>
              <w:rPr>
                <w:sz w:val="22"/>
                <w:szCs w:val="22"/>
              </w:rPr>
            </w:pPr>
            <w:r w:rsidRPr="004248E6">
              <w:rPr>
                <w:sz w:val="22"/>
                <w:szCs w:val="22"/>
              </w:rPr>
              <w:t>-</w:t>
            </w:r>
          </w:p>
        </w:tc>
        <w:tc>
          <w:tcPr>
            <w:tcW w:w="1276" w:type="dxa"/>
            <w:tcBorders>
              <w:left w:val="nil"/>
              <w:right w:val="nil"/>
            </w:tcBorders>
            <w:vAlign w:val="bottom"/>
          </w:tcPr>
          <w:p w14:paraId="43EB40A6" w14:textId="5742F678" w:rsidR="007C489F" w:rsidRPr="004248E6" w:rsidRDefault="00E176DE" w:rsidP="00420155">
            <w:pPr>
              <w:ind w:right="38"/>
              <w:jc w:val="right"/>
              <w:rPr>
                <w:sz w:val="22"/>
                <w:szCs w:val="22"/>
              </w:rPr>
            </w:pPr>
            <w:r w:rsidRPr="004248E6">
              <w:rPr>
                <w:sz w:val="22"/>
                <w:szCs w:val="22"/>
              </w:rPr>
              <w:t>-</w:t>
            </w:r>
          </w:p>
        </w:tc>
        <w:tc>
          <w:tcPr>
            <w:tcW w:w="1248" w:type="dxa"/>
            <w:tcBorders>
              <w:left w:val="nil"/>
              <w:right w:val="nil"/>
            </w:tcBorders>
            <w:noWrap/>
            <w:tcMar>
              <w:top w:w="15" w:type="dxa"/>
              <w:left w:w="15" w:type="dxa"/>
              <w:bottom w:w="0" w:type="dxa"/>
              <w:right w:w="15" w:type="dxa"/>
            </w:tcMar>
            <w:vAlign w:val="bottom"/>
          </w:tcPr>
          <w:p w14:paraId="331C0516" w14:textId="1971545D" w:rsidR="007C489F" w:rsidRPr="004248E6" w:rsidRDefault="00E176DE" w:rsidP="00420155">
            <w:pPr>
              <w:ind w:right="38"/>
              <w:jc w:val="right"/>
              <w:rPr>
                <w:sz w:val="22"/>
                <w:szCs w:val="22"/>
              </w:rPr>
            </w:pPr>
            <w:r w:rsidRPr="004248E6">
              <w:rPr>
                <w:sz w:val="22"/>
                <w:szCs w:val="22"/>
              </w:rPr>
              <w:t>-</w:t>
            </w:r>
          </w:p>
        </w:tc>
        <w:tc>
          <w:tcPr>
            <w:tcW w:w="1710" w:type="dxa"/>
            <w:tcBorders>
              <w:left w:val="nil"/>
              <w:right w:val="nil"/>
            </w:tcBorders>
            <w:noWrap/>
            <w:tcMar>
              <w:top w:w="15" w:type="dxa"/>
              <w:left w:w="15" w:type="dxa"/>
              <w:bottom w:w="0" w:type="dxa"/>
              <w:right w:w="15" w:type="dxa"/>
            </w:tcMar>
            <w:vAlign w:val="bottom"/>
          </w:tcPr>
          <w:p w14:paraId="54FBDC3B" w14:textId="3BFADCA2" w:rsidR="007C489F" w:rsidRDefault="007C489F" w:rsidP="00420155">
            <w:pPr>
              <w:ind w:right="69"/>
              <w:jc w:val="right"/>
              <w:rPr>
                <w:sz w:val="22"/>
                <w:szCs w:val="22"/>
              </w:rPr>
            </w:pPr>
            <w:r>
              <w:rPr>
                <w:sz w:val="22"/>
                <w:szCs w:val="22"/>
              </w:rPr>
              <w:t>(</w:t>
            </w:r>
            <w:r w:rsidR="00E176DE">
              <w:rPr>
                <w:sz w:val="22"/>
                <w:szCs w:val="22"/>
              </w:rPr>
              <w:t>83,333</w:t>
            </w:r>
            <w:r>
              <w:rPr>
                <w:sz w:val="22"/>
                <w:szCs w:val="22"/>
              </w:rPr>
              <w:t>)</w:t>
            </w:r>
          </w:p>
        </w:tc>
      </w:tr>
      <w:tr w:rsidR="009635B1" w:rsidRPr="00F777CB" w14:paraId="1B0F5EF8" w14:textId="77777777" w:rsidTr="007C489F">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48AD5030" w14:textId="7A423009" w:rsidR="009635B1" w:rsidRDefault="009635B1" w:rsidP="007C489F">
            <w:pPr>
              <w:rPr>
                <w:sz w:val="22"/>
                <w:szCs w:val="22"/>
              </w:rPr>
            </w:pPr>
            <w:r>
              <w:rPr>
                <w:sz w:val="22"/>
                <w:szCs w:val="22"/>
              </w:rPr>
              <w:t>Impairment</w:t>
            </w:r>
          </w:p>
        </w:tc>
        <w:tc>
          <w:tcPr>
            <w:tcW w:w="1710" w:type="dxa"/>
            <w:tcBorders>
              <w:left w:val="nil"/>
              <w:right w:val="nil"/>
            </w:tcBorders>
            <w:vAlign w:val="bottom"/>
          </w:tcPr>
          <w:p w14:paraId="3BEA2BE9" w14:textId="2014CE85" w:rsidR="009635B1" w:rsidRPr="00EF3C75" w:rsidRDefault="00AA39A9" w:rsidP="00656716">
            <w:pPr>
              <w:ind w:left="-1950" w:right="38" w:firstLine="1950"/>
              <w:jc w:val="right"/>
              <w:rPr>
                <w:sz w:val="22"/>
                <w:szCs w:val="22"/>
              </w:rPr>
            </w:pPr>
            <w:r w:rsidRPr="00EF3C75">
              <w:rPr>
                <w:sz w:val="22"/>
                <w:szCs w:val="22"/>
              </w:rPr>
              <w:t>-</w:t>
            </w:r>
          </w:p>
        </w:tc>
        <w:tc>
          <w:tcPr>
            <w:tcW w:w="1266" w:type="dxa"/>
            <w:tcBorders>
              <w:left w:val="nil"/>
              <w:right w:val="nil"/>
            </w:tcBorders>
            <w:vAlign w:val="bottom"/>
          </w:tcPr>
          <w:p w14:paraId="21A367C2" w14:textId="5475E0E7" w:rsidR="009635B1" w:rsidRPr="004248E6" w:rsidRDefault="009635B1" w:rsidP="00E34C09">
            <w:pPr>
              <w:ind w:left="-1950" w:right="38" w:firstLine="1950"/>
              <w:jc w:val="right"/>
              <w:rPr>
                <w:sz w:val="22"/>
                <w:szCs w:val="22"/>
              </w:rPr>
            </w:pPr>
            <w:r w:rsidRPr="004248E6">
              <w:rPr>
                <w:sz w:val="22"/>
                <w:szCs w:val="22"/>
              </w:rPr>
              <w:t>-</w:t>
            </w:r>
          </w:p>
        </w:tc>
        <w:tc>
          <w:tcPr>
            <w:tcW w:w="1276" w:type="dxa"/>
            <w:tcBorders>
              <w:left w:val="nil"/>
              <w:right w:val="nil"/>
            </w:tcBorders>
            <w:vAlign w:val="bottom"/>
          </w:tcPr>
          <w:p w14:paraId="14D0365A" w14:textId="4941EE16" w:rsidR="009635B1" w:rsidRPr="004248E6" w:rsidRDefault="009635B1" w:rsidP="00420155">
            <w:pPr>
              <w:ind w:right="38"/>
              <w:jc w:val="right"/>
              <w:rPr>
                <w:sz w:val="22"/>
                <w:szCs w:val="22"/>
              </w:rPr>
            </w:pPr>
            <w:r w:rsidRPr="004248E6">
              <w:rPr>
                <w:sz w:val="22"/>
                <w:szCs w:val="22"/>
              </w:rPr>
              <w:t>-</w:t>
            </w:r>
          </w:p>
        </w:tc>
        <w:tc>
          <w:tcPr>
            <w:tcW w:w="1248" w:type="dxa"/>
            <w:tcBorders>
              <w:left w:val="nil"/>
              <w:right w:val="nil"/>
            </w:tcBorders>
            <w:noWrap/>
            <w:tcMar>
              <w:top w:w="15" w:type="dxa"/>
              <w:left w:w="15" w:type="dxa"/>
              <w:bottom w:w="0" w:type="dxa"/>
              <w:right w:w="15" w:type="dxa"/>
            </w:tcMar>
            <w:vAlign w:val="bottom"/>
          </w:tcPr>
          <w:p w14:paraId="12C1C901" w14:textId="0157989D" w:rsidR="009635B1" w:rsidRPr="004248E6" w:rsidRDefault="009635B1" w:rsidP="00420155">
            <w:pPr>
              <w:ind w:right="38"/>
              <w:jc w:val="right"/>
              <w:rPr>
                <w:sz w:val="22"/>
                <w:szCs w:val="22"/>
              </w:rPr>
            </w:pPr>
            <w:r w:rsidRPr="004248E6">
              <w:rPr>
                <w:sz w:val="22"/>
                <w:szCs w:val="22"/>
              </w:rPr>
              <w:t>-</w:t>
            </w:r>
          </w:p>
        </w:tc>
        <w:tc>
          <w:tcPr>
            <w:tcW w:w="1710" w:type="dxa"/>
            <w:tcBorders>
              <w:left w:val="nil"/>
              <w:right w:val="nil"/>
            </w:tcBorders>
            <w:noWrap/>
            <w:tcMar>
              <w:top w:w="15" w:type="dxa"/>
              <w:left w:w="15" w:type="dxa"/>
              <w:bottom w:w="0" w:type="dxa"/>
              <w:right w:w="15" w:type="dxa"/>
            </w:tcMar>
            <w:vAlign w:val="bottom"/>
          </w:tcPr>
          <w:p w14:paraId="2F48E895" w14:textId="41ADFEDF" w:rsidR="009635B1" w:rsidRDefault="00E176DE" w:rsidP="00420155">
            <w:pPr>
              <w:ind w:right="69"/>
              <w:jc w:val="right"/>
              <w:rPr>
                <w:sz w:val="22"/>
                <w:szCs w:val="22"/>
              </w:rPr>
            </w:pPr>
            <w:r>
              <w:rPr>
                <w:sz w:val="22"/>
                <w:szCs w:val="22"/>
              </w:rPr>
              <w:t>-</w:t>
            </w:r>
          </w:p>
        </w:tc>
      </w:tr>
      <w:tr w:rsidR="007C489F" w:rsidRPr="00F777CB" w14:paraId="26471A2F" w14:textId="77777777" w:rsidTr="00B47A77">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657B9D11" w14:textId="59438BDF" w:rsidR="007C489F" w:rsidRPr="00F777CB" w:rsidRDefault="007C489F" w:rsidP="007C489F">
            <w:pPr>
              <w:rPr>
                <w:sz w:val="22"/>
                <w:szCs w:val="22"/>
              </w:rPr>
            </w:pPr>
            <w:r>
              <w:rPr>
                <w:sz w:val="22"/>
                <w:szCs w:val="22"/>
              </w:rPr>
              <w:t xml:space="preserve">At </w:t>
            </w:r>
            <w:r w:rsidR="00E45398">
              <w:rPr>
                <w:sz w:val="22"/>
                <w:szCs w:val="22"/>
              </w:rPr>
              <w:t xml:space="preserve">31 December </w:t>
            </w:r>
            <w:r w:rsidR="00AA39A9">
              <w:rPr>
                <w:sz w:val="22"/>
                <w:szCs w:val="22"/>
              </w:rPr>
              <w:t>2020</w:t>
            </w:r>
          </w:p>
        </w:tc>
        <w:tc>
          <w:tcPr>
            <w:tcW w:w="1710" w:type="dxa"/>
            <w:tcBorders>
              <w:top w:val="single" w:sz="4" w:space="0" w:color="auto"/>
              <w:left w:val="nil"/>
              <w:bottom w:val="single" w:sz="4" w:space="0" w:color="auto"/>
              <w:right w:val="nil"/>
            </w:tcBorders>
            <w:vAlign w:val="bottom"/>
          </w:tcPr>
          <w:p w14:paraId="5040B241" w14:textId="7F6ED597" w:rsidR="007C489F" w:rsidRPr="00EF3C75" w:rsidRDefault="00AA39A9" w:rsidP="00656716">
            <w:pPr>
              <w:ind w:left="-1950" w:right="38" w:firstLine="1950"/>
              <w:jc w:val="right"/>
              <w:rPr>
                <w:sz w:val="22"/>
                <w:szCs w:val="22"/>
              </w:rPr>
            </w:pPr>
            <w:r w:rsidRPr="00EF3C75">
              <w:rPr>
                <w:sz w:val="22"/>
                <w:szCs w:val="22"/>
              </w:rPr>
              <w:t>-</w:t>
            </w:r>
          </w:p>
        </w:tc>
        <w:tc>
          <w:tcPr>
            <w:tcW w:w="1266" w:type="dxa"/>
            <w:tcBorders>
              <w:top w:val="single" w:sz="4" w:space="0" w:color="auto"/>
              <w:left w:val="nil"/>
              <w:bottom w:val="single" w:sz="4" w:space="0" w:color="auto"/>
              <w:right w:val="nil"/>
            </w:tcBorders>
            <w:vAlign w:val="bottom"/>
          </w:tcPr>
          <w:p w14:paraId="3C307546" w14:textId="0554B642" w:rsidR="007C489F" w:rsidRPr="004248E6" w:rsidRDefault="004D219B" w:rsidP="00E34C09">
            <w:pPr>
              <w:ind w:left="-1950" w:right="38" w:firstLine="1950"/>
              <w:jc w:val="right"/>
              <w:rPr>
                <w:sz w:val="22"/>
                <w:szCs w:val="22"/>
              </w:rPr>
            </w:pPr>
            <w:r>
              <w:rPr>
                <w:sz w:val="22"/>
                <w:szCs w:val="22"/>
              </w:rPr>
              <w:t>466,652</w:t>
            </w:r>
          </w:p>
        </w:tc>
        <w:tc>
          <w:tcPr>
            <w:tcW w:w="1276" w:type="dxa"/>
            <w:tcBorders>
              <w:top w:val="single" w:sz="4" w:space="0" w:color="auto"/>
              <w:left w:val="nil"/>
              <w:bottom w:val="single" w:sz="4" w:space="0" w:color="auto"/>
              <w:right w:val="nil"/>
            </w:tcBorders>
            <w:vAlign w:val="bottom"/>
          </w:tcPr>
          <w:p w14:paraId="5245820C" w14:textId="6B9B15EE" w:rsidR="007C489F" w:rsidRPr="004248E6" w:rsidRDefault="004D219B" w:rsidP="00420155">
            <w:pPr>
              <w:ind w:right="38"/>
              <w:jc w:val="right"/>
              <w:rPr>
                <w:sz w:val="22"/>
                <w:szCs w:val="22"/>
              </w:rPr>
            </w:pPr>
            <w:r>
              <w:rPr>
                <w:sz w:val="22"/>
                <w:szCs w:val="22"/>
              </w:rPr>
              <w:t>583,049</w:t>
            </w:r>
          </w:p>
        </w:tc>
        <w:tc>
          <w:tcPr>
            <w:tcW w:w="124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F9ADD47" w14:textId="2F1640C9" w:rsidR="007C489F" w:rsidRPr="004248E6" w:rsidRDefault="004D219B" w:rsidP="00420155">
            <w:pPr>
              <w:ind w:right="38"/>
              <w:jc w:val="right"/>
              <w:rPr>
                <w:sz w:val="22"/>
                <w:szCs w:val="22"/>
              </w:rPr>
            </w:pPr>
            <w:r>
              <w:rPr>
                <w:sz w:val="22"/>
                <w:szCs w:val="22"/>
              </w:rPr>
              <w:t>52,684</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327BB3F" w14:textId="44595A92" w:rsidR="007C489F" w:rsidRPr="008E3E7F" w:rsidRDefault="004D219B" w:rsidP="00420155">
            <w:pPr>
              <w:ind w:right="69"/>
              <w:jc w:val="right"/>
              <w:rPr>
                <w:sz w:val="22"/>
                <w:szCs w:val="22"/>
              </w:rPr>
            </w:pPr>
            <w:r>
              <w:rPr>
                <w:sz w:val="22"/>
                <w:szCs w:val="22"/>
              </w:rPr>
              <w:t>1,102,385</w:t>
            </w:r>
          </w:p>
        </w:tc>
      </w:tr>
    </w:tbl>
    <w:p w14:paraId="68B98584" w14:textId="420E4B78" w:rsidR="00A71C46" w:rsidRDefault="00A71C46" w:rsidP="00381766">
      <w:pPr>
        <w:rPr>
          <w:b/>
          <w:sz w:val="22"/>
          <w:szCs w:val="22"/>
        </w:rPr>
      </w:pPr>
    </w:p>
    <w:p w14:paraId="6874B9C1" w14:textId="74A0FFC6" w:rsidR="003E2A3C" w:rsidRDefault="003E2A3C" w:rsidP="003E2A3C">
      <w:pPr>
        <w:rPr>
          <w:b/>
          <w:sz w:val="22"/>
          <w:szCs w:val="22"/>
        </w:rPr>
      </w:pPr>
      <w:r>
        <w:rPr>
          <w:b/>
          <w:sz w:val="22"/>
          <w:szCs w:val="22"/>
        </w:rPr>
        <w:t>8</w:t>
      </w:r>
      <w:r w:rsidRPr="00F777CB">
        <w:rPr>
          <w:b/>
          <w:sz w:val="22"/>
          <w:szCs w:val="22"/>
        </w:rPr>
        <w:t>.</w:t>
      </w:r>
      <w:r w:rsidRPr="00F777CB">
        <w:rPr>
          <w:sz w:val="22"/>
          <w:szCs w:val="22"/>
        </w:rPr>
        <w:tab/>
      </w:r>
      <w:r w:rsidRPr="0023306D">
        <w:rPr>
          <w:b/>
          <w:sz w:val="22"/>
          <w:szCs w:val="22"/>
        </w:rPr>
        <w:t>INVESTMENTS</w:t>
      </w:r>
    </w:p>
    <w:p w14:paraId="61071374" w14:textId="77777777" w:rsidR="003E2A3C" w:rsidRDefault="003E2A3C" w:rsidP="003E2A3C">
      <w:pPr>
        <w:rPr>
          <w:b/>
          <w:sz w:val="22"/>
          <w:szCs w:val="22"/>
        </w:rPr>
      </w:pPr>
    </w:p>
    <w:tbl>
      <w:tblPr>
        <w:tblW w:w="9932" w:type="dxa"/>
        <w:tblLayout w:type="fixed"/>
        <w:tblCellMar>
          <w:left w:w="0" w:type="dxa"/>
          <w:right w:w="0" w:type="dxa"/>
        </w:tblCellMar>
        <w:tblLook w:val="0000" w:firstRow="0" w:lastRow="0" w:firstColumn="0" w:lastColumn="0" w:noHBand="0" w:noVBand="0"/>
      </w:tblPr>
      <w:tblGrid>
        <w:gridCol w:w="2694"/>
        <w:gridCol w:w="2126"/>
        <w:gridCol w:w="1266"/>
        <w:gridCol w:w="2136"/>
        <w:gridCol w:w="1710"/>
      </w:tblGrid>
      <w:tr w:rsidR="003E2A3C" w:rsidRPr="00F777CB" w14:paraId="65F9F146" w14:textId="77777777" w:rsidTr="003E2A3C">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67822A05" w14:textId="77777777" w:rsidR="003E2A3C" w:rsidRPr="00F777CB" w:rsidRDefault="003E2A3C" w:rsidP="002467B9">
            <w:pPr>
              <w:rPr>
                <w:rFonts w:eastAsia="Arial Unicode MS"/>
                <w:sz w:val="22"/>
                <w:szCs w:val="22"/>
              </w:rPr>
            </w:pPr>
          </w:p>
        </w:tc>
        <w:tc>
          <w:tcPr>
            <w:tcW w:w="2126" w:type="dxa"/>
            <w:tcBorders>
              <w:top w:val="nil"/>
              <w:left w:val="nil"/>
              <w:bottom w:val="nil"/>
              <w:right w:val="nil"/>
            </w:tcBorders>
            <w:vAlign w:val="bottom"/>
          </w:tcPr>
          <w:p w14:paraId="0792FCB4" w14:textId="77777777" w:rsidR="003E2A3C" w:rsidRPr="00F777CB" w:rsidRDefault="003E2A3C" w:rsidP="00656716">
            <w:pPr>
              <w:ind w:left="-1950" w:right="38" w:firstLine="1950"/>
              <w:jc w:val="right"/>
              <w:rPr>
                <w:b/>
                <w:bCs/>
                <w:sz w:val="22"/>
                <w:szCs w:val="22"/>
              </w:rPr>
            </w:pPr>
            <w:r>
              <w:rPr>
                <w:b/>
                <w:bCs/>
                <w:sz w:val="22"/>
                <w:szCs w:val="22"/>
              </w:rPr>
              <w:t>Available for sale</w:t>
            </w:r>
          </w:p>
        </w:tc>
        <w:tc>
          <w:tcPr>
            <w:tcW w:w="1266" w:type="dxa"/>
            <w:tcBorders>
              <w:top w:val="nil"/>
              <w:left w:val="nil"/>
              <w:bottom w:val="nil"/>
              <w:right w:val="nil"/>
            </w:tcBorders>
            <w:vAlign w:val="bottom"/>
          </w:tcPr>
          <w:p w14:paraId="2CF534AC" w14:textId="77777777" w:rsidR="003E2A3C" w:rsidRDefault="003E2A3C" w:rsidP="00656716">
            <w:pPr>
              <w:ind w:left="-1950" w:right="38" w:firstLine="1950"/>
              <w:jc w:val="right"/>
              <w:rPr>
                <w:b/>
                <w:bCs/>
                <w:sz w:val="22"/>
                <w:szCs w:val="22"/>
              </w:rPr>
            </w:pPr>
            <w:r>
              <w:rPr>
                <w:b/>
                <w:bCs/>
                <w:sz w:val="22"/>
                <w:szCs w:val="22"/>
              </w:rPr>
              <w:t>Investments</w:t>
            </w:r>
          </w:p>
        </w:tc>
        <w:tc>
          <w:tcPr>
            <w:tcW w:w="2136" w:type="dxa"/>
            <w:tcBorders>
              <w:top w:val="nil"/>
              <w:left w:val="nil"/>
              <w:bottom w:val="nil"/>
              <w:right w:val="nil"/>
            </w:tcBorders>
            <w:vAlign w:val="bottom"/>
          </w:tcPr>
          <w:p w14:paraId="55F27590" w14:textId="318D97BB" w:rsidR="003E2A3C" w:rsidRPr="00F777CB" w:rsidRDefault="003E2A3C" w:rsidP="00656716">
            <w:pPr>
              <w:ind w:right="38"/>
              <w:jc w:val="right"/>
              <w:rPr>
                <w:b/>
                <w:bCs/>
                <w:sz w:val="22"/>
                <w:szCs w:val="22"/>
              </w:rPr>
            </w:pPr>
            <w:r>
              <w:rPr>
                <w:b/>
                <w:bCs/>
                <w:sz w:val="22"/>
                <w:szCs w:val="22"/>
              </w:rPr>
              <w:t>Intangible fixed assets</w:t>
            </w:r>
          </w:p>
        </w:tc>
        <w:tc>
          <w:tcPr>
            <w:tcW w:w="1710" w:type="dxa"/>
            <w:tcBorders>
              <w:top w:val="nil"/>
              <w:left w:val="nil"/>
              <w:bottom w:val="nil"/>
              <w:right w:val="nil"/>
            </w:tcBorders>
            <w:noWrap/>
            <w:tcMar>
              <w:top w:w="15" w:type="dxa"/>
              <w:left w:w="15" w:type="dxa"/>
              <w:bottom w:w="0" w:type="dxa"/>
              <w:right w:w="15" w:type="dxa"/>
            </w:tcMar>
            <w:vAlign w:val="bottom"/>
          </w:tcPr>
          <w:p w14:paraId="59AD3C94" w14:textId="77777777" w:rsidR="003E2A3C" w:rsidRPr="00F777CB" w:rsidRDefault="003E2A3C" w:rsidP="00656716">
            <w:pPr>
              <w:ind w:right="69"/>
              <w:jc w:val="right"/>
              <w:rPr>
                <w:rFonts w:eastAsia="Arial Unicode MS"/>
                <w:b/>
                <w:bCs/>
                <w:sz w:val="22"/>
                <w:szCs w:val="22"/>
              </w:rPr>
            </w:pPr>
            <w:r w:rsidRPr="00F777CB">
              <w:rPr>
                <w:b/>
                <w:bCs/>
                <w:sz w:val="22"/>
                <w:szCs w:val="22"/>
              </w:rPr>
              <w:t>Total</w:t>
            </w:r>
          </w:p>
        </w:tc>
      </w:tr>
      <w:tr w:rsidR="003E2A3C" w:rsidRPr="00F777CB" w14:paraId="0C809B6A" w14:textId="77777777" w:rsidTr="003E2A3C">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40A9FFC5" w14:textId="5CBE65D9" w:rsidR="003E2A3C" w:rsidRPr="00F777CB" w:rsidRDefault="003E2A3C" w:rsidP="002467B9">
            <w:pPr>
              <w:rPr>
                <w:rFonts w:eastAsia="Arial Unicode MS"/>
                <w:sz w:val="22"/>
                <w:szCs w:val="22"/>
              </w:rPr>
            </w:pPr>
            <w:r>
              <w:rPr>
                <w:b/>
                <w:bCs/>
                <w:sz w:val="22"/>
                <w:szCs w:val="22"/>
              </w:rPr>
              <w:t>Group</w:t>
            </w:r>
          </w:p>
        </w:tc>
        <w:tc>
          <w:tcPr>
            <w:tcW w:w="2126" w:type="dxa"/>
            <w:tcBorders>
              <w:top w:val="nil"/>
              <w:left w:val="nil"/>
              <w:right w:val="nil"/>
            </w:tcBorders>
            <w:vAlign w:val="bottom"/>
          </w:tcPr>
          <w:p w14:paraId="54C5ED46" w14:textId="77777777" w:rsidR="003E2A3C" w:rsidRPr="00F777CB" w:rsidRDefault="003E2A3C" w:rsidP="00656716">
            <w:pPr>
              <w:ind w:left="-1950" w:right="38" w:firstLine="1950"/>
              <w:jc w:val="right"/>
              <w:rPr>
                <w:b/>
                <w:bCs/>
                <w:sz w:val="22"/>
                <w:szCs w:val="22"/>
              </w:rPr>
            </w:pPr>
            <w:r w:rsidRPr="00F777CB">
              <w:rPr>
                <w:b/>
                <w:bCs/>
                <w:sz w:val="22"/>
                <w:szCs w:val="22"/>
              </w:rPr>
              <w:t>£</w:t>
            </w:r>
          </w:p>
        </w:tc>
        <w:tc>
          <w:tcPr>
            <w:tcW w:w="1266" w:type="dxa"/>
            <w:tcBorders>
              <w:top w:val="nil"/>
              <w:left w:val="nil"/>
              <w:right w:val="nil"/>
            </w:tcBorders>
            <w:vAlign w:val="bottom"/>
          </w:tcPr>
          <w:p w14:paraId="482C85EC" w14:textId="77777777" w:rsidR="003E2A3C" w:rsidRPr="00F777CB" w:rsidRDefault="003E2A3C" w:rsidP="00656716">
            <w:pPr>
              <w:ind w:left="-1950" w:right="38" w:firstLine="1950"/>
              <w:jc w:val="right"/>
              <w:rPr>
                <w:b/>
                <w:bCs/>
                <w:sz w:val="22"/>
                <w:szCs w:val="22"/>
              </w:rPr>
            </w:pPr>
            <w:r w:rsidRPr="00F777CB">
              <w:rPr>
                <w:b/>
                <w:bCs/>
                <w:sz w:val="22"/>
                <w:szCs w:val="22"/>
              </w:rPr>
              <w:t>£</w:t>
            </w:r>
          </w:p>
        </w:tc>
        <w:tc>
          <w:tcPr>
            <w:tcW w:w="2136" w:type="dxa"/>
            <w:tcBorders>
              <w:top w:val="nil"/>
              <w:left w:val="nil"/>
              <w:right w:val="nil"/>
            </w:tcBorders>
            <w:vAlign w:val="bottom"/>
          </w:tcPr>
          <w:p w14:paraId="6F1A935C" w14:textId="77777777" w:rsidR="003E2A3C" w:rsidRPr="00F777CB" w:rsidRDefault="003E2A3C" w:rsidP="00656716">
            <w:pPr>
              <w:ind w:right="38"/>
              <w:jc w:val="right"/>
              <w:rPr>
                <w:b/>
                <w:bCs/>
                <w:sz w:val="22"/>
                <w:szCs w:val="22"/>
              </w:rPr>
            </w:pPr>
            <w:r w:rsidRPr="00F777CB">
              <w:rPr>
                <w:b/>
                <w:bCs/>
                <w:sz w:val="22"/>
                <w:szCs w:val="22"/>
              </w:rPr>
              <w:t>£</w:t>
            </w:r>
          </w:p>
        </w:tc>
        <w:tc>
          <w:tcPr>
            <w:tcW w:w="1710" w:type="dxa"/>
            <w:tcBorders>
              <w:top w:val="nil"/>
              <w:left w:val="nil"/>
              <w:right w:val="nil"/>
            </w:tcBorders>
            <w:noWrap/>
            <w:tcMar>
              <w:top w:w="15" w:type="dxa"/>
              <w:left w:w="15" w:type="dxa"/>
              <w:bottom w:w="0" w:type="dxa"/>
              <w:right w:w="15" w:type="dxa"/>
            </w:tcMar>
            <w:vAlign w:val="bottom"/>
          </w:tcPr>
          <w:p w14:paraId="74C6DFB2" w14:textId="77777777" w:rsidR="003E2A3C" w:rsidRPr="00F777CB" w:rsidRDefault="003E2A3C" w:rsidP="00656716">
            <w:pPr>
              <w:ind w:right="69"/>
              <w:jc w:val="right"/>
              <w:rPr>
                <w:rFonts w:eastAsia="Arial Unicode MS"/>
                <w:b/>
                <w:bCs/>
                <w:sz w:val="22"/>
                <w:szCs w:val="22"/>
              </w:rPr>
            </w:pPr>
            <w:r w:rsidRPr="00F777CB">
              <w:rPr>
                <w:b/>
                <w:bCs/>
                <w:sz w:val="22"/>
                <w:szCs w:val="22"/>
              </w:rPr>
              <w:t>£</w:t>
            </w:r>
          </w:p>
        </w:tc>
      </w:tr>
      <w:tr w:rsidR="003E2A3C" w:rsidRPr="00F777CB" w14:paraId="7E3634EA" w14:textId="77777777" w:rsidTr="003E2A3C">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3CD6ECC7" w14:textId="0B6A8328" w:rsidR="003E2A3C" w:rsidRPr="00F777CB" w:rsidRDefault="003E2A3C" w:rsidP="002467B9">
            <w:pPr>
              <w:rPr>
                <w:rFonts w:eastAsia="Arial Unicode MS"/>
                <w:sz w:val="22"/>
                <w:szCs w:val="22"/>
              </w:rPr>
            </w:pPr>
            <w:r w:rsidRPr="00F777CB">
              <w:rPr>
                <w:sz w:val="22"/>
                <w:szCs w:val="22"/>
              </w:rPr>
              <w:t xml:space="preserve">At </w:t>
            </w:r>
            <w:r w:rsidR="003D10E6">
              <w:rPr>
                <w:sz w:val="22"/>
                <w:szCs w:val="22"/>
              </w:rPr>
              <w:t>28 February 2019</w:t>
            </w:r>
          </w:p>
        </w:tc>
        <w:tc>
          <w:tcPr>
            <w:tcW w:w="2126" w:type="dxa"/>
            <w:tcBorders>
              <w:left w:val="nil"/>
              <w:right w:val="nil"/>
            </w:tcBorders>
            <w:vAlign w:val="bottom"/>
          </w:tcPr>
          <w:p w14:paraId="1C465BC5" w14:textId="5047DA12" w:rsidR="003E2A3C" w:rsidRDefault="003D10E6" w:rsidP="00656716">
            <w:pPr>
              <w:ind w:left="-1950" w:right="38" w:firstLine="1950"/>
              <w:jc w:val="right"/>
              <w:rPr>
                <w:sz w:val="22"/>
                <w:szCs w:val="22"/>
              </w:rPr>
            </w:pPr>
            <w:r>
              <w:rPr>
                <w:sz w:val="22"/>
                <w:szCs w:val="22"/>
              </w:rPr>
              <w:t>107,800</w:t>
            </w:r>
          </w:p>
        </w:tc>
        <w:tc>
          <w:tcPr>
            <w:tcW w:w="1266" w:type="dxa"/>
            <w:tcBorders>
              <w:left w:val="nil"/>
              <w:right w:val="nil"/>
            </w:tcBorders>
            <w:vAlign w:val="bottom"/>
          </w:tcPr>
          <w:p w14:paraId="523B675D" w14:textId="46D4AFDA" w:rsidR="003E2A3C" w:rsidRDefault="003D10E6" w:rsidP="00E34C09">
            <w:pPr>
              <w:ind w:left="-1950" w:right="38" w:firstLine="1950"/>
              <w:jc w:val="right"/>
              <w:rPr>
                <w:sz w:val="22"/>
                <w:szCs w:val="22"/>
              </w:rPr>
            </w:pPr>
            <w:r>
              <w:rPr>
                <w:sz w:val="22"/>
                <w:szCs w:val="22"/>
              </w:rPr>
              <w:t>168,919</w:t>
            </w:r>
          </w:p>
        </w:tc>
        <w:tc>
          <w:tcPr>
            <w:tcW w:w="2136" w:type="dxa"/>
            <w:tcBorders>
              <w:left w:val="nil"/>
              <w:right w:val="nil"/>
            </w:tcBorders>
            <w:vAlign w:val="bottom"/>
          </w:tcPr>
          <w:p w14:paraId="4BF9299C" w14:textId="221E2661" w:rsidR="003E2A3C" w:rsidRDefault="003D10E6" w:rsidP="00420155">
            <w:pPr>
              <w:ind w:right="38"/>
              <w:jc w:val="right"/>
              <w:rPr>
                <w:sz w:val="22"/>
                <w:szCs w:val="22"/>
              </w:rPr>
            </w:pPr>
            <w:r>
              <w:rPr>
                <w:sz w:val="22"/>
                <w:szCs w:val="22"/>
              </w:rPr>
              <w:t>621,151</w:t>
            </w:r>
          </w:p>
        </w:tc>
        <w:tc>
          <w:tcPr>
            <w:tcW w:w="1710" w:type="dxa"/>
            <w:tcBorders>
              <w:left w:val="nil"/>
              <w:right w:val="nil"/>
            </w:tcBorders>
            <w:noWrap/>
            <w:tcMar>
              <w:top w:w="15" w:type="dxa"/>
              <w:left w:w="15" w:type="dxa"/>
              <w:bottom w:w="0" w:type="dxa"/>
              <w:right w:w="15" w:type="dxa"/>
            </w:tcMar>
            <w:vAlign w:val="bottom"/>
          </w:tcPr>
          <w:p w14:paraId="094A3093" w14:textId="5DE9021C" w:rsidR="003E2A3C" w:rsidRPr="00826D44" w:rsidRDefault="003D10E6" w:rsidP="00420155">
            <w:pPr>
              <w:ind w:right="69"/>
              <w:jc w:val="right"/>
              <w:rPr>
                <w:rFonts w:eastAsia="Arial Unicode MS"/>
                <w:sz w:val="22"/>
                <w:szCs w:val="22"/>
              </w:rPr>
            </w:pPr>
            <w:r>
              <w:rPr>
                <w:sz w:val="22"/>
                <w:szCs w:val="22"/>
              </w:rPr>
              <w:t>897,870</w:t>
            </w:r>
          </w:p>
        </w:tc>
      </w:tr>
      <w:tr w:rsidR="003E2A3C" w:rsidRPr="00F777CB" w14:paraId="20B6F0A2" w14:textId="77777777" w:rsidTr="003E2A3C">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0098FA16" w14:textId="77777777" w:rsidR="003E2A3C" w:rsidRPr="00F777CB" w:rsidRDefault="003E2A3C" w:rsidP="002467B9">
            <w:pPr>
              <w:rPr>
                <w:rFonts w:eastAsia="Arial Unicode MS"/>
                <w:sz w:val="22"/>
                <w:szCs w:val="22"/>
              </w:rPr>
            </w:pPr>
            <w:r w:rsidRPr="00F777CB">
              <w:rPr>
                <w:sz w:val="22"/>
                <w:szCs w:val="22"/>
              </w:rPr>
              <w:t>Additions</w:t>
            </w:r>
          </w:p>
        </w:tc>
        <w:tc>
          <w:tcPr>
            <w:tcW w:w="2126" w:type="dxa"/>
            <w:tcBorders>
              <w:left w:val="nil"/>
              <w:right w:val="nil"/>
            </w:tcBorders>
            <w:vAlign w:val="bottom"/>
          </w:tcPr>
          <w:p w14:paraId="07BEC1E3" w14:textId="6F85B649" w:rsidR="003E2A3C" w:rsidRDefault="003D10E6" w:rsidP="00656716">
            <w:pPr>
              <w:ind w:left="-1950" w:right="38" w:firstLine="1950"/>
              <w:jc w:val="right"/>
              <w:rPr>
                <w:sz w:val="22"/>
                <w:szCs w:val="22"/>
              </w:rPr>
            </w:pPr>
            <w:r>
              <w:rPr>
                <w:sz w:val="22"/>
                <w:szCs w:val="22"/>
              </w:rPr>
              <w:t>25,000</w:t>
            </w:r>
          </w:p>
        </w:tc>
        <w:tc>
          <w:tcPr>
            <w:tcW w:w="1266" w:type="dxa"/>
            <w:tcBorders>
              <w:left w:val="nil"/>
              <w:right w:val="nil"/>
            </w:tcBorders>
            <w:vAlign w:val="bottom"/>
          </w:tcPr>
          <w:p w14:paraId="3C20D52B" w14:textId="00073FDD" w:rsidR="003E2A3C" w:rsidRDefault="003D10E6" w:rsidP="00E34C09">
            <w:pPr>
              <w:ind w:left="-1950" w:right="38" w:firstLine="1950"/>
              <w:jc w:val="right"/>
              <w:rPr>
                <w:sz w:val="22"/>
                <w:szCs w:val="22"/>
              </w:rPr>
            </w:pPr>
            <w:r>
              <w:rPr>
                <w:sz w:val="22"/>
                <w:szCs w:val="22"/>
              </w:rPr>
              <w:t>13,845</w:t>
            </w:r>
          </w:p>
        </w:tc>
        <w:tc>
          <w:tcPr>
            <w:tcW w:w="2136" w:type="dxa"/>
            <w:tcBorders>
              <w:left w:val="nil"/>
              <w:right w:val="nil"/>
            </w:tcBorders>
            <w:vAlign w:val="bottom"/>
          </w:tcPr>
          <w:p w14:paraId="529E9E56" w14:textId="79B328E8" w:rsidR="003E2A3C" w:rsidRDefault="003D10E6" w:rsidP="00420155">
            <w:pPr>
              <w:ind w:right="38"/>
              <w:jc w:val="right"/>
              <w:rPr>
                <w:sz w:val="22"/>
                <w:szCs w:val="22"/>
              </w:rPr>
            </w:pPr>
            <w:r>
              <w:rPr>
                <w:sz w:val="22"/>
                <w:szCs w:val="22"/>
              </w:rPr>
              <w:t>45,140</w:t>
            </w:r>
          </w:p>
        </w:tc>
        <w:tc>
          <w:tcPr>
            <w:tcW w:w="1710" w:type="dxa"/>
            <w:tcBorders>
              <w:left w:val="nil"/>
              <w:right w:val="nil"/>
            </w:tcBorders>
            <w:noWrap/>
            <w:tcMar>
              <w:top w:w="15" w:type="dxa"/>
              <w:left w:w="15" w:type="dxa"/>
              <w:bottom w:w="0" w:type="dxa"/>
              <w:right w:w="15" w:type="dxa"/>
            </w:tcMar>
            <w:vAlign w:val="bottom"/>
          </w:tcPr>
          <w:p w14:paraId="20EF8B12" w14:textId="1D8CB96E" w:rsidR="003E2A3C" w:rsidRPr="00826D44" w:rsidRDefault="003D10E6" w:rsidP="00420155">
            <w:pPr>
              <w:ind w:right="69"/>
              <w:jc w:val="right"/>
              <w:rPr>
                <w:rFonts w:eastAsia="Arial Unicode MS"/>
                <w:sz w:val="22"/>
                <w:szCs w:val="22"/>
              </w:rPr>
            </w:pPr>
            <w:r>
              <w:rPr>
                <w:sz w:val="22"/>
                <w:szCs w:val="22"/>
              </w:rPr>
              <w:t>83,985</w:t>
            </w:r>
          </w:p>
        </w:tc>
      </w:tr>
      <w:tr w:rsidR="00525092" w:rsidRPr="00F777CB" w14:paraId="599E3242" w14:textId="77777777" w:rsidTr="004D31FE">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5237C13F" w14:textId="028822AD" w:rsidR="00525092" w:rsidRDefault="00525092" w:rsidP="002467B9">
            <w:pPr>
              <w:rPr>
                <w:sz w:val="22"/>
                <w:szCs w:val="22"/>
              </w:rPr>
            </w:pPr>
            <w:r>
              <w:rPr>
                <w:sz w:val="22"/>
                <w:szCs w:val="22"/>
              </w:rPr>
              <w:t>Disposals</w:t>
            </w:r>
          </w:p>
        </w:tc>
        <w:tc>
          <w:tcPr>
            <w:tcW w:w="2126" w:type="dxa"/>
            <w:tcBorders>
              <w:left w:val="nil"/>
              <w:right w:val="nil"/>
            </w:tcBorders>
            <w:vAlign w:val="bottom"/>
          </w:tcPr>
          <w:p w14:paraId="3FFD7FA1" w14:textId="77AEEEE0" w:rsidR="00525092" w:rsidRPr="008E3E7F" w:rsidRDefault="00525092" w:rsidP="00656716">
            <w:pPr>
              <w:ind w:left="-1950" w:right="38" w:firstLine="1950"/>
              <w:jc w:val="right"/>
              <w:rPr>
                <w:sz w:val="22"/>
                <w:szCs w:val="22"/>
              </w:rPr>
            </w:pPr>
            <w:r>
              <w:rPr>
                <w:sz w:val="22"/>
                <w:szCs w:val="22"/>
              </w:rPr>
              <w:t>(</w:t>
            </w:r>
            <w:r w:rsidR="003D10E6">
              <w:rPr>
                <w:sz w:val="22"/>
                <w:szCs w:val="22"/>
              </w:rPr>
              <w:t>55,717</w:t>
            </w:r>
            <w:r>
              <w:rPr>
                <w:sz w:val="22"/>
                <w:szCs w:val="22"/>
              </w:rPr>
              <w:t>)</w:t>
            </w:r>
          </w:p>
        </w:tc>
        <w:tc>
          <w:tcPr>
            <w:tcW w:w="1266" w:type="dxa"/>
            <w:tcBorders>
              <w:left w:val="nil"/>
              <w:right w:val="nil"/>
            </w:tcBorders>
            <w:vAlign w:val="bottom"/>
          </w:tcPr>
          <w:p w14:paraId="7B1612FC" w14:textId="11E1283E" w:rsidR="00525092" w:rsidRPr="008E3E7F" w:rsidRDefault="00ED67F5" w:rsidP="00E34C09">
            <w:pPr>
              <w:ind w:left="-1950" w:right="38" w:firstLine="1950"/>
              <w:jc w:val="right"/>
              <w:rPr>
                <w:sz w:val="22"/>
                <w:szCs w:val="22"/>
              </w:rPr>
            </w:pPr>
            <w:r>
              <w:rPr>
                <w:sz w:val="22"/>
                <w:szCs w:val="22"/>
              </w:rPr>
              <w:t>-</w:t>
            </w:r>
          </w:p>
        </w:tc>
        <w:tc>
          <w:tcPr>
            <w:tcW w:w="2136" w:type="dxa"/>
            <w:tcBorders>
              <w:left w:val="nil"/>
              <w:right w:val="nil"/>
            </w:tcBorders>
            <w:vAlign w:val="bottom"/>
          </w:tcPr>
          <w:p w14:paraId="18E3430A" w14:textId="5F6F8005" w:rsidR="00525092" w:rsidRPr="008E3E7F" w:rsidRDefault="0023306D" w:rsidP="00420155">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618F82EA" w14:textId="1C0247C8" w:rsidR="00525092" w:rsidRDefault="0023306D" w:rsidP="00420155">
            <w:pPr>
              <w:ind w:right="69"/>
              <w:jc w:val="right"/>
              <w:rPr>
                <w:sz w:val="22"/>
                <w:szCs w:val="22"/>
              </w:rPr>
            </w:pPr>
            <w:r>
              <w:rPr>
                <w:sz w:val="22"/>
                <w:szCs w:val="22"/>
              </w:rPr>
              <w:t>(</w:t>
            </w:r>
            <w:r w:rsidR="00ED67F5">
              <w:rPr>
                <w:sz w:val="22"/>
                <w:szCs w:val="22"/>
              </w:rPr>
              <w:t>55,717</w:t>
            </w:r>
            <w:r>
              <w:rPr>
                <w:sz w:val="22"/>
                <w:szCs w:val="22"/>
              </w:rPr>
              <w:t>)</w:t>
            </w:r>
          </w:p>
        </w:tc>
      </w:tr>
      <w:tr w:rsidR="003E2A3C" w:rsidRPr="00F777CB" w14:paraId="5FC776CE" w14:textId="77777777" w:rsidTr="003E2A3C">
        <w:trPr>
          <w:trHeight w:val="317"/>
        </w:trPr>
        <w:tc>
          <w:tcPr>
            <w:tcW w:w="2694" w:type="dxa"/>
            <w:tcBorders>
              <w:top w:val="nil"/>
              <w:left w:val="nil"/>
              <w:bottom w:val="nil"/>
              <w:right w:val="nil"/>
            </w:tcBorders>
            <w:noWrap/>
            <w:tcMar>
              <w:top w:w="15" w:type="dxa"/>
              <w:left w:w="15" w:type="dxa"/>
              <w:bottom w:w="0" w:type="dxa"/>
              <w:right w:w="15" w:type="dxa"/>
            </w:tcMar>
            <w:vAlign w:val="bottom"/>
          </w:tcPr>
          <w:p w14:paraId="1B38985E" w14:textId="77777777" w:rsidR="003E2A3C" w:rsidRPr="00F777CB" w:rsidRDefault="003E2A3C" w:rsidP="002467B9">
            <w:pPr>
              <w:rPr>
                <w:sz w:val="22"/>
                <w:szCs w:val="22"/>
              </w:rPr>
            </w:pPr>
            <w:r>
              <w:rPr>
                <w:sz w:val="22"/>
                <w:szCs w:val="22"/>
              </w:rPr>
              <w:t>Impairment</w:t>
            </w:r>
          </w:p>
        </w:tc>
        <w:tc>
          <w:tcPr>
            <w:tcW w:w="2126" w:type="dxa"/>
            <w:tcBorders>
              <w:left w:val="nil"/>
              <w:bottom w:val="single" w:sz="4" w:space="0" w:color="auto"/>
              <w:right w:val="nil"/>
            </w:tcBorders>
            <w:vAlign w:val="bottom"/>
          </w:tcPr>
          <w:p w14:paraId="653A0F69" w14:textId="0D0EF7FF" w:rsidR="003E2A3C" w:rsidRPr="008E3E7F" w:rsidRDefault="003D10E6" w:rsidP="00656716">
            <w:pPr>
              <w:ind w:left="-1950" w:right="38" w:firstLine="1950"/>
              <w:jc w:val="right"/>
              <w:rPr>
                <w:sz w:val="22"/>
                <w:szCs w:val="22"/>
              </w:rPr>
            </w:pPr>
            <w:r>
              <w:rPr>
                <w:sz w:val="22"/>
                <w:szCs w:val="22"/>
              </w:rPr>
              <w:t>6,250</w:t>
            </w:r>
          </w:p>
        </w:tc>
        <w:tc>
          <w:tcPr>
            <w:tcW w:w="1266" w:type="dxa"/>
            <w:tcBorders>
              <w:left w:val="nil"/>
              <w:bottom w:val="single" w:sz="4" w:space="0" w:color="auto"/>
              <w:right w:val="nil"/>
            </w:tcBorders>
            <w:vAlign w:val="bottom"/>
          </w:tcPr>
          <w:p w14:paraId="7F6E10FF" w14:textId="2D0DEBAC" w:rsidR="003E2A3C" w:rsidRPr="008E3E7F" w:rsidRDefault="00ED67F5" w:rsidP="00E34C09">
            <w:pPr>
              <w:ind w:left="-1950" w:right="38" w:firstLine="1950"/>
              <w:jc w:val="right"/>
              <w:rPr>
                <w:sz w:val="22"/>
                <w:szCs w:val="22"/>
              </w:rPr>
            </w:pPr>
            <w:r>
              <w:rPr>
                <w:sz w:val="22"/>
                <w:szCs w:val="22"/>
              </w:rPr>
              <w:t>(51,097)</w:t>
            </w:r>
          </w:p>
        </w:tc>
        <w:tc>
          <w:tcPr>
            <w:tcW w:w="2136" w:type="dxa"/>
            <w:tcBorders>
              <w:left w:val="nil"/>
              <w:bottom w:val="single" w:sz="4" w:space="0" w:color="auto"/>
              <w:right w:val="nil"/>
            </w:tcBorders>
            <w:vAlign w:val="bottom"/>
          </w:tcPr>
          <w:p w14:paraId="3C8F0F62" w14:textId="77777777" w:rsidR="003E2A3C" w:rsidRDefault="003E2A3C" w:rsidP="00420155">
            <w:pPr>
              <w:ind w:right="38"/>
              <w:jc w:val="right"/>
              <w:rPr>
                <w:sz w:val="22"/>
                <w:szCs w:val="22"/>
              </w:rPr>
            </w:pPr>
            <w:r w:rsidRPr="008E3E7F">
              <w:rPr>
                <w:sz w:val="22"/>
                <w:szCs w:val="22"/>
              </w:rPr>
              <w:t>-</w:t>
            </w:r>
          </w:p>
        </w:tc>
        <w:tc>
          <w:tcPr>
            <w:tcW w:w="1710" w:type="dxa"/>
            <w:tcBorders>
              <w:left w:val="nil"/>
              <w:bottom w:val="single" w:sz="4" w:space="0" w:color="auto"/>
              <w:right w:val="nil"/>
            </w:tcBorders>
            <w:noWrap/>
            <w:tcMar>
              <w:top w:w="15" w:type="dxa"/>
              <w:left w:w="15" w:type="dxa"/>
              <w:bottom w:w="0" w:type="dxa"/>
              <w:right w:w="15" w:type="dxa"/>
            </w:tcMar>
            <w:vAlign w:val="bottom"/>
          </w:tcPr>
          <w:p w14:paraId="62F4AE16" w14:textId="2D345D02" w:rsidR="003E2A3C" w:rsidRPr="00826D44" w:rsidRDefault="00ED67F5" w:rsidP="00420155">
            <w:pPr>
              <w:ind w:right="69"/>
              <w:jc w:val="right"/>
              <w:rPr>
                <w:sz w:val="22"/>
                <w:szCs w:val="22"/>
              </w:rPr>
            </w:pPr>
            <w:r>
              <w:rPr>
                <w:sz w:val="22"/>
                <w:szCs w:val="22"/>
              </w:rPr>
              <w:t>(44,847)</w:t>
            </w:r>
          </w:p>
        </w:tc>
      </w:tr>
      <w:tr w:rsidR="003E2A3C" w:rsidRPr="00F777CB" w14:paraId="47FD1BA6" w14:textId="77777777" w:rsidTr="003E2A3C">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02259D7F" w14:textId="219A972A" w:rsidR="003E2A3C" w:rsidRPr="00F777CB" w:rsidRDefault="003E2A3C" w:rsidP="002467B9">
            <w:pPr>
              <w:rPr>
                <w:rFonts w:eastAsia="Arial Unicode MS"/>
                <w:sz w:val="22"/>
                <w:szCs w:val="22"/>
              </w:rPr>
            </w:pPr>
            <w:r>
              <w:rPr>
                <w:sz w:val="22"/>
                <w:szCs w:val="22"/>
              </w:rPr>
              <w:t xml:space="preserve">At </w:t>
            </w:r>
            <w:r w:rsidR="003D10E6">
              <w:rPr>
                <w:sz w:val="22"/>
                <w:szCs w:val="22"/>
              </w:rPr>
              <w:t>31 December</w:t>
            </w:r>
            <w:r>
              <w:rPr>
                <w:sz w:val="22"/>
                <w:szCs w:val="22"/>
              </w:rPr>
              <w:t xml:space="preserve"> 201</w:t>
            </w:r>
            <w:r w:rsidR="00525092">
              <w:rPr>
                <w:sz w:val="22"/>
                <w:szCs w:val="22"/>
              </w:rPr>
              <w:t>9</w:t>
            </w:r>
          </w:p>
        </w:tc>
        <w:tc>
          <w:tcPr>
            <w:tcW w:w="2126" w:type="dxa"/>
            <w:tcBorders>
              <w:top w:val="single" w:sz="4" w:space="0" w:color="auto"/>
              <w:left w:val="nil"/>
              <w:bottom w:val="single" w:sz="4" w:space="0" w:color="auto"/>
              <w:right w:val="nil"/>
            </w:tcBorders>
            <w:vAlign w:val="bottom"/>
          </w:tcPr>
          <w:p w14:paraId="7817D0BF" w14:textId="60F21F38" w:rsidR="003E2A3C" w:rsidRDefault="003D10E6" w:rsidP="00656716">
            <w:pPr>
              <w:ind w:left="-1950" w:right="38" w:firstLine="1950"/>
              <w:jc w:val="right"/>
              <w:rPr>
                <w:sz w:val="22"/>
                <w:szCs w:val="22"/>
              </w:rPr>
            </w:pPr>
            <w:r>
              <w:rPr>
                <w:sz w:val="22"/>
                <w:szCs w:val="22"/>
              </w:rPr>
              <w:t>83,333</w:t>
            </w:r>
          </w:p>
        </w:tc>
        <w:tc>
          <w:tcPr>
            <w:tcW w:w="1266" w:type="dxa"/>
            <w:tcBorders>
              <w:top w:val="single" w:sz="4" w:space="0" w:color="auto"/>
              <w:left w:val="nil"/>
              <w:bottom w:val="single" w:sz="4" w:space="0" w:color="auto"/>
              <w:right w:val="nil"/>
            </w:tcBorders>
            <w:vAlign w:val="bottom"/>
          </w:tcPr>
          <w:p w14:paraId="44B037C2" w14:textId="694D72CC" w:rsidR="003E2A3C" w:rsidRDefault="003D10E6" w:rsidP="00E34C09">
            <w:pPr>
              <w:ind w:left="-1950" w:right="38" w:firstLine="1950"/>
              <w:jc w:val="right"/>
              <w:rPr>
                <w:sz w:val="22"/>
                <w:szCs w:val="22"/>
              </w:rPr>
            </w:pPr>
            <w:r>
              <w:rPr>
                <w:sz w:val="22"/>
                <w:szCs w:val="22"/>
              </w:rPr>
              <w:t>131,667</w:t>
            </w:r>
          </w:p>
        </w:tc>
        <w:tc>
          <w:tcPr>
            <w:tcW w:w="2136" w:type="dxa"/>
            <w:tcBorders>
              <w:top w:val="single" w:sz="4" w:space="0" w:color="auto"/>
              <w:left w:val="nil"/>
              <w:bottom w:val="single" w:sz="4" w:space="0" w:color="auto"/>
              <w:right w:val="nil"/>
            </w:tcBorders>
            <w:vAlign w:val="bottom"/>
          </w:tcPr>
          <w:p w14:paraId="3757EE82" w14:textId="6516C88B" w:rsidR="003E2A3C" w:rsidRDefault="003D10E6" w:rsidP="00420155">
            <w:pPr>
              <w:ind w:right="38"/>
              <w:jc w:val="right"/>
              <w:rPr>
                <w:sz w:val="22"/>
                <w:szCs w:val="22"/>
              </w:rPr>
            </w:pPr>
            <w:r>
              <w:rPr>
                <w:sz w:val="22"/>
                <w:szCs w:val="22"/>
              </w:rPr>
              <w:t>666,291</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476ADFA" w14:textId="6B52E4B6" w:rsidR="003E2A3C" w:rsidRPr="00826D44" w:rsidRDefault="003D10E6" w:rsidP="00420155">
            <w:pPr>
              <w:ind w:right="69"/>
              <w:jc w:val="right"/>
              <w:rPr>
                <w:rFonts w:eastAsia="Arial Unicode MS"/>
                <w:sz w:val="22"/>
                <w:szCs w:val="22"/>
              </w:rPr>
            </w:pPr>
            <w:r>
              <w:rPr>
                <w:sz w:val="22"/>
                <w:szCs w:val="22"/>
              </w:rPr>
              <w:t>881,291</w:t>
            </w:r>
          </w:p>
        </w:tc>
      </w:tr>
      <w:tr w:rsidR="003E2A3C" w:rsidRPr="00F777CB" w14:paraId="729C6EA5" w14:textId="77777777" w:rsidTr="003E2A3C">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541A8240" w14:textId="77777777" w:rsidR="003E2A3C" w:rsidRPr="00F777CB" w:rsidRDefault="003E2A3C" w:rsidP="002467B9">
            <w:pPr>
              <w:rPr>
                <w:sz w:val="22"/>
                <w:szCs w:val="22"/>
              </w:rPr>
            </w:pPr>
            <w:r w:rsidRPr="00F777CB">
              <w:rPr>
                <w:sz w:val="22"/>
                <w:szCs w:val="22"/>
              </w:rPr>
              <w:t>Additions</w:t>
            </w:r>
          </w:p>
        </w:tc>
        <w:tc>
          <w:tcPr>
            <w:tcW w:w="2126" w:type="dxa"/>
            <w:tcBorders>
              <w:top w:val="single" w:sz="4" w:space="0" w:color="auto"/>
              <w:left w:val="nil"/>
              <w:right w:val="nil"/>
            </w:tcBorders>
            <w:vAlign w:val="bottom"/>
          </w:tcPr>
          <w:p w14:paraId="1803AE04" w14:textId="3C047387" w:rsidR="003E2A3C" w:rsidRDefault="003D10E6" w:rsidP="00656716">
            <w:pPr>
              <w:ind w:left="-1950" w:right="38" w:firstLine="1950"/>
              <w:jc w:val="right"/>
              <w:rPr>
                <w:sz w:val="22"/>
                <w:szCs w:val="22"/>
              </w:rPr>
            </w:pPr>
            <w:r>
              <w:rPr>
                <w:sz w:val="22"/>
                <w:szCs w:val="22"/>
              </w:rPr>
              <w:t>-</w:t>
            </w:r>
          </w:p>
        </w:tc>
        <w:tc>
          <w:tcPr>
            <w:tcW w:w="1266" w:type="dxa"/>
            <w:tcBorders>
              <w:top w:val="single" w:sz="4" w:space="0" w:color="auto"/>
              <w:left w:val="nil"/>
              <w:right w:val="nil"/>
            </w:tcBorders>
            <w:vAlign w:val="bottom"/>
          </w:tcPr>
          <w:p w14:paraId="60377DFB" w14:textId="02625186" w:rsidR="003E2A3C" w:rsidRDefault="00E87F64" w:rsidP="00E34C09">
            <w:pPr>
              <w:ind w:left="-1950" w:right="38" w:firstLine="1950"/>
              <w:jc w:val="right"/>
              <w:rPr>
                <w:sz w:val="22"/>
                <w:szCs w:val="22"/>
              </w:rPr>
            </w:pPr>
            <w:r>
              <w:rPr>
                <w:sz w:val="22"/>
                <w:szCs w:val="22"/>
              </w:rPr>
              <w:t>334,985</w:t>
            </w:r>
          </w:p>
        </w:tc>
        <w:tc>
          <w:tcPr>
            <w:tcW w:w="2136" w:type="dxa"/>
            <w:tcBorders>
              <w:top w:val="single" w:sz="4" w:space="0" w:color="auto"/>
              <w:left w:val="nil"/>
              <w:right w:val="nil"/>
            </w:tcBorders>
            <w:vAlign w:val="bottom"/>
          </w:tcPr>
          <w:p w14:paraId="4BE8FEAB" w14:textId="28839A1C" w:rsidR="003E2A3C" w:rsidRDefault="00E87F64" w:rsidP="00420155">
            <w:pPr>
              <w:ind w:right="38"/>
              <w:jc w:val="right"/>
              <w:rPr>
                <w:sz w:val="22"/>
                <w:szCs w:val="22"/>
              </w:rPr>
            </w:pPr>
            <w:r>
              <w:rPr>
                <w:sz w:val="22"/>
                <w:szCs w:val="22"/>
              </w:rPr>
              <w:t>2,646</w:t>
            </w:r>
          </w:p>
        </w:tc>
        <w:tc>
          <w:tcPr>
            <w:tcW w:w="1710" w:type="dxa"/>
            <w:tcBorders>
              <w:top w:val="single" w:sz="4" w:space="0" w:color="auto"/>
              <w:left w:val="nil"/>
              <w:right w:val="nil"/>
            </w:tcBorders>
            <w:noWrap/>
            <w:tcMar>
              <w:top w:w="15" w:type="dxa"/>
              <w:left w:w="15" w:type="dxa"/>
              <w:bottom w:w="0" w:type="dxa"/>
              <w:right w:w="15" w:type="dxa"/>
            </w:tcMar>
            <w:vAlign w:val="bottom"/>
          </w:tcPr>
          <w:p w14:paraId="4E0A0CDE" w14:textId="4E46D749" w:rsidR="003E2A3C" w:rsidRPr="008E3E7F" w:rsidRDefault="00E87F64" w:rsidP="00420155">
            <w:pPr>
              <w:ind w:right="69"/>
              <w:jc w:val="right"/>
              <w:rPr>
                <w:sz w:val="22"/>
                <w:szCs w:val="22"/>
              </w:rPr>
            </w:pPr>
            <w:r>
              <w:rPr>
                <w:sz w:val="22"/>
                <w:szCs w:val="22"/>
              </w:rPr>
              <w:t>337,631</w:t>
            </w:r>
          </w:p>
        </w:tc>
      </w:tr>
      <w:tr w:rsidR="003E2A3C" w:rsidRPr="00F777CB" w14:paraId="17B71638" w14:textId="77777777" w:rsidTr="003E2A3C">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470B9796" w14:textId="77777777" w:rsidR="003E2A3C" w:rsidRPr="00F777CB" w:rsidRDefault="003E2A3C" w:rsidP="002467B9">
            <w:pPr>
              <w:rPr>
                <w:sz w:val="22"/>
                <w:szCs w:val="22"/>
              </w:rPr>
            </w:pPr>
            <w:r>
              <w:rPr>
                <w:sz w:val="22"/>
                <w:szCs w:val="22"/>
              </w:rPr>
              <w:t>Disposals</w:t>
            </w:r>
          </w:p>
        </w:tc>
        <w:tc>
          <w:tcPr>
            <w:tcW w:w="2126" w:type="dxa"/>
            <w:tcBorders>
              <w:left w:val="nil"/>
              <w:right w:val="nil"/>
            </w:tcBorders>
            <w:vAlign w:val="bottom"/>
          </w:tcPr>
          <w:p w14:paraId="22C31E1A" w14:textId="0832F887" w:rsidR="003E2A3C" w:rsidRPr="007C489F" w:rsidRDefault="003E2A3C" w:rsidP="00656716">
            <w:pPr>
              <w:ind w:left="-1950" w:right="38" w:firstLine="1950"/>
              <w:jc w:val="right"/>
              <w:rPr>
                <w:sz w:val="22"/>
                <w:szCs w:val="22"/>
              </w:rPr>
            </w:pPr>
            <w:r w:rsidRPr="007C489F">
              <w:rPr>
                <w:sz w:val="22"/>
                <w:szCs w:val="22"/>
              </w:rPr>
              <w:t>(</w:t>
            </w:r>
            <w:r w:rsidR="003D10E6">
              <w:rPr>
                <w:sz w:val="22"/>
                <w:szCs w:val="22"/>
              </w:rPr>
              <w:t>83,333</w:t>
            </w:r>
            <w:r w:rsidRPr="007C489F">
              <w:rPr>
                <w:sz w:val="22"/>
                <w:szCs w:val="22"/>
              </w:rPr>
              <w:t>)</w:t>
            </w:r>
          </w:p>
        </w:tc>
        <w:tc>
          <w:tcPr>
            <w:tcW w:w="1266" w:type="dxa"/>
            <w:tcBorders>
              <w:left w:val="nil"/>
              <w:right w:val="nil"/>
            </w:tcBorders>
            <w:vAlign w:val="bottom"/>
          </w:tcPr>
          <w:p w14:paraId="32667F4C" w14:textId="187C8718" w:rsidR="003E2A3C" w:rsidRPr="007C489F" w:rsidRDefault="003D10E6" w:rsidP="00E34C09">
            <w:pPr>
              <w:ind w:left="-1950" w:right="38" w:firstLine="1950"/>
              <w:jc w:val="right"/>
              <w:rPr>
                <w:sz w:val="22"/>
                <w:szCs w:val="22"/>
              </w:rPr>
            </w:pPr>
            <w:r>
              <w:rPr>
                <w:sz w:val="22"/>
                <w:szCs w:val="22"/>
              </w:rPr>
              <w:t>-</w:t>
            </w:r>
          </w:p>
        </w:tc>
        <w:tc>
          <w:tcPr>
            <w:tcW w:w="2136" w:type="dxa"/>
            <w:tcBorders>
              <w:left w:val="nil"/>
              <w:right w:val="nil"/>
            </w:tcBorders>
            <w:vAlign w:val="bottom"/>
          </w:tcPr>
          <w:p w14:paraId="212E54C3" w14:textId="77777777" w:rsidR="003E2A3C" w:rsidRDefault="003E2A3C" w:rsidP="00420155">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2257A73A" w14:textId="4BAC089B" w:rsidR="003E2A3C" w:rsidRDefault="003E2A3C" w:rsidP="00420155">
            <w:pPr>
              <w:ind w:right="69"/>
              <w:jc w:val="right"/>
              <w:rPr>
                <w:sz w:val="22"/>
                <w:szCs w:val="22"/>
              </w:rPr>
            </w:pPr>
            <w:r>
              <w:rPr>
                <w:sz w:val="22"/>
                <w:szCs w:val="22"/>
              </w:rPr>
              <w:t>(</w:t>
            </w:r>
            <w:r w:rsidR="003D10E6">
              <w:rPr>
                <w:sz w:val="22"/>
                <w:szCs w:val="22"/>
              </w:rPr>
              <w:t>83,333</w:t>
            </w:r>
            <w:r>
              <w:rPr>
                <w:sz w:val="22"/>
                <w:szCs w:val="22"/>
              </w:rPr>
              <w:t>)</w:t>
            </w:r>
          </w:p>
        </w:tc>
      </w:tr>
      <w:tr w:rsidR="009635B1" w:rsidRPr="00F777CB" w14:paraId="51BE2261" w14:textId="77777777" w:rsidTr="003E2A3C">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25DD92F7" w14:textId="59F49410" w:rsidR="009635B1" w:rsidRDefault="009635B1" w:rsidP="002467B9">
            <w:pPr>
              <w:rPr>
                <w:sz w:val="22"/>
                <w:szCs w:val="22"/>
              </w:rPr>
            </w:pPr>
            <w:r>
              <w:rPr>
                <w:sz w:val="22"/>
                <w:szCs w:val="22"/>
              </w:rPr>
              <w:t>Impairment</w:t>
            </w:r>
          </w:p>
        </w:tc>
        <w:tc>
          <w:tcPr>
            <w:tcW w:w="2126" w:type="dxa"/>
            <w:tcBorders>
              <w:left w:val="nil"/>
              <w:right w:val="nil"/>
            </w:tcBorders>
            <w:vAlign w:val="bottom"/>
          </w:tcPr>
          <w:p w14:paraId="405BDB48" w14:textId="11D0CACD" w:rsidR="009635B1" w:rsidRPr="007C489F" w:rsidRDefault="003D10E6" w:rsidP="00656716">
            <w:pPr>
              <w:ind w:left="-1950" w:right="38" w:firstLine="1950"/>
              <w:jc w:val="right"/>
              <w:rPr>
                <w:sz w:val="22"/>
                <w:szCs w:val="22"/>
              </w:rPr>
            </w:pPr>
            <w:r>
              <w:rPr>
                <w:sz w:val="22"/>
                <w:szCs w:val="22"/>
              </w:rPr>
              <w:t>-</w:t>
            </w:r>
          </w:p>
        </w:tc>
        <w:tc>
          <w:tcPr>
            <w:tcW w:w="1266" w:type="dxa"/>
            <w:tcBorders>
              <w:left w:val="nil"/>
              <w:right w:val="nil"/>
            </w:tcBorders>
            <w:vAlign w:val="bottom"/>
          </w:tcPr>
          <w:p w14:paraId="1EF832EC" w14:textId="18806C41" w:rsidR="009635B1" w:rsidRDefault="009635B1" w:rsidP="00E34C09">
            <w:pPr>
              <w:ind w:left="-1950" w:right="38" w:firstLine="1950"/>
              <w:jc w:val="right"/>
              <w:rPr>
                <w:sz w:val="22"/>
                <w:szCs w:val="22"/>
              </w:rPr>
            </w:pPr>
            <w:r>
              <w:rPr>
                <w:sz w:val="22"/>
                <w:szCs w:val="22"/>
              </w:rPr>
              <w:t>-</w:t>
            </w:r>
          </w:p>
        </w:tc>
        <w:tc>
          <w:tcPr>
            <w:tcW w:w="2136" w:type="dxa"/>
            <w:tcBorders>
              <w:left w:val="nil"/>
              <w:right w:val="nil"/>
            </w:tcBorders>
            <w:vAlign w:val="bottom"/>
          </w:tcPr>
          <w:p w14:paraId="32C65270" w14:textId="11C5C8AA" w:rsidR="009635B1" w:rsidRDefault="009635B1" w:rsidP="00420155">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7D557032" w14:textId="5BEFD83C" w:rsidR="009635B1" w:rsidRDefault="003D10E6" w:rsidP="00420155">
            <w:pPr>
              <w:ind w:right="69"/>
              <w:jc w:val="right"/>
              <w:rPr>
                <w:sz w:val="22"/>
                <w:szCs w:val="22"/>
              </w:rPr>
            </w:pPr>
            <w:r>
              <w:rPr>
                <w:sz w:val="22"/>
                <w:szCs w:val="22"/>
              </w:rPr>
              <w:t>-</w:t>
            </w:r>
          </w:p>
        </w:tc>
      </w:tr>
      <w:tr w:rsidR="003E2A3C" w:rsidRPr="00F777CB" w14:paraId="12A607B8" w14:textId="77777777" w:rsidTr="003E2A3C">
        <w:trPr>
          <w:trHeight w:val="332"/>
        </w:trPr>
        <w:tc>
          <w:tcPr>
            <w:tcW w:w="2694" w:type="dxa"/>
            <w:tcBorders>
              <w:top w:val="nil"/>
              <w:left w:val="nil"/>
              <w:bottom w:val="nil"/>
              <w:right w:val="nil"/>
            </w:tcBorders>
            <w:noWrap/>
            <w:tcMar>
              <w:top w:w="15" w:type="dxa"/>
              <w:left w:w="15" w:type="dxa"/>
              <w:bottom w:w="0" w:type="dxa"/>
              <w:right w:w="15" w:type="dxa"/>
            </w:tcMar>
            <w:vAlign w:val="bottom"/>
          </w:tcPr>
          <w:p w14:paraId="21418F7B" w14:textId="4246A066" w:rsidR="003E2A3C" w:rsidRPr="00F777CB" w:rsidRDefault="003E2A3C" w:rsidP="002467B9">
            <w:pPr>
              <w:rPr>
                <w:sz w:val="22"/>
                <w:szCs w:val="22"/>
              </w:rPr>
            </w:pPr>
            <w:r>
              <w:rPr>
                <w:sz w:val="22"/>
                <w:szCs w:val="22"/>
              </w:rPr>
              <w:t xml:space="preserve">At </w:t>
            </w:r>
            <w:r w:rsidR="0023306D">
              <w:rPr>
                <w:sz w:val="22"/>
                <w:szCs w:val="22"/>
              </w:rPr>
              <w:t>31 December</w:t>
            </w:r>
            <w:r>
              <w:rPr>
                <w:sz w:val="22"/>
                <w:szCs w:val="22"/>
              </w:rPr>
              <w:t xml:space="preserve"> </w:t>
            </w:r>
            <w:r w:rsidR="003D10E6">
              <w:rPr>
                <w:sz w:val="22"/>
                <w:szCs w:val="22"/>
              </w:rPr>
              <w:t>2020</w:t>
            </w:r>
          </w:p>
        </w:tc>
        <w:tc>
          <w:tcPr>
            <w:tcW w:w="2126" w:type="dxa"/>
            <w:tcBorders>
              <w:top w:val="single" w:sz="4" w:space="0" w:color="auto"/>
              <w:left w:val="nil"/>
              <w:bottom w:val="single" w:sz="4" w:space="0" w:color="auto"/>
              <w:right w:val="nil"/>
            </w:tcBorders>
            <w:vAlign w:val="bottom"/>
          </w:tcPr>
          <w:p w14:paraId="6B2A2258" w14:textId="3E58A8C9" w:rsidR="003E2A3C" w:rsidRDefault="003D10E6" w:rsidP="00656716">
            <w:pPr>
              <w:ind w:left="-1950" w:right="38" w:firstLine="1950"/>
              <w:jc w:val="right"/>
              <w:rPr>
                <w:sz w:val="22"/>
                <w:szCs w:val="22"/>
              </w:rPr>
            </w:pPr>
            <w:r>
              <w:rPr>
                <w:sz w:val="22"/>
                <w:szCs w:val="22"/>
              </w:rPr>
              <w:t>-</w:t>
            </w:r>
          </w:p>
        </w:tc>
        <w:tc>
          <w:tcPr>
            <w:tcW w:w="1266" w:type="dxa"/>
            <w:tcBorders>
              <w:top w:val="single" w:sz="4" w:space="0" w:color="auto"/>
              <w:left w:val="nil"/>
              <w:bottom w:val="single" w:sz="4" w:space="0" w:color="auto"/>
              <w:right w:val="nil"/>
            </w:tcBorders>
            <w:vAlign w:val="bottom"/>
          </w:tcPr>
          <w:p w14:paraId="4A7480CE" w14:textId="4A61C26E" w:rsidR="003E2A3C" w:rsidRDefault="00E87F64" w:rsidP="00E34C09">
            <w:pPr>
              <w:ind w:left="-1950" w:right="38" w:firstLine="1950"/>
              <w:jc w:val="right"/>
              <w:rPr>
                <w:sz w:val="22"/>
                <w:szCs w:val="22"/>
              </w:rPr>
            </w:pPr>
            <w:r>
              <w:rPr>
                <w:sz w:val="22"/>
                <w:szCs w:val="22"/>
              </w:rPr>
              <w:t>466,652</w:t>
            </w:r>
          </w:p>
        </w:tc>
        <w:tc>
          <w:tcPr>
            <w:tcW w:w="2136" w:type="dxa"/>
            <w:tcBorders>
              <w:top w:val="single" w:sz="4" w:space="0" w:color="auto"/>
              <w:left w:val="nil"/>
              <w:bottom w:val="single" w:sz="4" w:space="0" w:color="auto"/>
              <w:right w:val="nil"/>
            </w:tcBorders>
            <w:vAlign w:val="bottom"/>
          </w:tcPr>
          <w:p w14:paraId="727E3BF8" w14:textId="7F9BED8D" w:rsidR="003E2A3C" w:rsidRDefault="00E87F64" w:rsidP="00420155">
            <w:pPr>
              <w:ind w:right="38"/>
              <w:jc w:val="right"/>
              <w:rPr>
                <w:sz w:val="22"/>
                <w:szCs w:val="22"/>
              </w:rPr>
            </w:pPr>
            <w:r>
              <w:rPr>
                <w:sz w:val="22"/>
                <w:szCs w:val="22"/>
              </w:rPr>
              <w:t>668,937</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8F3F90C" w14:textId="3334AE6B" w:rsidR="003E2A3C" w:rsidRPr="008E3E7F" w:rsidRDefault="00E87F64" w:rsidP="00420155">
            <w:pPr>
              <w:ind w:right="69"/>
              <w:jc w:val="right"/>
              <w:rPr>
                <w:sz w:val="22"/>
                <w:szCs w:val="22"/>
              </w:rPr>
            </w:pPr>
            <w:r>
              <w:rPr>
                <w:sz w:val="22"/>
                <w:szCs w:val="22"/>
              </w:rPr>
              <w:t>1,135,589</w:t>
            </w:r>
          </w:p>
        </w:tc>
      </w:tr>
    </w:tbl>
    <w:p w14:paraId="7B925C81" w14:textId="560CAC3F" w:rsidR="00B15E11" w:rsidRDefault="00B15E11" w:rsidP="00381766">
      <w:pPr>
        <w:rPr>
          <w:b/>
          <w:sz w:val="22"/>
          <w:szCs w:val="22"/>
        </w:rPr>
      </w:pPr>
    </w:p>
    <w:p w14:paraId="3F38D410" w14:textId="022C483A" w:rsidR="00C76EF7" w:rsidRDefault="00C76EF7" w:rsidP="00381766">
      <w:pPr>
        <w:rPr>
          <w:b/>
          <w:sz w:val="22"/>
          <w:szCs w:val="22"/>
        </w:rPr>
      </w:pPr>
    </w:p>
    <w:p w14:paraId="77DB8773" w14:textId="4C30794D" w:rsidR="00C76EF7" w:rsidRDefault="00C76EF7" w:rsidP="00381766">
      <w:pPr>
        <w:rPr>
          <w:b/>
          <w:sz w:val="22"/>
          <w:szCs w:val="22"/>
        </w:rPr>
      </w:pPr>
    </w:p>
    <w:p w14:paraId="7AAA6DCA" w14:textId="30DDA3BC" w:rsidR="00C76EF7" w:rsidRDefault="00C76EF7" w:rsidP="00381766">
      <w:pPr>
        <w:rPr>
          <w:b/>
          <w:sz w:val="22"/>
          <w:szCs w:val="22"/>
        </w:rPr>
      </w:pPr>
    </w:p>
    <w:p w14:paraId="41DF418F" w14:textId="77777777" w:rsidR="00C76EF7" w:rsidRDefault="00C76EF7" w:rsidP="00381766">
      <w:pPr>
        <w:rPr>
          <w:b/>
          <w:sz w:val="22"/>
          <w:szCs w:val="22"/>
        </w:rPr>
      </w:pPr>
    </w:p>
    <w:p w14:paraId="43A5C11C" w14:textId="776F1555" w:rsidR="00381766" w:rsidRDefault="00574165" w:rsidP="00381766">
      <w:pPr>
        <w:rPr>
          <w:b/>
          <w:sz w:val="22"/>
          <w:szCs w:val="22"/>
        </w:rPr>
      </w:pPr>
      <w:r>
        <w:rPr>
          <w:b/>
          <w:sz w:val="22"/>
          <w:szCs w:val="22"/>
        </w:rPr>
        <w:t>9</w:t>
      </w:r>
      <w:r w:rsidR="00381766" w:rsidRPr="00F777CB">
        <w:rPr>
          <w:b/>
          <w:sz w:val="22"/>
          <w:szCs w:val="22"/>
        </w:rPr>
        <w:t>.</w:t>
      </w:r>
      <w:r w:rsidR="00381766" w:rsidRPr="00F777CB">
        <w:rPr>
          <w:sz w:val="22"/>
          <w:szCs w:val="22"/>
        </w:rPr>
        <w:tab/>
      </w:r>
      <w:r w:rsidR="00381766" w:rsidRPr="002E2FAA">
        <w:rPr>
          <w:b/>
          <w:sz w:val="22"/>
          <w:szCs w:val="22"/>
        </w:rPr>
        <w:t>INVESTMENTS IN SUBSIDIARY UNDERTAKINGS</w:t>
      </w:r>
    </w:p>
    <w:p w14:paraId="48EE2929" w14:textId="77777777" w:rsidR="00381766" w:rsidRPr="00F777CB" w:rsidRDefault="00381766" w:rsidP="00381766">
      <w:pPr>
        <w:ind w:left="270"/>
        <w:jc w:val="center"/>
        <w:rPr>
          <w:b/>
          <w:sz w:val="22"/>
          <w:szCs w:val="22"/>
        </w:rPr>
      </w:pPr>
    </w:p>
    <w:tbl>
      <w:tblPr>
        <w:tblW w:w="9915" w:type="dxa"/>
        <w:tblLayout w:type="fixed"/>
        <w:tblCellMar>
          <w:left w:w="0" w:type="dxa"/>
          <w:right w:w="0" w:type="dxa"/>
        </w:tblCellMar>
        <w:tblLook w:val="0000" w:firstRow="0" w:lastRow="0" w:firstColumn="0" w:lastColumn="0" w:noHBand="0" w:noVBand="0"/>
      </w:tblPr>
      <w:tblGrid>
        <w:gridCol w:w="4785"/>
        <w:gridCol w:w="1710"/>
        <w:gridCol w:w="1710"/>
        <w:gridCol w:w="1710"/>
      </w:tblGrid>
      <w:tr w:rsidR="00381766" w:rsidRPr="00F777CB" w14:paraId="6A15F05B"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73ADE980" w14:textId="77777777" w:rsidR="00381766" w:rsidRPr="00F777CB" w:rsidRDefault="00381766" w:rsidP="00081BD9">
            <w:pPr>
              <w:rPr>
                <w:rFonts w:eastAsia="Arial Unicode MS"/>
                <w:sz w:val="22"/>
                <w:szCs w:val="22"/>
              </w:rPr>
            </w:pPr>
          </w:p>
        </w:tc>
        <w:tc>
          <w:tcPr>
            <w:tcW w:w="1710" w:type="dxa"/>
            <w:tcBorders>
              <w:top w:val="nil"/>
              <w:left w:val="nil"/>
              <w:bottom w:val="nil"/>
              <w:right w:val="nil"/>
            </w:tcBorders>
            <w:vAlign w:val="bottom"/>
          </w:tcPr>
          <w:p w14:paraId="71E3CB02" w14:textId="77777777" w:rsidR="00381766" w:rsidRPr="00F777CB" w:rsidRDefault="00381766" w:rsidP="00656716">
            <w:pPr>
              <w:ind w:right="38"/>
              <w:jc w:val="right"/>
              <w:rPr>
                <w:b/>
                <w:bCs/>
                <w:sz w:val="22"/>
                <w:szCs w:val="22"/>
              </w:rPr>
            </w:pPr>
            <w:r w:rsidRPr="00F777CB">
              <w:rPr>
                <w:b/>
                <w:bCs/>
                <w:sz w:val="22"/>
                <w:szCs w:val="22"/>
              </w:rPr>
              <w:t>Investments</w:t>
            </w:r>
          </w:p>
        </w:tc>
        <w:tc>
          <w:tcPr>
            <w:tcW w:w="1710" w:type="dxa"/>
            <w:tcBorders>
              <w:top w:val="nil"/>
              <w:left w:val="nil"/>
              <w:bottom w:val="nil"/>
              <w:right w:val="nil"/>
            </w:tcBorders>
            <w:noWrap/>
            <w:tcMar>
              <w:top w:w="15" w:type="dxa"/>
              <w:left w:w="15" w:type="dxa"/>
              <w:bottom w:w="0" w:type="dxa"/>
              <w:right w:w="15" w:type="dxa"/>
            </w:tcMar>
            <w:vAlign w:val="bottom"/>
          </w:tcPr>
          <w:p w14:paraId="4AF00124" w14:textId="77777777" w:rsidR="00381766" w:rsidRPr="00F777CB" w:rsidRDefault="00381766" w:rsidP="00656716">
            <w:pPr>
              <w:ind w:right="38"/>
              <w:jc w:val="right"/>
              <w:rPr>
                <w:rFonts w:eastAsia="Arial Unicode MS"/>
                <w:b/>
                <w:bCs/>
                <w:sz w:val="22"/>
                <w:szCs w:val="22"/>
              </w:rPr>
            </w:pPr>
            <w:r w:rsidRPr="00F777CB">
              <w:rPr>
                <w:b/>
                <w:bCs/>
                <w:sz w:val="22"/>
                <w:szCs w:val="22"/>
              </w:rPr>
              <w:t>Loans</w:t>
            </w:r>
          </w:p>
        </w:tc>
        <w:tc>
          <w:tcPr>
            <w:tcW w:w="1710" w:type="dxa"/>
            <w:tcBorders>
              <w:top w:val="nil"/>
              <w:left w:val="nil"/>
              <w:bottom w:val="nil"/>
              <w:right w:val="nil"/>
            </w:tcBorders>
            <w:noWrap/>
            <w:tcMar>
              <w:top w:w="15" w:type="dxa"/>
              <w:left w:w="15" w:type="dxa"/>
              <w:bottom w:w="0" w:type="dxa"/>
              <w:right w:w="15" w:type="dxa"/>
            </w:tcMar>
            <w:vAlign w:val="bottom"/>
          </w:tcPr>
          <w:p w14:paraId="74688DD4" w14:textId="77777777" w:rsidR="00381766" w:rsidRPr="00F777CB" w:rsidRDefault="00381766" w:rsidP="00656716">
            <w:pPr>
              <w:ind w:right="69"/>
              <w:jc w:val="right"/>
              <w:rPr>
                <w:rFonts w:eastAsia="Arial Unicode MS"/>
                <w:b/>
                <w:bCs/>
                <w:sz w:val="22"/>
                <w:szCs w:val="22"/>
              </w:rPr>
            </w:pPr>
            <w:r w:rsidRPr="00F777CB">
              <w:rPr>
                <w:b/>
                <w:bCs/>
                <w:sz w:val="22"/>
                <w:szCs w:val="22"/>
              </w:rPr>
              <w:t>Total</w:t>
            </w:r>
          </w:p>
        </w:tc>
      </w:tr>
      <w:tr w:rsidR="00381766" w:rsidRPr="00F777CB" w14:paraId="77D7A3C3"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66B2B417" w14:textId="77777777" w:rsidR="00381766" w:rsidRPr="00F777CB" w:rsidRDefault="00381766" w:rsidP="00081BD9">
            <w:pPr>
              <w:rPr>
                <w:rFonts w:eastAsia="Arial Unicode MS"/>
                <w:sz w:val="22"/>
                <w:szCs w:val="22"/>
              </w:rPr>
            </w:pPr>
            <w:r w:rsidRPr="00F777CB">
              <w:rPr>
                <w:b/>
                <w:bCs/>
                <w:sz w:val="22"/>
                <w:szCs w:val="22"/>
              </w:rPr>
              <w:t>Company</w:t>
            </w:r>
          </w:p>
        </w:tc>
        <w:tc>
          <w:tcPr>
            <w:tcW w:w="1710" w:type="dxa"/>
            <w:tcBorders>
              <w:top w:val="nil"/>
              <w:left w:val="nil"/>
              <w:right w:val="nil"/>
            </w:tcBorders>
            <w:vAlign w:val="bottom"/>
          </w:tcPr>
          <w:p w14:paraId="70B3B8CF" w14:textId="77777777" w:rsidR="00381766" w:rsidRPr="00F777CB" w:rsidRDefault="00381766" w:rsidP="00656716">
            <w:pPr>
              <w:ind w:right="38"/>
              <w:jc w:val="right"/>
              <w:rPr>
                <w:b/>
                <w:bCs/>
                <w:sz w:val="22"/>
                <w:szCs w:val="22"/>
              </w:rPr>
            </w:pPr>
            <w:r w:rsidRPr="00F777CB">
              <w:rPr>
                <w:b/>
                <w:bCs/>
                <w:sz w:val="22"/>
                <w:szCs w:val="22"/>
              </w:rPr>
              <w:t>£</w:t>
            </w:r>
          </w:p>
        </w:tc>
        <w:tc>
          <w:tcPr>
            <w:tcW w:w="1710" w:type="dxa"/>
            <w:tcBorders>
              <w:top w:val="nil"/>
              <w:left w:val="nil"/>
              <w:right w:val="nil"/>
            </w:tcBorders>
            <w:noWrap/>
            <w:tcMar>
              <w:top w:w="15" w:type="dxa"/>
              <w:left w:w="15" w:type="dxa"/>
              <w:bottom w:w="0" w:type="dxa"/>
              <w:right w:w="15" w:type="dxa"/>
            </w:tcMar>
            <w:vAlign w:val="bottom"/>
          </w:tcPr>
          <w:p w14:paraId="39C5D0F7" w14:textId="77777777" w:rsidR="00381766" w:rsidRPr="00F777CB" w:rsidRDefault="00381766" w:rsidP="00656716">
            <w:pPr>
              <w:ind w:right="38"/>
              <w:jc w:val="right"/>
              <w:rPr>
                <w:rFonts w:eastAsia="Arial Unicode MS"/>
                <w:b/>
                <w:bCs/>
                <w:sz w:val="22"/>
                <w:szCs w:val="22"/>
              </w:rPr>
            </w:pPr>
            <w:r w:rsidRPr="00F777CB">
              <w:rPr>
                <w:b/>
                <w:bCs/>
                <w:sz w:val="22"/>
                <w:szCs w:val="22"/>
              </w:rPr>
              <w:t>£</w:t>
            </w:r>
          </w:p>
        </w:tc>
        <w:tc>
          <w:tcPr>
            <w:tcW w:w="1710" w:type="dxa"/>
            <w:tcBorders>
              <w:top w:val="nil"/>
              <w:left w:val="nil"/>
              <w:right w:val="nil"/>
            </w:tcBorders>
            <w:noWrap/>
            <w:tcMar>
              <w:top w:w="15" w:type="dxa"/>
              <w:left w:w="15" w:type="dxa"/>
              <w:bottom w:w="0" w:type="dxa"/>
              <w:right w:w="15" w:type="dxa"/>
            </w:tcMar>
            <w:vAlign w:val="bottom"/>
          </w:tcPr>
          <w:p w14:paraId="74EE5FA1" w14:textId="77777777" w:rsidR="00381766" w:rsidRPr="00F777CB" w:rsidRDefault="00381766" w:rsidP="00656716">
            <w:pPr>
              <w:ind w:right="69"/>
              <w:jc w:val="right"/>
              <w:rPr>
                <w:rFonts w:eastAsia="Arial Unicode MS"/>
                <w:b/>
                <w:bCs/>
                <w:sz w:val="22"/>
                <w:szCs w:val="22"/>
              </w:rPr>
            </w:pPr>
            <w:r w:rsidRPr="00F777CB">
              <w:rPr>
                <w:b/>
                <w:bCs/>
                <w:sz w:val="22"/>
                <w:szCs w:val="22"/>
              </w:rPr>
              <w:t>£</w:t>
            </w:r>
          </w:p>
        </w:tc>
      </w:tr>
      <w:tr w:rsidR="00381766" w:rsidRPr="00F777CB" w14:paraId="2B350EFB"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26B26ED8" w14:textId="73B994E1" w:rsidR="00381766" w:rsidRPr="00F777CB" w:rsidRDefault="00381766" w:rsidP="00081BD9">
            <w:pPr>
              <w:rPr>
                <w:rFonts w:eastAsia="Arial Unicode MS"/>
                <w:sz w:val="22"/>
                <w:szCs w:val="22"/>
              </w:rPr>
            </w:pPr>
            <w:r w:rsidRPr="00F777CB">
              <w:rPr>
                <w:sz w:val="22"/>
                <w:szCs w:val="22"/>
              </w:rPr>
              <w:t xml:space="preserve">At </w:t>
            </w:r>
            <w:r w:rsidR="00C57C9F">
              <w:rPr>
                <w:sz w:val="22"/>
                <w:szCs w:val="22"/>
              </w:rPr>
              <w:t>28 February 2019</w:t>
            </w:r>
          </w:p>
        </w:tc>
        <w:tc>
          <w:tcPr>
            <w:tcW w:w="1710" w:type="dxa"/>
            <w:tcBorders>
              <w:left w:val="nil"/>
              <w:right w:val="nil"/>
            </w:tcBorders>
            <w:vAlign w:val="bottom"/>
          </w:tcPr>
          <w:p w14:paraId="265329D0" w14:textId="36BCB68F" w:rsidR="00381766" w:rsidRDefault="00C57C9F" w:rsidP="00656716">
            <w:pPr>
              <w:ind w:right="38"/>
              <w:jc w:val="right"/>
              <w:rPr>
                <w:sz w:val="22"/>
                <w:szCs w:val="22"/>
              </w:rPr>
            </w:pPr>
            <w:r>
              <w:rPr>
                <w:sz w:val="22"/>
                <w:szCs w:val="22"/>
              </w:rPr>
              <w:t>584,369</w:t>
            </w:r>
          </w:p>
        </w:tc>
        <w:tc>
          <w:tcPr>
            <w:tcW w:w="1710" w:type="dxa"/>
            <w:tcBorders>
              <w:left w:val="nil"/>
              <w:right w:val="nil"/>
            </w:tcBorders>
            <w:noWrap/>
            <w:tcMar>
              <w:top w:w="15" w:type="dxa"/>
              <w:left w:w="15" w:type="dxa"/>
              <w:bottom w:w="0" w:type="dxa"/>
              <w:right w:w="15" w:type="dxa"/>
            </w:tcMar>
            <w:vAlign w:val="bottom"/>
          </w:tcPr>
          <w:p w14:paraId="5F77E621" w14:textId="00B44FD7" w:rsidR="00381766" w:rsidRPr="00F777CB" w:rsidRDefault="00C57C9F" w:rsidP="00E34C09">
            <w:pPr>
              <w:ind w:right="38"/>
              <w:jc w:val="right"/>
              <w:rPr>
                <w:rFonts w:eastAsia="Arial Unicode MS"/>
                <w:sz w:val="22"/>
                <w:szCs w:val="22"/>
              </w:rPr>
            </w:pPr>
            <w:r>
              <w:rPr>
                <w:sz w:val="22"/>
                <w:szCs w:val="22"/>
              </w:rPr>
              <w:t>6,281</w:t>
            </w:r>
          </w:p>
        </w:tc>
        <w:tc>
          <w:tcPr>
            <w:tcW w:w="1710" w:type="dxa"/>
            <w:tcBorders>
              <w:left w:val="nil"/>
              <w:right w:val="nil"/>
            </w:tcBorders>
            <w:noWrap/>
            <w:tcMar>
              <w:top w:w="15" w:type="dxa"/>
              <w:left w:w="15" w:type="dxa"/>
              <w:bottom w:w="0" w:type="dxa"/>
              <w:right w:w="15" w:type="dxa"/>
            </w:tcMar>
            <w:vAlign w:val="bottom"/>
          </w:tcPr>
          <w:p w14:paraId="15C46A77" w14:textId="20678DF3" w:rsidR="00381766" w:rsidRPr="00826D44" w:rsidRDefault="00C57C9F" w:rsidP="00420155">
            <w:pPr>
              <w:ind w:right="69"/>
              <w:jc w:val="right"/>
              <w:rPr>
                <w:rFonts w:eastAsia="Arial Unicode MS"/>
                <w:sz w:val="22"/>
                <w:szCs w:val="22"/>
              </w:rPr>
            </w:pPr>
            <w:r>
              <w:rPr>
                <w:sz w:val="22"/>
                <w:szCs w:val="22"/>
              </w:rPr>
              <w:t>590,650</w:t>
            </w:r>
          </w:p>
        </w:tc>
      </w:tr>
      <w:tr w:rsidR="00381766" w:rsidRPr="00F777CB" w14:paraId="2C21901C"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2D8C6C0E" w14:textId="77777777" w:rsidR="00381766" w:rsidRPr="00F777CB" w:rsidRDefault="00381766" w:rsidP="00081BD9">
            <w:pPr>
              <w:rPr>
                <w:rFonts w:eastAsia="Arial Unicode MS"/>
                <w:sz w:val="22"/>
                <w:szCs w:val="22"/>
              </w:rPr>
            </w:pPr>
            <w:r w:rsidRPr="00F777CB">
              <w:rPr>
                <w:sz w:val="22"/>
                <w:szCs w:val="22"/>
              </w:rPr>
              <w:t>Additions</w:t>
            </w:r>
          </w:p>
        </w:tc>
        <w:tc>
          <w:tcPr>
            <w:tcW w:w="1710" w:type="dxa"/>
            <w:tcBorders>
              <w:left w:val="nil"/>
              <w:right w:val="nil"/>
            </w:tcBorders>
            <w:vAlign w:val="bottom"/>
          </w:tcPr>
          <w:p w14:paraId="7F1A29C0" w14:textId="34782D77" w:rsidR="00381766" w:rsidRDefault="001664DF" w:rsidP="00656716">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29C0B4B2" w14:textId="0174F9C3" w:rsidR="00381766" w:rsidRPr="00F777CB" w:rsidRDefault="001664DF" w:rsidP="00E34C09">
            <w:pPr>
              <w:ind w:right="38"/>
              <w:jc w:val="right"/>
              <w:rPr>
                <w:rFonts w:eastAsia="Arial Unicode MS"/>
                <w:sz w:val="22"/>
                <w:szCs w:val="22"/>
              </w:rPr>
            </w:pPr>
            <w:r>
              <w:rPr>
                <w:sz w:val="22"/>
                <w:szCs w:val="22"/>
              </w:rPr>
              <w:t>54,523</w:t>
            </w:r>
          </w:p>
        </w:tc>
        <w:tc>
          <w:tcPr>
            <w:tcW w:w="1710" w:type="dxa"/>
            <w:tcBorders>
              <w:left w:val="nil"/>
              <w:right w:val="nil"/>
            </w:tcBorders>
            <w:noWrap/>
            <w:tcMar>
              <w:top w:w="15" w:type="dxa"/>
              <w:left w:w="15" w:type="dxa"/>
              <w:bottom w:w="0" w:type="dxa"/>
              <w:right w:w="15" w:type="dxa"/>
            </w:tcMar>
            <w:vAlign w:val="bottom"/>
          </w:tcPr>
          <w:p w14:paraId="60E0D393" w14:textId="3A99E394" w:rsidR="00381766" w:rsidRPr="00826D44" w:rsidRDefault="00C57C9F" w:rsidP="00420155">
            <w:pPr>
              <w:ind w:right="69"/>
              <w:jc w:val="right"/>
              <w:rPr>
                <w:rFonts w:eastAsia="Arial Unicode MS"/>
                <w:sz w:val="22"/>
                <w:szCs w:val="22"/>
              </w:rPr>
            </w:pPr>
            <w:r>
              <w:rPr>
                <w:sz w:val="22"/>
                <w:szCs w:val="22"/>
              </w:rPr>
              <w:t>54,523</w:t>
            </w:r>
          </w:p>
        </w:tc>
      </w:tr>
      <w:tr w:rsidR="00E176DE" w:rsidRPr="00F777CB" w14:paraId="0A2C1A8A"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6ACF5F3D" w14:textId="584440F4" w:rsidR="00E176DE" w:rsidRPr="00F777CB" w:rsidRDefault="00E176DE" w:rsidP="00081BD9">
            <w:pPr>
              <w:rPr>
                <w:sz w:val="22"/>
                <w:szCs w:val="22"/>
              </w:rPr>
            </w:pPr>
            <w:r>
              <w:rPr>
                <w:sz w:val="22"/>
                <w:szCs w:val="22"/>
              </w:rPr>
              <w:t>Disposals</w:t>
            </w:r>
          </w:p>
        </w:tc>
        <w:tc>
          <w:tcPr>
            <w:tcW w:w="1710" w:type="dxa"/>
            <w:tcBorders>
              <w:left w:val="nil"/>
              <w:right w:val="nil"/>
            </w:tcBorders>
            <w:vAlign w:val="bottom"/>
          </w:tcPr>
          <w:p w14:paraId="308584AC" w14:textId="578C54FD" w:rsidR="00E176DE" w:rsidRDefault="00ED67F5" w:rsidP="00656716">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0D3F8857" w14:textId="1BCD25B3" w:rsidR="00E176DE" w:rsidRDefault="00ED67F5" w:rsidP="00E34C09">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595E1A84" w14:textId="17FE5F11" w:rsidR="00E176DE" w:rsidRDefault="00ED67F5" w:rsidP="00420155">
            <w:pPr>
              <w:ind w:right="69"/>
              <w:jc w:val="right"/>
              <w:rPr>
                <w:sz w:val="22"/>
                <w:szCs w:val="22"/>
              </w:rPr>
            </w:pPr>
            <w:r>
              <w:rPr>
                <w:sz w:val="22"/>
                <w:szCs w:val="22"/>
              </w:rPr>
              <w:t>-</w:t>
            </w:r>
          </w:p>
        </w:tc>
      </w:tr>
      <w:tr w:rsidR="00381766" w:rsidRPr="00F777CB" w14:paraId="6A0739F3" w14:textId="77777777" w:rsidTr="00081BD9">
        <w:trPr>
          <w:trHeight w:val="317"/>
        </w:trPr>
        <w:tc>
          <w:tcPr>
            <w:tcW w:w="4785" w:type="dxa"/>
            <w:tcBorders>
              <w:top w:val="nil"/>
              <w:left w:val="nil"/>
              <w:bottom w:val="nil"/>
              <w:right w:val="nil"/>
            </w:tcBorders>
            <w:noWrap/>
            <w:tcMar>
              <w:top w:w="15" w:type="dxa"/>
              <w:left w:w="15" w:type="dxa"/>
              <w:bottom w:w="0" w:type="dxa"/>
              <w:right w:w="15" w:type="dxa"/>
            </w:tcMar>
            <w:vAlign w:val="bottom"/>
          </w:tcPr>
          <w:p w14:paraId="4AE8D8A0" w14:textId="77777777" w:rsidR="00381766" w:rsidRPr="00F777CB" w:rsidRDefault="00381766" w:rsidP="00081BD9">
            <w:pPr>
              <w:rPr>
                <w:sz w:val="22"/>
                <w:szCs w:val="22"/>
              </w:rPr>
            </w:pPr>
            <w:r>
              <w:rPr>
                <w:sz w:val="22"/>
                <w:szCs w:val="22"/>
              </w:rPr>
              <w:t>Provision for impairment</w:t>
            </w:r>
          </w:p>
        </w:tc>
        <w:tc>
          <w:tcPr>
            <w:tcW w:w="1710" w:type="dxa"/>
            <w:tcBorders>
              <w:left w:val="nil"/>
              <w:bottom w:val="single" w:sz="4" w:space="0" w:color="auto"/>
              <w:right w:val="nil"/>
            </w:tcBorders>
            <w:vAlign w:val="bottom"/>
          </w:tcPr>
          <w:p w14:paraId="61CB49F0" w14:textId="5C1A6A6F" w:rsidR="00381766" w:rsidRDefault="00ED67F5" w:rsidP="00656716">
            <w:pPr>
              <w:ind w:right="38"/>
              <w:jc w:val="right"/>
              <w:rPr>
                <w:sz w:val="22"/>
                <w:szCs w:val="22"/>
              </w:rPr>
            </w:pPr>
            <w:r>
              <w:rPr>
                <w:sz w:val="22"/>
                <w:szCs w:val="22"/>
              </w:rPr>
              <w:t>(1,320)</w:t>
            </w:r>
          </w:p>
        </w:tc>
        <w:tc>
          <w:tcPr>
            <w:tcW w:w="1710" w:type="dxa"/>
            <w:tcBorders>
              <w:left w:val="nil"/>
              <w:bottom w:val="single" w:sz="4" w:space="0" w:color="auto"/>
              <w:right w:val="nil"/>
            </w:tcBorders>
            <w:noWrap/>
            <w:tcMar>
              <w:top w:w="15" w:type="dxa"/>
              <w:left w:w="15" w:type="dxa"/>
              <w:bottom w:w="0" w:type="dxa"/>
              <w:right w:w="15" w:type="dxa"/>
            </w:tcMar>
            <w:vAlign w:val="bottom"/>
          </w:tcPr>
          <w:p w14:paraId="4EE077E5" w14:textId="7C721444" w:rsidR="00381766" w:rsidRPr="00F777CB" w:rsidRDefault="00ED67F5" w:rsidP="00E34C09">
            <w:pPr>
              <w:ind w:right="38"/>
              <w:jc w:val="right"/>
              <w:rPr>
                <w:sz w:val="22"/>
                <w:szCs w:val="22"/>
              </w:rPr>
            </w:pPr>
            <w:r>
              <w:rPr>
                <w:sz w:val="22"/>
                <w:szCs w:val="22"/>
              </w:rPr>
              <w:t>(12,511)</w:t>
            </w:r>
          </w:p>
        </w:tc>
        <w:tc>
          <w:tcPr>
            <w:tcW w:w="1710" w:type="dxa"/>
            <w:tcBorders>
              <w:left w:val="nil"/>
              <w:bottom w:val="single" w:sz="4" w:space="0" w:color="auto"/>
              <w:right w:val="nil"/>
            </w:tcBorders>
            <w:noWrap/>
            <w:tcMar>
              <w:top w:w="15" w:type="dxa"/>
              <w:left w:w="15" w:type="dxa"/>
              <w:bottom w:w="0" w:type="dxa"/>
              <w:right w:w="15" w:type="dxa"/>
            </w:tcMar>
            <w:vAlign w:val="bottom"/>
          </w:tcPr>
          <w:p w14:paraId="146461C3" w14:textId="3F805CC7" w:rsidR="00381766" w:rsidRPr="00826D44" w:rsidRDefault="00ED67F5" w:rsidP="00420155">
            <w:pPr>
              <w:ind w:right="69"/>
              <w:jc w:val="right"/>
              <w:rPr>
                <w:sz w:val="22"/>
                <w:szCs w:val="22"/>
              </w:rPr>
            </w:pPr>
            <w:r>
              <w:rPr>
                <w:sz w:val="22"/>
                <w:szCs w:val="22"/>
              </w:rPr>
              <w:t>(13,831)</w:t>
            </w:r>
          </w:p>
        </w:tc>
      </w:tr>
      <w:tr w:rsidR="00381766" w:rsidRPr="00F777CB" w14:paraId="3710B639" w14:textId="77777777" w:rsidTr="00081BD9">
        <w:trPr>
          <w:trHeight w:val="332"/>
        </w:trPr>
        <w:tc>
          <w:tcPr>
            <w:tcW w:w="4785" w:type="dxa"/>
            <w:tcBorders>
              <w:top w:val="nil"/>
              <w:left w:val="nil"/>
              <w:bottom w:val="nil"/>
              <w:right w:val="nil"/>
            </w:tcBorders>
            <w:noWrap/>
            <w:tcMar>
              <w:top w:w="15" w:type="dxa"/>
              <w:left w:w="15" w:type="dxa"/>
              <w:bottom w:w="0" w:type="dxa"/>
              <w:right w:w="15" w:type="dxa"/>
            </w:tcMar>
            <w:vAlign w:val="bottom"/>
          </w:tcPr>
          <w:p w14:paraId="3246FD63" w14:textId="751E12AF" w:rsidR="00381766" w:rsidRPr="00F777CB" w:rsidRDefault="00381766" w:rsidP="00081BD9">
            <w:pPr>
              <w:rPr>
                <w:rFonts w:eastAsia="Arial Unicode MS"/>
                <w:sz w:val="22"/>
                <w:szCs w:val="22"/>
              </w:rPr>
            </w:pPr>
            <w:r>
              <w:rPr>
                <w:sz w:val="22"/>
                <w:szCs w:val="22"/>
              </w:rPr>
              <w:t xml:space="preserve">At </w:t>
            </w:r>
            <w:r w:rsidR="00AE092A">
              <w:rPr>
                <w:sz w:val="22"/>
                <w:szCs w:val="22"/>
              </w:rPr>
              <w:t>31 December</w:t>
            </w:r>
            <w:r>
              <w:rPr>
                <w:sz w:val="22"/>
                <w:szCs w:val="22"/>
              </w:rPr>
              <w:t xml:space="preserve"> 201</w:t>
            </w:r>
            <w:r w:rsidR="00AF3E08">
              <w:rPr>
                <w:sz w:val="22"/>
                <w:szCs w:val="22"/>
              </w:rPr>
              <w:t>9</w:t>
            </w:r>
          </w:p>
        </w:tc>
        <w:tc>
          <w:tcPr>
            <w:tcW w:w="1710" w:type="dxa"/>
            <w:tcBorders>
              <w:top w:val="single" w:sz="4" w:space="0" w:color="auto"/>
              <w:left w:val="nil"/>
              <w:bottom w:val="single" w:sz="4" w:space="0" w:color="auto"/>
              <w:right w:val="nil"/>
            </w:tcBorders>
            <w:vAlign w:val="bottom"/>
          </w:tcPr>
          <w:p w14:paraId="68739E32" w14:textId="5B38415B" w:rsidR="00381766" w:rsidRDefault="001664DF" w:rsidP="00656716">
            <w:pPr>
              <w:ind w:right="38"/>
              <w:jc w:val="right"/>
              <w:rPr>
                <w:sz w:val="22"/>
                <w:szCs w:val="22"/>
              </w:rPr>
            </w:pPr>
            <w:r>
              <w:rPr>
                <w:sz w:val="22"/>
                <w:szCs w:val="22"/>
              </w:rPr>
              <w:t>583,049</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688DF32" w14:textId="1404DD46" w:rsidR="00381766" w:rsidRPr="00F777CB" w:rsidRDefault="001664DF" w:rsidP="00E34C09">
            <w:pPr>
              <w:ind w:right="38"/>
              <w:jc w:val="right"/>
              <w:rPr>
                <w:rFonts w:eastAsia="Arial Unicode MS"/>
                <w:sz w:val="22"/>
                <w:szCs w:val="22"/>
              </w:rPr>
            </w:pPr>
            <w:r>
              <w:rPr>
                <w:sz w:val="22"/>
                <w:szCs w:val="22"/>
              </w:rPr>
              <w:t>48,293</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BE764BF" w14:textId="325B9BA5" w:rsidR="00381766" w:rsidRPr="00826D44" w:rsidRDefault="00E176DE" w:rsidP="00420155">
            <w:pPr>
              <w:ind w:right="69"/>
              <w:jc w:val="right"/>
              <w:rPr>
                <w:rFonts w:eastAsia="Arial Unicode MS"/>
                <w:sz w:val="22"/>
                <w:szCs w:val="22"/>
              </w:rPr>
            </w:pPr>
            <w:r>
              <w:rPr>
                <w:sz w:val="22"/>
                <w:szCs w:val="22"/>
              </w:rPr>
              <w:t>631,342</w:t>
            </w:r>
          </w:p>
        </w:tc>
      </w:tr>
      <w:tr w:rsidR="00381766" w:rsidRPr="00F777CB" w14:paraId="136D2F5F" w14:textId="77777777" w:rsidTr="00081BD9">
        <w:trPr>
          <w:trHeight w:val="332"/>
        </w:trPr>
        <w:tc>
          <w:tcPr>
            <w:tcW w:w="4785" w:type="dxa"/>
            <w:tcBorders>
              <w:top w:val="nil"/>
              <w:left w:val="nil"/>
              <w:bottom w:val="nil"/>
              <w:right w:val="nil"/>
            </w:tcBorders>
            <w:noWrap/>
            <w:tcMar>
              <w:top w:w="15" w:type="dxa"/>
              <w:left w:w="15" w:type="dxa"/>
              <w:bottom w:w="0" w:type="dxa"/>
              <w:right w:w="15" w:type="dxa"/>
            </w:tcMar>
            <w:vAlign w:val="bottom"/>
          </w:tcPr>
          <w:p w14:paraId="172B8373" w14:textId="77777777" w:rsidR="00381766" w:rsidRPr="00F777CB" w:rsidRDefault="00381766" w:rsidP="00081BD9">
            <w:pPr>
              <w:rPr>
                <w:sz w:val="22"/>
                <w:szCs w:val="22"/>
              </w:rPr>
            </w:pPr>
            <w:r w:rsidRPr="00F777CB">
              <w:rPr>
                <w:sz w:val="22"/>
                <w:szCs w:val="22"/>
              </w:rPr>
              <w:t>Additions</w:t>
            </w:r>
          </w:p>
        </w:tc>
        <w:tc>
          <w:tcPr>
            <w:tcW w:w="1710" w:type="dxa"/>
            <w:tcBorders>
              <w:top w:val="single" w:sz="4" w:space="0" w:color="auto"/>
              <w:left w:val="nil"/>
              <w:right w:val="nil"/>
            </w:tcBorders>
            <w:vAlign w:val="bottom"/>
          </w:tcPr>
          <w:p w14:paraId="7B5E84FA" w14:textId="1AE62346" w:rsidR="00381766" w:rsidRDefault="001664DF" w:rsidP="00656716">
            <w:pPr>
              <w:ind w:right="38"/>
              <w:jc w:val="right"/>
              <w:rPr>
                <w:sz w:val="22"/>
                <w:szCs w:val="22"/>
              </w:rPr>
            </w:pPr>
            <w:r>
              <w:rPr>
                <w:sz w:val="22"/>
                <w:szCs w:val="22"/>
              </w:rPr>
              <w:t>-</w:t>
            </w:r>
          </w:p>
        </w:tc>
        <w:tc>
          <w:tcPr>
            <w:tcW w:w="1710" w:type="dxa"/>
            <w:tcBorders>
              <w:top w:val="single" w:sz="4" w:space="0" w:color="auto"/>
              <w:left w:val="nil"/>
              <w:right w:val="nil"/>
            </w:tcBorders>
            <w:noWrap/>
            <w:tcMar>
              <w:top w:w="15" w:type="dxa"/>
              <w:left w:w="15" w:type="dxa"/>
              <w:bottom w:w="0" w:type="dxa"/>
              <w:right w:w="15" w:type="dxa"/>
            </w:tcMar>
            <w:vAlign w:val="bottom"/>
          </w:tcPr>
          <w:p w14:paraId="74205F7B" w14:textId="78A95A94" w:rsidR="00381766" w:rsidRPr="008E3E7F" w:rsidRDefault="001664DF" w:rsidP="00E34C09">
            <w:pPr>
              <w:ind w:right="38"/>
              <w:jc w:val="right"/>
              <w:rPr>
                <w:sz w:val="22"/>
                <w:szCs w:val="22"/>
              </w:rPr>
            </w:pPr>
            <w:r>
              <w:rPr>
                <w:sz w:val="22"/>
                <w:szCs w:val="22"/>
              </w:rPr>
              <w:t>4,391</w:t>
            </w:r>
          </w:p>
        </w:tc>
        <w:tc>
          <w:tcPr>
            <w:tcW w:w="1710" w:type="dxa"/>
            <w:tcBorders>
              <w:top w:val="single" w:sz="4" w:space="0" w:color="auto"/>
              <w:left w:val="nil"/>
              <w:right w:val="nil"/>
            </w:tcBorders>
            <w:noWrap/>
            <w:tcMar>
              <w:top w:w="15" w:type="dxa"/>
              <w:left w:w="15" w:type="dxa"/>
              <w:bottom w:w="0" w:type="dxa"/>
              <w:right w:w="15" w:type="dxa"/>
            </w:tcMar>
            <w:vAlign w:val="bottom"/>
          </w:tcPr>
          <w:p w14:paraId="18FBEAD8" w14:textId="5940D4D5" w:rsidR="00381766" w:rsidRPr="008E3E7F" w:rsidRDefault="001664DF" w:rsidP="00420155">
            <w:pPr>
              <w:ind w:right="69"/>
              <w:jc w:val="right"/>
              <w:rPr>
                <w:sz w:val="22"/>
                <w:szCs w:val="22"/>
              </w:rPr>
            </w:pPr>
            <w:r>
              <w:rPr>
                <w:sz w:val="22"/>
                <w:szCs w:val="22"/>
              </w:rPr>
              <w:t>4,391</w:t>
            </w:r>
          </w:p>
        </w:tc>
      </w:tr>
      <w:tr w:rsidR="00BD4DEB" w:rsidRPr="00F777CB" w14:paraId="21901C0E" w14:textId="77777777" w:rsidTr="00081BD9">
        <w:trPr>
          <w:trHeight w:val="332"/>
        </w:trPr>
        <w:tc>
          <w:tcPr>
            <w:tcW w:w="4785" w:type="dxa"/>
            <w:tcBorders>
              <w:top w:val="nil"/>
              <w:left w:val="nil"/>
              <w:bottom w:val="nil"/>
              <w:right w:val="nil"/>
            </w:tcBorders>
            <w:noWrap/>
            <w:tcMar>
              <w:top w:w="15" w:type="dxa"/>
              <w:left w:w="15" w:type="dxa"/>
              <w:bottom w:w="0" w:type="dxa"/>
              <w:right w:w="15" w:type="dxa"/>
            </w:tcMar>
            <w:vAlign w:val="bottom"/>
          </w:tcPr>
          <w:p w14:paraId="6ED07C91" w14:textId="0FC87745" w:rsidR="00BD4DEB" w:rsidRPr="00F777CB" w:rsidRDefault="00BD4DEB" w:rsidP="00081BD9">
            <w:pPr>
              <w:rPr>
                <w:sz w:val="22"/>
                <w:szCs w:val="22"/>
              </w:rPr>
            </w:pPr>
            <w:r>
              <w:rPr>
                <w:sz w:val="22"/>
                <w:szCs w:val="22"/>
              </w:rPr>
              <w:t>Disposals</w:t>
            </w:r>
          </w:p>
        </w:tc>
        <w:tc>
          <w:tcPr>
            <w:tcW w:w="1710" w:type="dxa"/>
            <w:tcBorders>
              <w:left w:val="nil"/>
              <w:right w:val="nil"/>
            </w:tcBorders>
            <w:vAlign w:val="bottom"/>
          </w:tcPr>
          <w:p w14:paraId="4F47CB60" w14:textId="6B9BED91" w:rsidR="00BD4DEB" w:rsidRDefault="00AE092A" w:rsidP="00656716">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1051EFBB" w14:textId="3CC592CD" w:rsidR="00BD4DEB" w:rsidRDefault="00AE092A" w:rsidP="00E34C09">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326681D8" w14:textId="4B7FFDF1" w:rsidR="00BD4DEB" w:rsidRDefault="00AE092A" w:rsidP="00420155">
            <w:pPr>
              <w:ind w:right="69"/>
              <w:jc w:val="right"/>
              <w:rPr>
                <w:sz w:val="22"/>
                <w:szCs w:val="22"/>
              </w:rPr>
            </w:pPr>
            <w:r>
              <w:rPr>
                <w:sz w:val="22"/>
                <w:szCs w:val="22"/>
              </w:rPr>
              <w:t>-</w:t>
            </w:r>
          </w:p>
        </w:tc>
      </w:tr>
      <w:tr w:rsidR="00381766" w:rsidRPr="00F777CB" w14:paraId="03B6F17B" w14:textId="77777777" w:rsidTr="00081BD9">
        <w:trPr>
          <w:trHeight w:val="332"/>
        </w:trPr>
        <w:tc>
          <w:tcPr>
            <w:tcW w:w="4785" w:type="dxa"/>
            <w:tcBorders>
              <w:top w:val="nil"/>
              <w:left w:val="nil"/>
              <w:bottom w:val="nil"/>
              <w:right w:val="nil"/>
            </w:tcBorders>
            <w:noWrap/>
            <w:tcMar>
              <w:top w:w="15" w:type="dxa"/>
              <w:left w:w="15" w:type="dxa"/>
              <w:bottom w:w="0" w:type="dxa"/>
              <w:right w:w="15" w:type="dxa"/>
            </w:tcMar>
            <w:vAlign w:val="bottom"/>
          </w:tcPr>
          <w:p w14:paraId="5E163348" w14:textId="77777777" w:rsidR="00381766" w:rsidRPr="00F777CB" w:rsidRDefault="00381766" w:rsidP="00081BD9">
            <w:pPr>
              <w:rPr>
                <w:sz w:val="22"/>
                <w:szCs w:val="22"/>
              </w:rPr>
            </w:pPr>
            <w:r>
              <w:rPr>
                <w:sz w:val="22"/>
                <w:szCs w:val="22"/>
              </w:rPr>
              <w:t>Provision for impairment</w:t>
            </w:r>
          </w:p>
        </w:tc>
        <w:tc>
          <w:tcPr>
            <w:tcW w:w="1710" w:type="dxa"/>
            <w:tcBorders>
              <w:left w:val="nil"/>
              <w:right w:val="nil"/>
            </w:tcBorders>
            <w:vAlign w:val="bottom"/>
          </w:tcPr>
          <w:p w14:paraId="14BA2D8C" w14:textId="77777777" w:rsidR="00381766" w:rsidRDefault="00381766" w:rsidP="00656716">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457205E9" w14:textId="77777777" w:rsidR="00381766" w:rsidRDefault="00381766" w:rsidP="00E34C09">
            <w:pPr>
              <w:ind w:right="38"/>
              <w:jc w:val="right"/>
              <w:rPr>
                <w:sz w:val="22"/>
                <w:szCs w:val="22"/>
              </w:rPr>
            </w:pPr>
            <w:r>
              <w:rPr>
                <w:sz w:val="22"/>
                <w:szCs w:val="22"/>
              </w:rPr>
              <w:t>-</w:t>
            </w:r>
          </w:p>
        </w:tc>
        <w:tc>
          <w:tcPr>
            <w:tcW w:w="1710" w:type="dxa"/>
            <w:tcBorders>
              <w:left w:val="nil"/>
              <w:right w:val="nil"/>
            </w:tcBorders>
            <w:noWrap/>
            <w:tcMar>
              <w:top w:w="15" w:type="dxa"/>
              <w:left w:w="15" w:type="dxa"/>
              <w:bottom w:w="0" w:type="dxa"/>
              <w:right w:w="15" w:type="dxa"/>
            </w:tcMar>
            <w:vAlign w:val="bottom"/>
          </w:tcPr>
          <w:p w14:paraId="4259A25F" w14:textId="77777777" w:rsidR="00381766" w:rsidRDefault="00381766" w:rsidP="00420155">
            <w:pPr>
              <w:ind w:right="69"/>
              <w:jc w:val="right"/>
              <w:rPr>
                <w:sz w:val="22"/>
                <w:szCs w:val="22"/>
              </w:rPr>
            </w:pPr>
            <w:r>
              <w:rPr>
                <w:sz w:val="22"/>
                <w:szCs w:val="22"/>
              </w:rPr>
              <w:t>-</w:t>
            </w:r>
          </w:p>
        </w:tc>
      </w:tr>
      <w:tr w:rsidR="00381766" w:rsidRPr="00F777CB" w14:paraId="1B647BED" w14:textId="77777777" w:rsidTr="00081BD9">
        <w:trPr>
          <w:trHeight w:val="332"/>
        </w:trPr>
        <w:tc>
          <w:tcPr>
            <w:tcW w:w="4785" w:type="dxa"/>
            <w:tcBorders>
              <w:top w:val="nil"/>
              <w:left w:val="nil"/>
              <w:bottom w:val="nil"/>
              <w:right w:val="nil"/>
            </w:tcBorders>
            <w:noWrap/>
            <w:tcMar>
              <w:top w:w="15" w:type="dxa"/>
              <w:left w:w="15" w:type="dxa"/>
              <w:bottom w:w="0" w:type="dxa"/>
              <w:right w:w="15" w:type="dxa"/>
            </w:tcMar>
            <w:vAlign w:val="bottom"/>
          </w:tcPr>
          <w:p w14:paraId="1C5A9C6E" w14:textId="4BA5CD6F" w:rsidR="00381766" w:rsidRPr="00F777CB" w:rsidRDefault="00381766" w:rsidP="00081BD9">
            <w:pPr>
              <w:rPr>
                <w:sz w:val="22"/>
                <w:szCs w:val="22"/>
              </w:rPr>
            </w:pPr>
            <w:r>
              <w:rPr>
                <w:sz w:val="22"/>
                <w:szCs w:val="22"/>
              </w:rPr>
              <w:t xml:space="preserve">At </w:t>
            </w:r>
            <w:r w:rsidR="004D31FE">
              <w:rPr>
                <w:sz w:val="22"/>
                <w:szCs w:val="22"/>
              </w:rPr>
              <w:t>31 December</w:t>
            </w:r>
            <w:r>
              <w:rPr>
                <w:sz w:val="22"/>
                <w:szCs w:val="22"/>
              </w:rPr>
              <w:t xml:space="preserve"> </w:t>
            </w:r>
            <w:r w:rsidR="00AE092A">
              <w:rPr>
                <w:sz w:val="22"/>
                <w:szCs w:val="22"/>
              </w:rPr>
              <w:t>2020</w:t>
            </w:r>
          </w:p>
        </w:tc>
        <w:tc>
          <w:tcPr>
            <w:tcW w:w="1710" w:type="dxa"/>
            <w:tcBorders>
              <w:top w:val="single" w:sz="4" w:space="0" w:color="auto"/>
              <w:left w:val="nil"/>
              <w:bottom w:val="single" w:sz="4" w:space="0" w:color="auto"/>
              <w:right w:val="nil"/>
            </w:tcBorders>
            <w:vAlign w:val="bottom"/>
          </w:tcPr>
          <w:p w14:paraId="5B2FE9E6" w14:textId="0940ED8E" w:rsidR="00381766" w:rsidRDefault="001664DF" w:rsidP="00656716">
            <w:pPr>
              <w:ind w:right="38"/>
              <w:jc w:val="right"/>
              <w:rPr>
                <w:sz w:val="22"/>
                <w:szCs w:val="22"/>
              </w:rPr>
            </w:pPr>
            <w:r>
              <w:rPr>
                <w:sz w:val="22"/>
                <w:szCs w:val="22"/>
              </w:rPr>
              <w:t>583,049</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82CF066" w14:textId="654C3B98" w:rsidR="00381766" w:rsidRPr="008E3E7F" w:rsidRDefault="001664DF" w:rsidP="00E34C09">
            <w:pPr>
              <w:ind w:right="38"/>
              <w:jc w:val="right"/>
              <w:rPr>
                <w:sz w:val="22"/>
                <w:szCs w:val="22"/>
              </w:rPr>
            </w:pPr>
            <w:r>
              <w:rPr>
                <w:sz w:val="22"/>
                <w:szCs w:val="22"/>
              </w:rPr>
              <w:t>52,684</w:t>
            </w:r>
          </w:p>
        </w:tc>
        <w:tc>
          <w:tcPr>
            <w:tcW w:w="171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F0F5CB5" w14:textId="482049ED" w:rsidR="00381766" w:rsidRPr="008E3E7F" w:rsidRDefault="001664DF" w:rsidP="00420155">
            <w:pPr>
              <w:ind w:right="69"/>
              <w:jc w:val="right"/>
              <w:rPr>
                <w:sz w:val="22"/>
                <w:szCs w:val="22"/>
              </w:rPr>
            </w:pPr>
            <w:r>
              <w:rPr>
                <w:sz w:val="22"/>
                <w:szCs w:val="22"/>
              </w:rPr>
              <w:t>635,733</w:t>
            </w:r>
          </w:p>
        </w:tc>
      </w:tr>
    </w:tbl>
    <w:p w14:paraId="78F2E359" w14:textId="77777777" w:rsidR="00381766" w:rsidRPr="00F777CB" w:rsidRDefault="00381766" w:rsidP="00381766">
      <w:pPr>
        <w:jc w:val="center"/>
        <w:rPr>
          <w:b/>
          <w:sz w:val="22"/>
          <w:szCs w:val="22"/>
        </w:rPr>
      </w:pPr>
    </w:p>
    <w:p w14:paraId="1908CCA3" w14:textId="4871DBB8" w:rsidR="00381766" w:rsidRPr="00F777CB" w:rsidRDefault="00381766" w:rsidP="00381766">
      <w:pPr>
        <w:pStyle w:val="BodyText2"/>
        <w:ind w:right="114"/>
        <w:rPr>
          <w:sz w:val="22"/>
          <w:szCs w:val="22"/>
        </w:rPr>
      </w:pPr>
      <w:r w:rsidRPr="00F777CB">
        <w:rPr>
          <w:sz w:val="22"/>
          <w:szCs w:val="22"/>
        </w:rPr>
        <w:t xml:space="preserve">At </w:t>
      </w:r>
      <w:r w:rsidR="00AE1A26">
        <w:rPr>
          <w:sz w:val="22"/>
          <w:szCs w:val="22"/>
        </w:rPr>
        <w:t xml:space="preserve">31 December </w:t>
      </w:r>
      <w:r w:rsidR="00D22127">
        <w:rPr>
          <w:sz w:val="22"/>
          <w:szCs w:val="22"/>
        </w:rPr>
        <w:t>2020</w:t>
      </w:r>
      <w:r w:rsidR="00D22127" w:rsidRPr="00F777CB">
        <w:rPr>
          <w:sz w:val="22"/>
          <w:szCs w:val="22"/>
        </w:rPr>
        <w:t xml:space="preserve"> </w:t>
      </w:r>
      <w:r w:rsidRPr="00F777CB">
        <w:rPr>
          <w:sz w:val="22"/>
          <w:szCs w:val="22"/>
        </w:rPr>
        <w:t>the Company held the following interests in subsidiary undertakings, which are included in the consolidated financial statements and are unlisted.</w:t>
      </w:r>
    </w:p>
    <w:tbl>
      <w:tblPr>
        <w:tblW w:w="10141" w:type="dxa"/>
        <w:tblLook w:val="0000" w:firstRow="0" w:lastRow="0" w:firstColumn="0" w:lastColumn="0" w:noHBand="0" w:noVBand="0"/>
      </w:tblPr>
      <w:tblGrid>
        <w:gridCol w:w="5036"/>
        <w:gridCol w:w="2113"/>
        <w:gridCol w:w="1584"/>
        <w:gridCol w:w="1408"/>
      </w:tblGrid>
      <w:tr w:rsidR="00381766" w:rsidRPr="00F777CB" w14:paraId="40F1EEE1" w14:textId="77777777" w:rsidTr="00081BD9">
        <w:trPr>
          <w:trHeight w:val="311"/>
        </w:trPr>
        <w:tc>
          <w:tcPr>
            <w:tcW w:w="5036" w:type="dxa"/>
            <w:tcBorders>
              <w:top w:val="nil"/>
              <w:left w:val="nil"/>
              <w:bottom w:val="nil"/>
              <w:right w:val="nil"/>
            </w:tcBorders>
            <w:noWrap/>
            <w:vAlign w:val="bottom"/>
          </w:tcPr>
          <w:p w14:paraId="3B24AD10" w14:textId="77777777" w:rsidR="00381766" w:rsidRPr="00391EEE" w:rsidRDefault="00381766" w:rsidP="00081BD9">
            <w:pPr>
              <w:overflowPunct/>
              <w:autoSpaceDE/>
              <w:autoSpaceDN/>
              <w:adjustRightInd/>
              <w:textAlignment w:val="auto"/>
              <w:rPr>
                <w:sz w:val="22"/>
                <w:szCs w:val="22"/>
              </w:rPr>
            </w:pPr>
            <w:r w:rsidRPr="00391EEE">
              <w:rPr>
                <w:b/>
                <w:bCs/>
                <w:sz w:val="22"/>
                <w:szCs w:val="22"/>
              </w:rPr>
              <w:t>Name of company</w:t>
            </w:r>
          </w:p>
        </w:tc>
        <w:tc>
          <w:tcPr>
            <w:tcW w:w="2113" w:type="dxa"/>
            <w:tcBorders>
              <w:top w:val="nil"/>
              <w:left w:val="nil"/>
              <w:bottom w:val="nil"/>
              <w:right w:val="nil"/>
            </w:tcBorders>
            <w:noWrap/>
            <w:vAlign w:val="bottom"/>
          </w:tcPr>
          <w:p w14:paraId="09101E93" w14:textId="77777777" w:rsidR="00381766" w:rsidRPr="00391EEE" w:rsidRDefault="00381766" w:rsidP="00081BD9">
            <w:pPr>
              <w:overflowPunct/>
              <w:autoSpaceDE/>
              <w:autoSpaceDN/>
              <w:adjustRightInd/>
              <w:textAlignment w:val="auto"/>
              <w:rPr>
                <w:b/>
                <w:bCs/>
                <w:sz w:val="22"/>
                <w:szCs w:val="22"/>
              </w:rPr>
            </w:pPr>
            <w:r w:rsidRPr="00391EEE">
              <w:rPr>
                <w:b/>
                <w:bCs/>
                <w:sz w:val="22"/>
                <w:szCs w:val="22"/>
              </w:rPr>
              <w:t>Country of incorporation</w:t>
            </w:r>
          </w:p>
        </w:tc>
        <w:tc>
          <w:tcPr>
            <w:tcW w:w="1584" w:type="dxa"/>
            <w:tcBorders>
              <w:top w:val="nil"/>
              <w:left w:val="nil"/>
              <w:bottom w:val="nil"/>
              <w:right w:val="nil"/>
            </w:tcBorders>
            <w:noWrap/>
            <w:vAlign w:val="bottom"/>
          </w:tcPr>
          <w:p w14:paraId="4A71A61F" w14:textId="77777777" w:rsidR="00381766" w:rsidRPr="00391EEE" w:rsidRDefault="00381766" w:rsidP="00081BD9">
            <w:pPr>
              <w:overflowPunct/>
              <w:autoSpaceDE/>
              <w:autoSpaceDN/>
              <w:adjustRightInd/>
              <w:textAlignment w:val="auto"/>
              <w:rPr>
                <w:b/>
                <w:bCs/>
                <w:sz w:val="22"/>
                <w:szCs w:val="22"/>
              </w:rPr>
            </w:pPr>
            <w:r w:rsidRPr="00391EEE">
              <w:rPr>
                <w:b/>
                <w:bCs/>
                <w:sz w:val="22"/>
                <w:szCs w:val="22"/>
              </w:rPr>
              <w:t>Proportion held</w:t>
            </w:r>
          </w:p>
        </w:tc>
        <w:tc>
          <w:tcPr>
            <w:tcW w:w="1408" w:type="dxa"/>
            <w:tcBorders>
              <w:top w:val="nil"/>
              <w:left w:val="nil"/>
              <w:bottom w:val="nil"/>
              <w:right w:val="nil"/>
            </w:tcBorders>
            <w:noWrap/>
            <w:vAlign w:val="bottom"/>
          </w:tcPr>
          <w:p w14:paraId="04FEE05C" w14:textId="77777777" w:rsidR="00381766" w:rsidRPr="00391EEE" w:rsidRDefault="00381766" w:rsidP="00081BD9">
            <w:pPr>
              <w:overflowPunct/>
              <w:autoSpaceDE/>
              <w:autoSpaceDN/>
              <w:adjustRightInd/>
              <w:textAlignment w:val="auto"/>
              <w:rPr>
                <w:b/>
                <w:bCs/>
                <w:sz w:val="22"/>
                <w:szCs w:val="22"/>
              </w:rPr>
            </w:pPr>
            <w:r w:rsidRPr="00391EEE">
              <w:rPr>
                <w:b/>
                <w:bCs/>
                <w:sz w:val="22"/>
                <w:szCs w:val="22"/>
              </w:rPr>
              <w:t>Business</w:t>
            </w:r>
          </w:p>
        </w:tc>
      </w:tr>
      <w:tr w:rsidR="00381766" w:rsidRPr="00F777CB" w14:paraId="05B1177C" w14:textId="77777777" w:rsidTr="00081BD9">
        <w:trPr>
          <w:trHeight w:val="311"/>
        </w:trPr>
        <w:tc>
          <w:tcPr>
            <w:tcW w:w="5036" w:type="dxa"/>
            <w:tcBorders>
              <w:top w:val="nil"/>
              <w:left w:val="nil"/>
              <w:bottom w:val="nil"/>
              <w:right w:val="nil"/>
            </w:tcBorders>
            <w:noWrap/>
            <w:vAlign w:val="bottom"/>
          </w:tcPr>
          <w:p w14:paraId="1C661631" w14:textId="4630A37B" w:rsidR="00381766" w:rsidRPr="00391EEE" w:rsidRDefault="00381766" w:rsidP="00081BD9">
            <w:pPr>
              <w:overflowPunct/>
              <w:autoSpaceDE/>
              <w:autoSpaceDN/>
              <w:adjustRightInd/>
              <w:textAlignment w:val="auto"/>
              <w:rPr>
                <w:sz w:val="22"/>
                <w:szCs w:val="22"/>
              </w:rPr>
            </w:pPr>
            <w:r>
              <w:rPr>
                <w:sz w:val="22"/>
                <w:szCs w:val="22"/>
              </w:rPr>
              <w:t xml:space="preserve">MetalNRG Australia </w:t>
            </w:r>
            <w:r w:rsidR="000528E3">
              <w:rPr>
                <w:sz w:val="22"/>
                <w:szCs w:val="22"/>
              </w:rPr>
              <w:t xml:space="preserve">Pty </w:t>
            </w:r>
            <w:r>
              <w:rPr>
                <w:sz w:val="22"/>
                <w:szCs w:val="22"/>
              </w:rPr>
              <w:t>Ltd</w:t>
            </w:r>
          </w:p>
        </w:tc>
        <w:tc>
          <w:tcPr>
            <w:tcW w:w="2113" w:type="dxa"/>
            <w:tcBorders>
              <w:top w:val="nil"/>
              <w:left w:val="nil"/>
              <w:bottom w:val="nil"/>
              <w:right w:val="nil"/>
            </w:tcBorders>
            <w:noWrap/>
            <w:vAlign w:val="bottom"/>
          </w:tcPr>
          <w:p w14:paraId="136E1139" w14:textId="77777777" w:rsidR="00381766" w:rsidRPr="00391EEE" w:rsidRDefault="00381766" w:rsidP="00081BD9">
            <w:pPr>
              <w:overflowPunct/>
              <w:autoSpaceDE/>
              <w:autoSpaceDN/>
              <w:adjustRightInd/>
              <w:textAlignment w:val="auto"/>
              <w:rPr>
                <w:sz w:val="22"/>
                <w:szCs w:val="22"/>
              </w:rPr>
            </w:pPr>
            <w:r>
              <w:rPr>
                <w:sz w:val="22"/>
                <w:szCs w:val="22"/>
              </w:rPr>
              <w:t>Australia</w:t>
            </w:r>
          </w:p>
        </w:tc>
        <w:tc>
          <w:tcPr>
            <w:tcW w:w="1584" w:type="dxa"/>
            <w:tcBorders>
              <w:top w:val="nil"/>
              <w:left w:val="nil"/>
              <w:bottom w:val="nil"/>
              <w:right w:val="nil"/>
            </w:tcBorders>
            <w:noWrap/>
            <w:vAlign w:val="bottom"/>
          </w:tcPr>
          <w:p w14:paraId="00976CC3" w14:textId="77777777" w:rsidR="00381766" w:rsidRPr="00391EEE" w:rsidRDefault="00381766" w:rsidP="00081BD9">
            <w:pPr>
              <w:overflowPunct/>
              <w:autoSpaceDE/>
              <w:autoSpaceDN/>
              <w:adjustRightInd/>
              <w:textAlignment w:val="auto"/>
              <w:rPr>
                <w:sz w:val="22"/>
                <w:szCs w:val="22"/>
              </w:rPr>
            </w:pPr>
            <w:r w:rsidRPr="00391EEE">
              <w:rPr>
                <w:sz w:val="22"/>
                <w:szCs w:val="22"/>
              </w:rPr>
              <w:t>100%</w:t>
            </w:r>
          </w:p>
        </w:tc>
        <w:tc>
          <w:tcPr>
            <w:tcW w:w="1408" w:type="dxa"/>
            <w:tcBorders>
              <w:top w:val="nil"/>
              <w:left w:val="nil"/>
              <w:bottom w:val="nil"/>
              <w:right w:val="nil"/>
            </w:tcBorders>
            <w:noWrap/>
            <w:vAlign w:val="bottom"/>
          </w:tcPr>
          <w:p w14:paraId="4C341908" w14:textId="77777777" w:rsidR="00381766" w:rsidRPr="00391EEE" w:rsidRDefault="00381766" w:rsidP="00081BD9">
            <w:pPr>
              <w:overflowPunct/>
              <w:autoSpaceDE/>
              <w:autoSpaceDN/>
              <w:adjustRightInd/>
              <w:textAlignment w:val="auto"/>
              <w:rPr>
                <w:sz w:val="22"/>
                <w:szCs w:val="22"/>
              </w:rPr>
            </w:pPr>
            <w:r w:rsidRPr="00391EEE">
              <w:rPr>
                <w:sz w:val="22"/>
                <w:szCs w:val="22"/>
              </w:rPr>
              <w:t>Exploration</w:t>
            </w:r>
          </w:p>
        </w:tc>
      </w:tr>
      <w:tr w:rsidR="00381766" w:rsidRPr="00F777CB" w14:paraId="4BA2A9DD" w14:textId="77777777" w:rsidTr="00081BD9">
        <w:trPr>
          <w:trHeight w:val="311"/>
        </w:trPr>
        <w:tc>
          <w:tcPr>
            <w:tcW w:w="5036" w:type="dxa"/>
            <w:tcBorders>
              <w:top w:val="nil"/>
              <w:left w:val="nil"/>
              <w:bottom w:val="nil"/>
              <w:right w:val="nil"/>
            </w:tcBorders>
            <w:noWrap/>
            <w:vAlign w:val="bottom"/>
          </w:tcPr>
          <w:p w14:paraId="75DEAB3D" w14:textId="77777777" w:rsidR="00381766" w:rsidRPr="00391EEE" w:rsidRDefault="00381766" w:rsidP="00081BD9">
            <w:pPr>
              <w:overflowPunct/>
              <w:autoSpaceDE/>
              <w:autoSpaceDN/>
              <w:adjustRightInd/>
              <w:textAlignment w:val="auto"/>
              <w:rPr>
                <w:sz w:val="22"/>
                <w:szCs w:val="22"/>
              </w:rPr>
            </w:pPr>
            <w:r>
              <w:rPr>
                <w:sz w:val="22"/>
                <w:szCs w:val="22"/>
              </w:rPr>
              <w:t>Gold Ridge Holdings Limited</w:t>
            </w:r>
          </w:p>
        </w:tc>
        <w:tc>
          <w:tcPr>
            <w:tcW w:w="2113" w:type="dxa"/>
            <w:tcBorders>
              <w:top w:val="nil"/>
              <w:left w:val="nil"/>
              <w:bottom w:val="nil"/>
              <w:right w:val="nil"/>
            </w:tcBorders>
            <w:noWrap/>
            <w:vAlign w:val="bottom"/>
          </w:tcPr>
          <w:p w14:paraId="7A5C3007" w14:textId="77777777" w:rsidR="00381766" w:rsidRPr="00391EEE" w:rsidRDefault="00381766" w:rsidP="00081BD9">
            <w:pPr>
              <w:overflowPunct/>
              <w:autoSpaceDE/>
              <w:autoSpaceDN/>
              <w:adjustRightInd/>
              <w:textAlignment w:val="auto"/>
              <w:rPr>
                <w:sz w:val="22"/>
                <w:szCs w:val="22"/>
              </w:rPr>
            </w:pPr>
            <w:r>
              <w:rPr>
                <w:sz w:val="22"/>
                <w:szCs w:val="22"/>
              </w:rPr>
              <w:t>United States</w:t>
            </w:r>
          </w:p>
        </w:tc>
        <w:tc>
          <w:tcPr>
            <w:tcW w:w="1584" w:type="dxa"/>
            <w:tcBorders>
              <w:top w:val="nil"/>
              <w:left w:val="nil"/>
              <w:bottom w:val="nil"/>
              <w:right w:val="nil"/>
            </w:tcBorders>
            <w:noWrap/>
            <w:vAlign w:val="bottom"/>
          </w:tcPr>
          <w:p w14:paraId="3DAB79E6" w14:textId="77777777" w:rsidR="00381766" w:rsidRPr="00391EEE" w:rsidRDefault="00381766" w:rsidP="00081BD9">
            <w:pPr>
              <w:overflowPunct/>
              <w:autoSpaceDE/>
              <w:autoSpaceDN/>
              <w:adjustRightInd/>
              <w:textAlignment w:val="auto"/>
              <w:rPr>
                <w:sz w:val="22"/>
                <w:szCs w:val="22"/>
              </w:rPr>
            </w:pPr>
            <w:r>
              <w:rPr>
                <w:sz w:val="22"/>
                <w:szCs w:val="22"/>
              </w:rPr>
              <w:t>10</w:t>
            </w:r>
            <w:r w:rsidRPr="00391EEE">
              <w:rPr>
                <w:sz w:val="22"/>
                <w:szCs w:val="22"/>
              </w:rPr>
              <w:t>0%</w:t>
            </w:r>
          </w:p>
        </w:tc>
        <w:tc>
          <w:tcPr>
            <w:tcW w:w="1408" w:type="dxa"/>
            <w:tcBorders>
              <w:top w:val="nil"/>
              <w:left w:val="nil"/>
              <w:bottom w:val="nil"/>
              <w:right w:val="nil"/>
            </w:tcBorders>
            <w:noWrap/>
            <w:vAlign w:val="bottom"/>
          </w:tcPr>
          <w:p w14:paraId="7670420B" w14:textId="77777777" w:rsidR="00381766" w:rsidRPr="00391EEE" w:rsidRDefault="00381766" w:rsidP="00081BD9">
            <w:pPr>
              <w:overflowPunct/>
              <w:autoSpaceDE/>
              <w:autoSpaceDN/>
              <w:adjustRightInd/>
              <w:textAlignment w:val="auto"/>
              <w:rPr>
                <w:sz w:val="22"/>
                <w:szCs w:val="22"/>
              </w:rPr>
            </w:pPr>
            <w:r>
              <w:rPr>
                <w:sz w:val="22"/>
                <w:szCs w:val="22"/>
              </w:rPr>
              <w:t>Mining</w:t>
            </w:r>
          </w:p>
        </w:tc>
      </w:tr>
    </w:tbl>
    <w:p w14:paraId="555B006F" w14:textId="77777777" w:rsidR="007D15C4" w:rsidRDefault="007D15C4" w:rsidP="00DD71EE">
      <w:pPr>
        <w:ind w:left="142"/>
        <w:jc w:val="both"/>
        <w:rPr>
          <w:sz w:val="22"/>
          <w:szCs w:val="22"/>
        </w:rPr>
      </w:pPr>
    </w:p>
    <w:p w14:paraId="176774B1" w14:textId="6D6ED5A6" w:rsidR="007623F0" w:rsidRPr="00FF2068" w:rsidRDefault="00574165" w:rsidP="0076674C">
      <w:pPr>
        <w:pStyle w:val="BodyText2"/>
        <w:jc w:val="left"/>
        <w:rPr>
          <w:b/>
          <w:sz w:val="22"/>
          <w:szCs w:val="22"/>
        </w:rPr>
      </w:pPr>
      <w:r>
        <w:rPr>
          <w:b/>
          <w:sz w:val="22"/>
          <w:szCs w:val="22"/>
        </w:rPr>
        <w:t>10</w:t>
      </w:r>
      <w:r w:rsidR="007623F0" w:rsidRPr="00F777CB">
        <w:rPr>
          <w:b/>
          <w:sz w:val="22"/>
          <w:szCs w:val="22"/>
        </w:rPr>
        <w:t>.</w:t>
      </w:r>
      <w:r w:rsidR="007623F0" w:rsidRPr="00F777CB">
        <w:rPr>
          <w:b/>
          <w:sz w:val="22"/>
          <w:szCs w:val="22"/>
        </w:rPr>
        <w:tab/>
      </w:r>
      <w:r w:rsidR="007623F0" w:rsidRPr="004D31FE">
        <w:rPr>
          <w:b/>
          <w:sz w:val="22"/>
          <w:szCs w:val="22"/>
        </w:rPr>
        <w:t>TRADE AND OTHER RECEIVABLES</w:t>
      </w:r>
    </w:p>
    <w:p w14:paraId="76F45562" w14:textId="77777777" w:rsidR="007623F0" w:rsidRPr="00FF2068" w:rsidRDefault="007623F0">
      <w:pPr>
        <w:pStyle w:val="xl26"/>
        <w:overflowPunct w:val="0"/>
        <w:autoSpaceDE w:val="0"/>
        <w:autoSpaceDN w:val="0"/>
        <w:adjustRightInd w:val="0"/>
        <w:spacing w:before="0" w:beforeAutospacing="0" w:after="0" w:afterAutospacing="0"/>
        <w:textAlignment w:val="baseline"/>
        <w:rPr>
          <w:rFonts w:eastAsia="Times New Roman"/>
          <w:bCs w:val="0"/>
          <w:sz w:val="22"/>
          <w:szCs w:val="22"/>
          <w:lang w:val="en-GB"/>
        </w:rPr>
      </w:pPr>
    </w:p>
    <w:tbl>
      <w:tblPr>
        <w:tblW w:w="9938" w:type="dxa"/>
        <w:tblLayout w:type="fixed"/>
        <w:tblCellMar>
          <w:left w:w="0" w:type="dxa"/>
          <w:right w:w="0" w:type="dxa"/>
        </w:tblCellMar>
        <w:tblLook w:val="0000" w:firstRow="0" w:lastRow="0" w:firstColumn="0" w:lastColumn="0" w:noHBand="0" w:noVBand="0"/>
      </w:tblPr>
      <w:tblGrid>
        <w:gridCol w:w="5563"/>
        <w:gridCol w:w="831"/>
        <w:gridCol w:w="1134"/>
        <w:gridCol w:w="1134"/>
        <w:gridCol w:w="1276"/>
      </w:tblGrid>
      <w:tr w:rsidR="00696D85" w:rsidRPr="00FF2068" w14:paraId="5DADC453" w14:textId="77777777" w:rsidTr="00652CBB">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167C7B74" w14:textId="77777777" w:rsidR="00696D85" w:rsidRPr="00FF2068" w:rsidRDefault="00696D85" w:rsidP="00696D85">
            <w:pPr>
              <w:rPr>
                <w:rFonts w:eastAsia="Arial Unicode MS"/>
                <w:sz w:val="22"/>
                <w:szCs w:val="22"/>
              </w:rPr>
            </w:pPr>
          </w:p>
        </w:tc>
        <w:tc>
          <w:tcPr>
            <w:tcW w:w="831" w:type="dxa"/>
            <w:tcBorders>
              <w:top w:val="nil"/>
              <w:left w:val="nil"/>
              <w:bottom w:val="nil"/>
              <w:right w:val="nil"/>
            </w:tcBorders>
            <w:vAlign w:val="bottom"/>
          </w:tcPr>
          <w:p w14:paraId="4098C584" w14:textId="77777777" w:rsidR="00696D85" w:rsidRPr="008E3E7F" w:rsidRDefault="00696D85">
            <w:pPr>
              <w:ind w:right="75"/>
              <w:jc w:val="right"/>
              <w:rPr>
                <w:b/>
                <w:bCs/>
                <w:sz w:val="22"/>
                <w:szCs w:val="22"/>
              </w:rPr>
            </w:pPr>
            <w:r w:rsidRPr="008E3E7F">
              <w:rPr>
                <w:b/>
                <w:bCs/>
                <w:sz w:val="22"/>
                <w:szCs w:val="22"/>
              </w:rPr>
              <w:t>The</w:t>
            </w:r>
          </w:p>
          <w:p w14:paraId="3FDE3185" w14:textId="77777777" w:rsidR="00696D85" w:rsidRPr="008E3E7F" w:rsidRDefault="00696D85">
            <w:pPr>
              <w:ind w:right="75"/>
              <w:jc w:val="right"/>
              <w:rPr>
                <w:b/>
                <w:bCs/>
                <w:sz w:val="22"/>
                <w:szCs w:val="22"/>
              </w:rPr>
            </w:pPr>
            <w:r w:rsidRPr="008E3E7F">
              <w:rPr>
                <w:b/>
                <w:bCs/>
                <w:sz w:val="22"/>
                <w:szCs w:val="22"/>
              </w:rPr>
              <w:t>Group</w:t>
            </w:r>
          </w:p>
          <w:p w14:paraId="4A1E899E" w14:textId="59B784D1" w:rsidR="00696D85" w:rsidRPr="008E3E7F" w:rsidRDefault="004D31FE" w:rsidP="00FB47A9">
            <w:pPr>
              <w:ind w:right="75"/>
              <w:jc w:val="right"/>
              <w:rPr>
                <w:b/>
                <w:bCs/>
                <w:sz w:val="22"/>
                <w:szCs w:val="22"/>
              </w:rPr>
            </w:pPr>
            <w:r>
              <w:rPr>
                <w:b/>
                <w:bCs/>
                <w:sz w:val="22"/>
                <w:szCs w:val="22"/>
              </w:rPr>
              <w:t xml:space="preserve">31 Dec </w:t>
            </w:r>
            <w:r w:rsidR="000507DE">
              <w:rPr>
                <w:b/>
                <w:bCs/>
                <w:sz w:val="22"/>
                <w:szCs w:val="22"/>
              </w:rPr>
              <w:t>2020</w:t>
            </w:r>
          </w:p>
        </w:tc>
        <w:tc>
          <w:tcPr>
            <w:tcW w:w="1134" w:type="dxa"/>
            <w:tcBorders>
              <w:top w:val="nil"/>
              <w:left w:val="nil"/>
              <w:bottom w:val="nil"/>
              <w:right w:val="nil"/>
            </w:tcBorders>
            <w:vAlign w:val="bottom"/>
          </w:tcPr>
          <w:p w14:paraId="1092451F" w14:textId="77777777" w:rsidR="00696D85" w:rsidRPr="008E3E7F" w:rsidRDefault="00696D85">
            <w:pPr>
              <w:ind w:right="75"/>
              <w:jc w:val="right"/>
              <w:rPr>
                <w:b/>
                <w:bCs/>
                <w:sz w:val="22"/>
                <w:szCs w:val="22"/>
              </w:rPr>
            </w:pPr>
            <w:r w:rsidRPr="008E3E7F">
              <w:rPr>
                <w:b/>
                <w:bCs/>
                <w:sz w:val="22"/>
                <w:szCs w:val="22"/>
              </w:rPr>
              <w:t>The</w:t>
            </w:r>
          </w:p>
          <w:p w14:paraId="56727E1E" w14:textId="77777777" w:rsidR="00696D85" w:rsidRPr="008E3E7F" w:rsidRDefault="00696D85">
            <w:pPr>
              <w:ind w:right="75"/>
              <w:jc w:val="right"/>
              <w:rPr>
                <w:b/>
                <w:bCs/>
                <w:sz w:val="22"/>
                <w:szCs w:val="22"/>
              </w:rPr>
            </w:pPr>
            <w:r w:rsidRPr="008E3E7F">
              <w:rPr>
                <w:b/>
                <w:bCs/>
                <w:sz w:val="22"/>
                <w:szCs w:val="22"/>
              </w:rPr>
              <w:t>Group</w:t>
            </w:r>
          </w:p>
          <w:p w14:paraId="015D2629" w14:textId="0ACCFA9D" w:rsidR="00696D85" w:rsidRPr="008E3E7F" w:rsidRDefault="000507DE" w:rsidP="00FB47A9">
            <w:pPr>
              <w:ind w:right="75"/>
              <w:jc w:val="right"/>
              <w:rPr>
                <w:b/>
                <w:bCs/>
                <w:sz w:val="22"/>
                <w:szCs w:val="22"/>
              </w:rPr>
            </w:pPr>
            <w:r>
              <w:rPr>
                <w:b/>
                <w:bCs/>
                <w:sz w:val="22"/>
                <w:szCs w:val="22"/>
              </w:rPr>
              <w:t>31 Dec</w:t>
            </w:r>
            <w:r w:rsidR="004D31FE">
              <w:rPr>
                <w:b/>
                <w:bCs/>
                <w:sz w:val="22"/>
                <w:szCs w:val="22"/>
              </w:rPr>
              <w:t xml:space="preserve"> </w:t>
            </w:r>
            <w:r w:rsidR="00696D85" w:rsidRPr="008E3E7F">
              <w:rPr>
                <w:b/>
                <w:bCs/>
                <w:sz w:val="22"/>
                <w:szCs w:val="22"/>
              </w:rPr>
              <w:t>201</w:t>
            </w:r>
            <w:r w:rsidR="004D31FE">
              <w:rPr>
                <w:b/>
                <w:bCs/>
                <w:sz w:val="22"/>
                <w:szCs w:val="22"/>
              </w:rPr>
              <w:t>9</w:t>
            </w:r>
          </w:p>
        </w:tc>
        <w:tc>
          <w:tcPr>
            <w:tcW w:w="1134" w:type="dxa"/>
            <w:tcBorders>
              <w:top w:val="nil"/>
              <w:left w:val="nil"/>
              <w:bottom w:val="nil"/>
              <w:right w:val="nil"/>
            </w:tcBorders>
            <w:noWrap/>
            <w:tcMar>
              <w:top w:w="15" w:type="dxa"/>
              <w:left w:w="15" w:type="dxa"/>
              <w:bottom w:w="0" w:type="dxa"/>
              <w:right w:w="15" w:type="dxa"/>
            </w:tcMar>
            <w:vAlign w:val="bottom"/>
          </w:tcPr>
          <w:p w14:paraId="6D8D9D87" w14:textId="77777777" w:rsidR="00696D85" w:rsidRPr="008E3E7F" w:rsidRDefault="00696D85" w:rsidP="00652CBB">
            <w:pPr>
              <w:ind w:right="75"/>
              <w:jc w:val="right"/>
              <w:rPr>
                <w:b/>
                <w:bCs/>
                <w:sz w:val="22"/>
                <w:szCs w:val="22"/>
              </w:rPr>
            </w:pPr>
            <w:r w:rsidRPr="008E3E7F">
              <w:rPr>
                <w:b/>
                <w:bCs/>
                <w:sz w:val="22"/>
                <w:szCs w:val="22"/>
              </w:rPr>
              <w:t>The</w:t>
            </w:r>
          </w:p>
          <w:p w14:paraId="6CE12B71" w14:textId="77777777" w:rsidR="00696D85" w:rsidRPr="008E3E7F" w:rsidRDefault="00696D85" w:rsidP="00652CBB">
            <w:pPr>
              <w:ind w:right="75"/>
              <w:jc w:val="right"/>
              <w:rPr>
                <w:b/>
                <w:bCs/>
                <w:sz w:val="22"/>
                <w:szCs w:val="22"/>
              </w:rPr>
            </w:pPr>
            <w:r w:rsidRPr="008E3E7F">
              <w:rPr>
                <w:b/>
                <w:bCs/>
                <w:sz w:val="22"/>
                <w:szCs w:val="22"/>
              </w:rPr>
              <w:t>Company</w:t>
            </w:r>
          </w:p>
          <w:p w14:paraId="154C8CE8" w14:textId="6323B148" w:rsidR="00696D85" w:rsidRPr="008E3E7F" w:rsidRDefault="004D31FE" w:rsidP="00652CBB">
            <w:pPr>
              <w:ind w:right="75"/>
              <w:jc w:val="right"/>
              <w:rPr>
                <w:rFonts w:eastAsia="Arial Unicode MS"/>
                <w:b/>
                <w:bCs/>
                <w:sz w:val="22"/>
                <w:szCs w:val="22"/>
              </w:rPr>
            </w:pPr>
            <w:r>
              <w:rPr>
                <w:b/>
                <w:bCs/>
                <w:sz w:val="22"/>
                <w:szCs w:val="22"/>
              </w:rPr>
              <w:t xml:space="preserve">31 Dec </w:t>
            </w:r>
            <w:r w:rsidR="000507DE" w:rsidRPr="008E3E7F">
              <w:rPr>
                <w:b/>
                <w:bCs/>
                <w:sz w:val="22"/>
                <w:szCs w:val="22"/>
              </w:rPr>
              <w:t>20</w:t>
            </w:r>
            <w:r w:rsidR="000507DE">
              <w:rPr>
                <w:b/>
                <w:bCs/>
                <w:sz w:val="22"/>
                <w:szCs w:val="22"/>
              </w:rPr>
              <w:t>20</w:t>
            </w:r>
          </w:p>
        </w:tc>
        <w:tc>
          <w:tcPr>
            <w:tcW w:w="1276" w:type="dxa"/>
            <w:tcBorders>
              <w:top w:val="nil"/>
              <w:left w:val="nil"/>
              <w:bottom w:val="nil"/>
              <w:right w:val="nil"/>
            </w:tcBorders>
            <w:vAlign w:val="bottom"/>
          </w:tcPr>
          <w:p w14:paraId="34C667B0" w14:textId="77777777" w:rsidR="00696D85" w:rsidRPr="00FF2068" w:rsidRDefault="00696D85">
            <w:pPr>
              <w:ind w:right="75"/>
              <w:jc w:val="right"/>
              <w:rPr>
                <w:b/>
                <w:bCs/>
                <w:sz w:val="22"/>
                <w:szCs w:val="22"/>
              </w:rPr>
            </w:pPr>
            <w:r w:rsidRPr="00FF2068">
              <w:rPr>
                <w:b/>
                <w:bCs/>
                <w:sz w:val="22"/>
                <w:szCs w:val="22"/>
              </w:rPr>
              <w:t>The</w:t>
            </w:r>
          </w:p>
          <w:p w14:paraId="3A84A8C0" w14:textId="77777777" w:rsidR="00696D85" w:rsidRPr="00FF2068" w:rsidRDefault="00696D85">
            <w:pPr>
              <w:ind w:right="75"/>
              <w:jc w:val="right"/>
              <w:rPr>
                <w:b/>
                <w:bCs/>
                <w:sz w:val="22"/>
                <w:szCs w:val="22"/>
              </w:rPr>
            </w:pPr>
            <w:r w:rsidRPr="00FF2068">
              <w:rPr>
                <w:b/>
                <w:bCs/>
                <w:sz w:val="22"/>
                <w:szCs w:val="22"/>
              </w:rPr>
              <w:t>Company</w:t>
            </w:r>
          </w:p>
          <w:p w14:paraId="0E4A911D" w14:textId="24FC35A3" w:rsidR="00696D85" w:rsidRPr="00FF2068" w:rsidRDefault="000507DE" w:rsidP="004D31FE">
            <w:pPr>
              <w:ind w:right="90" w:firstLine="134"/>
              <w:jc w:val="right"/>
              <w:rPr>
                <w:rFonts w:eastAsia="Arial Unicode MS"/>
                <w:b/>
                <w:bCs/>
                <w:sz w:val="22"/>
                <w:szCs w:val="22"/>
              </w:rPr>
            </w:pPr>
            <w:r>
              <w:rPr>
                <w:b/>
                <w:bCs/>
                <w:sz w:val="22"/>
                <w:szCs w:val="22"/>
              </w:rPr>
              <w:t>31 Dec</w:t>
            </w:r>
            <w:r w:rsidR="004D31FE">
              <w:rPr>
                <w:b/>
                <w:bCs/>
                <w:sz w:val="22"/>
                <w:szCs w:val="22"/>
              </w:rPr>
              <w:t xml:space="preserve"> </w:t>
            </w:r>
            <w:r w:rsidR="00696D85" w:rsidRPr="00FF2068">
              <w:rPr>
                <w:b/>
                <w:bCs/>
                <w:sz w:val="22"/>
                <w:szCs w:val="22"/>
              </w:rPr>
              <w:t>201</w:t>
            </w:r>
            <w:r w:rsidR="004D31FE">
              <w:rPr>
                <w:b/>
                <w:bCs/>
                <w:sz w:val="22"/>
                <w:szCs w:val="22"/>
              </w:rPr>
              <w:t>9</w:t>
            </w:r>
          </w:p>
        </w:tc>
      </w:tr>
      <w:tr w:rsidR="004D31FE" w:rsidRPr="00FF2068" w14:paraId="77AEFE3F" w14:textId="77777777" w:rsidTr="00652CBB">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11383242" w14:textId="77777777" w:rsidR="004D31FE" w:rsidRPr="00FF2068" w:rsidRDefault="004D31FE" w:rsidP="00696D85">
            <w:pPr>
              <w:rPr>
                <w:rFonts w:eastAsia="Arial Unicode MS"/>
                <w:sz w:val="22"/>
                <w:szCs w:val="22"/>
              </w:rPr>
            </w:pPr>
          </w:p>
        </w:tc>
        <w:tc>
          <w:tcPr>
            <w:tcW w:w="831" w:type="dxa"/>
            <w:tcBorders>
              <w:top w:val="nil"/>
              <w:left w:val="nil"/>
              <w:bottom w:val="nil"/>
              <w:right w:val="nil"/>
            </w:tcBorders>
            <w:vAlign w:val="bottom"/>
          </w:tcPr>
          <w:p w14:paraId="33ECB59D" w14:textId="77777777" w:rsidR="004D31FE" w:rsidRPr="008E3E7F" w:rsidRDefault="004D31FE">
            <w:pPr>
              <w:ind w:right="75"/>
              <w:jc w:val="right"/>
              <w:rPr>
                <w:b/>
                <w:bCs/>
                <w:sz w:val="22"/>
                <w:szCs w:val="22"/>
              </w:rPr>
            </w:pPr>
          </w:p>
        </w:tc>
        <w:tc>
          <w:tcPr>
            <w:tcW w:w="1134" w:type="dxa"/>
            <w:tcBorders>
              <w:top w:val="nil"/>
              <w:left w:val="nil"/>
              <w:bottom w:val="nil"/>
              <w:right w:val="nil"/>
            </w:tcBorders>
            <w:vAlign w:val="bottom"/>
          </w:tcPr>
          <w:p w14:paraId="1B002540" w14:textId="77777777" w:rsidR="004D31FE" w:rsidRPr="008E3E7F" w:rsidRDefault="004D31FE">
            <w:pPr>
              <w:ind w:right="75"/>
              <w:jc w:val="right"/>
              <w:rPr>
                <w:b/>
                <w:bCs/>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6FA1BA39" w14:textId="77777777" w:rsidR="004D31FE" w:rsidRPr="008E3E7F" w:rsidRDefault="004D31FE" w:rsidP="00652CBB">
            <w:pPr>
              <w:ind w:right="75"/>
              <w:jc w:val="right"/>
              <w:rPr>
                <w:b/>
                <w:bCs/>
                <w:sz w:val="22"/>
                <w:szCs w:val="22"/>
              </w:rPr>
            </w:pPr>
          </w:p>
        </w:tc>
        <w:tc>
          <w:tcPr>
            <w:tcW w:w="1276" w:type="dxa"/>
            <w:tcBorders>
              <w:top w:val="nil"/>
              <w:left w:val="nil"/>
              <w:bottom w:val="nil"/>
              <w:right w:val="nil"/>
            </w:tcBorders>
            <w:vAlign w:val="bottom"/>
          </w:tcPr>
          <w:p w14:paraId="2A7222D5" w14:textId="77777777" w:rsidR="004D31FE" w:rsidRPr="00FF2068" w:rsidRDefault="004D31FE">
            <w:pPr>
              <w:ind w:right="75"/>
              <w:jc w:val="right"/>
              <w:rPr>
                <w:b/>
                <w:bCs/>
                <w:sz w:val="22"/>
                <w:szCs w:val="22"/>
              </w:rPr>
            </w:pPr>
          </w:p>
        </w:tc>
      </w:tr>
      <w:tr w:rsidR="00696D85" w:rsidRPr="00FF2068" w14:paraId="13EEA09B" w14:textId="77777777" w:rsidTr="00652CBB">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6E51863B" w14:textId="77777777" w:rsidR="00696D85" w:rsidRPr="00FF2068" w:rsidRDefault="00696D85" w:rsidP="00696D85">
            <w:pPr>
              <w:rPr>
                <w:rFonts w:eastAsia="Arial Unicode MS"/>
                <w:sz w:val="22"/>
                <w:szCs w:val="22"/>
              </w:rPr>
            </w:pPr>
            <w:r w:rsidRPr="00FF2068">
              <w:rPr>
                <w:b/>
                <w:bCs/>
                <w:sz w:val="22"/>
                <w:szCs w:val="22"/>
              </w:rPr>
              <w:t>Current</w:t>
            </w:r>
          </w:p>
        </w:tc>
        <w:tc>
          <w:tcPr>
            <w:tcW w:w="831" w:type="dxa"/>
            <w:tcBorders>
              <w:top w:val="nil"/>
              <w:left w:val="nil"/>
              <w:bottom w:val="nil"/>
              <w:right w:val="nil"/>
            </w:tcBorders>
            <w:vAlign w:val="bottom"/>
          </w:tcPr>
          <w:p w14:paraId="48977CB8" w14:textId="77777777" w:rsidR="00696D85" w:rsidRPr="008E3E7F" w:rsidRDefault="00696D85" w:rsidP="00656716">
            <w:pPr>
              <w:ind w:right="75"/>
              <w:jc w:val="right"/>
              <w:rPr>
                <w:b/>
                <w:bCs/>
                <w:sz w:val="22"/>
                <w:szCs w:val="22"/>
              </w:rPr>
            </w:pPr>
            <w:r w:rsidRPr="008E3E7F">
              <w:rPr>
                <w:b/>
                <w:bCs/>
                <w:sz w:val="22"/>
                <w:szCs w:val="22"/>
              </w:rPr>
              <w:t>£</w:t>
            </w:r>
          </w:p>
        </w:tc>
        <w:tc>
          <w:tcPr>
            <w:tcW w:w="1134" w:type="dxa"/>
            <w:tcBorders>
              <w:top w:val="nil"/>
              <w:left w:val="nil"/>
              <w:bottom w:val="nil"/>
              <w:right w:val="nil"/>
            </w:tcBorders>
            <w:vAlign w:val="bottom"/>
          </w:tcPr>
          <w:p w14:paraId="76987F46" w14:textId="77777777" w:rsidR="00696D85" w:rsidRPr="008E3E7F" w:rsidRDefault="00696D85" w:rsidP="00656716">
            <w:pPr>
              <w:ind w:right="75"/>
              <w:jc w:val="right"/>
              <w:rPr>
                <w:b/>
                <w:bCs/>
                <w:sz w:val="22"/>
                <w:szCs w:val="22"/>
              </w:rPr>
            </w:pPr>
            <w:r w:rsidRPr="008E3E7F">
              <w:rPr>
                <w:b/>
                <w:bCs/>
                <w:sz w:val="22"/>
                <w:szCs w:val="22"/>
              </w:rPr>
              <w:t>£</w:t>
            </w:r>
          </w:p>
        </w:tc>
        <w:tc>
          <w:tcPr>
            <w:tcW w:w="1134" w:type="dxa"/>
            <w:tcBorders>
              <w:top w:val="nil"/>
              <w:left w:val="nil"/>
              <w:bottom w:val="nil"/>
              <w:right w:val="nil"/>
            </w:tcBorders>
            <w:noWrap/>
            <w:tcMar>
              <w:top w:w="15" w:type="dxa"/>
              <w:left w:w="15" w:type="dxa"/>
              <w:bottom w:w="0" w:type="dxa"/>
              <w:right w:w="15" w:type="dxa"/>
            </w:tcMar>
            <w:vAlign w:val="bottom"/>
          </w:tcPr>
          <w:p w14:paraId="535797DD" w14:textId="77777777" w:rsidR="00696D85" w:rsidRPr="008E3E7F" w:rsidRDefault="00696D85" w:rsidP="00656716">
            <w:pPr>
              <w:ind w:right="75"/>
              <w:jc w:val="right"/>
              <w:rPr>
                <w:rFonts w:eastAsia="Arial Unicode MS"/>
                <w:b/>
                <w:bCs/>
                <w:sz w:val="22"/>
                <w:szCs w:val="22"/>
              </w:rPr>
            </w:pPr>
            <w:r w:rsidRPr="008E3E7F">
              <w:rPr>
                <w:b/>
                <w:bCs/>
                <w:sz w:val="22"/>
                <w:szCs w:val="22"/>
              </w:rPr>
              <w:t>£</w:t>
            </w:r>
          </w:p>
        </w:tc>
        <w:tc>
          <w:tcPr>
            <w:tcW w:w="1276" w:type="dxa"/>
            <w:tcBorders>
              <w:top w:val="nil"/>
              <w:left w:val="nil"/>
              <w:bottom w:val="nil"/>
              <w:right w:val="nil"/>
            </w:tcBorders>
            <w:vAlign w:val="bottom"/>
          </w:tcPr>
          <w:p w14:paraId="6269E7CD" w14:textId="77777777" w:rsidR="00696D85" w:rsidRPr="00FF2068" w:rsidRDefault="00696D85" w:rsidP="00656716">
            <w:pPr>
              <w:ind w:right="90"/>
              <w:jc w:val="right"/>
              <w:rPr>
                <w:rFonts w:eastAsia="Arial Unicode MS"/>
                <w:b/>
                <w:bCs/>
                <w:sz w:val="22"/>
                <w:szCs w:val="22"/>
              </w:rPr>
            </w:pPr>
            <w:r w:rsidRPr="00FF2068">
              <w:rPr>
                <w:b/>
                <w:bCs/>
                <w:sz w:val="22"/>
                <w:szCs w:val="22"/>
              </w:rPr>
              <w:t>£</w:t>
            </w:r>
          </w:p>
        </w:tc>
      </w:tr>
      <w:tr w:rsidR="00FB47A9" w:rsidRPr="00FF2068" w14:paraId="336509FF" w14:textId="77777777" w:rsidTr="007756FE">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44941AD2" w14:textId="607EE308" w:rsidR="00FB47A9" w:rsidRPr="00FF2068" w:rsidRDefault="007756FE" w:rsidP="00FB47A9">
            <w:pPr>
              <w:rPr>
                <w:rFonts w:eastAsia="Arial Unicode MS"/>
                <w:sz w:val="22"/>
                <w:szCs w:val="22"/>
              </w:rPr>
            </w:pPr>
            <w:r>
              <w:rPr>
                <w:sz w:val="22"/>
                <w:szCs w:val="22"/>
              </w:rPr>
              <w:t>Subscription for shares</w:t>
            </w:r>
          </w:p>
        </w:tc>
        <w:tc>
          <w:tcPr>
            <w:tcW w:w="831" w:type="dxa"/>
            <w:tcBorders>
              <w:top w:val="nil"/>
              <w:left w:val="nil"/>
              <w:right w:val="nil"/>
            </w:tcBorders>
            <w:vAlign w:val="bottom"/>
          </w:tcPr>
          <w:p w14:paraId="00D5D331" w14:textId="632EC090" w:rsidR="00FB47A9" w:rsidRPr="004D31FE" w:rsidRDefault="000507DE" w:rsidP="00FB47A9">
            <w:pPr>
              <w:ind w:right="75"/>
              <w:jc w:val="right"/>
              <w:rPr>
                <w:rFonts w:eastAsia="Arial Unicode MS"/>
                <w:sz w:val="22"/>
                <w:szCs w:val="22"/>
              </w:rPr>
            </w:pPr>
            <w:r>
              <w:rPr>
                <w:rFonts w:eastAsia="Arial Unicode MS"/>
                <w:sz w:val="22"/>
                <w:szCs w:val="22"/>
              </w:rPr>
              <w:t>-</w:t>
            </w:r>
          </w:p>
        </w:tc>
        <w:tc>
          <w:tcPr>
            <w:tcW w:w="1134" w:type="dxa"/>
            <w:tcBorders>
              <w:top w:val="nil"/>
              <w:left w:val="nil"/>
              <w:right w:val="nil"/>
            </w:tcBorders>
            <w:vAlign w:val="bottom"/>
          </w:tcPr>
          <w:p w14:paraId="2613BDAB" w14:textId="4E590507" w:rsidR="00FB47A9" w:rsidRPr="008E3E7F" w:rsidRDefault="000507DE" w:rsidP="00FB47A9">
            <w:pPr>
              <w:ind w:right="75"/>
              <w:jc w:val="right"/>
              <w:rPr>
                <w:rFonts w:eastAsia="Arial Unicode MS"/>
                <w:sz w:val="22"/>
                <w:szCs w:val="22"/>
              </w:rPr>
            </w:pPr>
            <w:r>
              <w:rPr>
                <w:rFonts w:eastAsia="Arial Unicode MS"/>
                <w:sz w:val="22"/>
                <w:szCs w:val="22"/>
              </w:rPr>
              <w:t>25,000</w:t>
            </w:r>
          </w:p>
        </w:tc>
        <w:tc>
          <w:tcPr>
            <w:tcW w:w="1134" w:type="dxa"/>
            <w:tcBorders>
              <w:top w:val="nil"/>
              <w:left w:val="nil"/>
              <w:right w:val="nil"/>
            </w:tcBorders>
            <w:noWrap/>
            <w:tcMar>
              <w:top w:w="15" w:type="dxa"/>
              <w:left w:w="15" w:type="dxa"/>
              <w:bottom w:w="0" w:type="dxa"/>
              <w:right w:w="15" w:type="dxa"/>
            </w:tcMar>
            <w:vAlign w:val="bottom"/>
          </w:tcPr>
          <w:p w14:paraId="5E600BCF" w14:textId="1ACF99B9" w:rsidR="00FB47A9" w:rsidRPr="008E3E7F" w:rsidRDefault="000507DE" w:rsidP="00FB47A9">
            <w:pPr>
              <w:ind w:right="75"/>
              <w:jc w:val="right"/>
              <w:rPr>
                <w:rFonts w:eastAsia="Arial Unicode MS"/>
                <w:sz w:val="22"/>
                <w:szCs w:val="22"/>
              </w:rPr>
            </w:pPr>
            <w:r>
              <w:rPr>
                <w:rFonts w:eastAsia="Arial Unicode MS"/>
                <w:sz w:val="22"/>
                <w:szCs w:val="22"/>
              </w:rPr>
              <w:t>-</w:t>
            </w:r>
          </w:p>
        </w:tc>
        <w:tc>
          <w:tcPr>
            <w:tcW w:w="1276" w:type="dxa"/>
            <w:tcBorders>
              <w:top w:val="nil"/>
              <w:left w:val="nil"/>
              <w:right w:val="nil"/>
            </w:tcBorders>
            <w:vAlign w:val="bottom"/>
          </w:tcPr>
          <w:p w14:paraId="25B1DC81" w14:textId="63E1C883" w:rsidR="00FB47A9" w:rsidRPr="00FF2068" w:rsidRDefault="000507DE" w:rsidP="00FB47A9">
            <w:pPr>
              <w:ind w:right="90"/>
              <w:jc w:val="right"/>
              <w:rPr>
                <w:rFonts w:eastAsia="Arial Unicode MS"/>
                <w:sz w:val="22"/>
                <w:szCs w:val="22"/>
              </w:rPr>
            </w:pPr>
            <w:r>
              <w:rPr>
                <w:rFonts w:eastAsia="Arial Unicode MS"/>
                <w:sz w:val="22"/>
                <w:szCs w:val="22"/>
              </w:rPr>
              <w:t>25,000</w:t>
            </w:r>
          </w:p>
        </w:tc>
      </w:tr>
      <w:tr w:rsidR="00FB47A9" w:rsidRPr="00FF2068" w14:paraId="6ED58161" w14:textId="77777777" w:rsidTr="007756FE">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463D39E7" w14:textId="77777777" w:rsidR="00FB47A9" w:rsidRPr="00FF2068" w:rsidRDefault="00FB47A9" w:rsidP="00FB47A9">
            <w:pPr>
              <w:rPr>
                <w:rFonts w:eastAsia="Arial Unicode MS"/>
                <w:sz w:val="22"/>
                <w:szCs w:val="22"/>
              </w:rPr>
            </w:pPr>
            <w:r w:rsidRPr="00FF2068">
              <w:rPr>
                <w:sz w:val="22"/>
                <w:szCs w:val="22"/>
              </w:rPr>
              <w:t>Prepayments and accrued income</w:t>
            </w:r>
          </w:p>
        </w:tc>
        <w:tc>
          <w:tcPr>
            <w:tcW w:w="831" w:type="dxa"/>
            <w:tcBorders>
              <w:top w:val="nil"/>
              <w:left w:val="nil"/>
              <w:right w:val="nil"/>
            </w:tcBorders>
            <w:vAlign w:val="bottom"/>
          </w:tcPr>
          <w:p w14:paraId="35E32A96" w14:textId="139E48AE" w:rsidR="00FB47A9" w:rsidRPr="004D31FE" w:rsidRDefault="000507DE" w:rsidP="00FB47A9">
            <w:pPr>
              <w:ind w:right="75"/>
              <w:jc w:val="right"/>
              <w:rPr>
                <w:rFonts w:eastAsia="Arial Unicode MS"/>
                <w:sz w:val="22"/>
                <w:szCs w:val="22"/>
              </w:rPr>
            </w:pPr>
            <w:r>
              <w:rPr>
                <w:rFonts w:eastAsia="Arial Unicode MS"/>
                <w:sz w:val="22"/>
                <w:szCs w:val="22"/>
              </w:rPr>
              <w:t>17,642</w:t>
            </w:r>
          </w:p>
        </w:tc>
        <w:tc>
          <w:tcPr>
            <w:tcW w:w="1134" w:type="dxa"/>
            <w:tcBorders>
              <w:top w:val="nil"/>
              <w:left w:val="nil"/>
              <w:right w:val="nil"/>
            </w:tcBorders>
            <w:vAlign w:val="bottom"/>
          </w:tcPr>
          <w:p w14:paraId="66E583E6" w14:textId="4822B090" w:rsidR="00FB47A9" w:rsidRPr="008E3E7F" w:rsidRDefault="000507DE" w:rsidP="00FB47A9">
            <w:pPr>
              <w:ind w:right="75"/>
              <w:jc w:val="right"/>
              <w:rPr>
                <w:rFonts w:eastAsia="Arial Unicode MS"/>
                <w:sz w:val="22"/>
                <w:szCs w:val="22"/>
              </w:rPr>
            </w:pPr>
            <w:r>
              <w:rPr>
                <w:rFonts w:eastAsia="Arial Unicode MS"/>
                <w:sz w:val="22"/>
                <w:szCs w:val="22"/>
              </w:rPr>
              <w:t>60,152</w:t>
            </w:r>
          </w:p>
        </w:tc>
        <w:tc>
          <w:tcPr>
            <w:tcW w:w="1134" w:type="dxa"/>
            <w:tcBorders>
              <w:top w:val="nil"/>
              <w:left w:val="nil"/>
              <w:right w:val="nil"/>
            </w:tcBorders>
            <w:noWrap/>
            <w:tcMar>
              <w:top w:w="15" w:type="dxa"/>
              <w:left w:w="15" w:type="dxa"/>
              <w:bottom w:w="0" w:type="dxa"/>
              <w:right w:w="15" w:type="dxa"/>
            </w:tcMar>
            <w:vAlign w:val="bottom"/>
          </w:tcPr>
          <w:p w14:paraId="0E01EC5E" w14:textId="29492042" w:rsidR="00FB47A9" w:rsidRPr="008E3E7F" w:rsidRDefault="000507DE" w:rsidP="00FB47A9">
            <w:pPr>
              <w:ind w:right="75"/>
              <w:jc w:val="right"/>
              <w:rPr>
                <w:rFonts w:eastAsia="Arial Unicode MS"/>
                <w:sz w:val="22"/>
                <w:szCs w:val="22"/>
              </w:rPr>
            </w:pPr>
            <w:r>
              <w:rPr>
                <w:rFonts w:eastAsia="Arial Unicode MS"/>
                <w:sz w:val="22"/>
                <w:szCs w:val="22"/>
              </w:rPr>
              <w:t>17,642</w:t>
            </w:r>
          </w:p>
        </w:tc>
        <w:tc>
          <w:tcPr>
            <w:tcW w:w="1276" w:type="dxa"/>
            <w:tcBorders>
              <w:top w:val="nil"/>
              <w:left w:val="nil"/>
              <w:right w:val="nil"/>
            </w:tcBorders>
            <w:vAlign w:val="bottom"/>
          </w:tcPr>
          <w:p w14:paraId="7AD59581" w14:textId="67D622C1" w:rsidR="00FB47A9" w:rsidRPr="00FF2068" w:rsidRDefault="000507DE" w:rsidP="00FB47A9">
            <w:pPr>
              <w:ind w:right="90"/>
              <w:jc w:val="right"/>
              <w:rPr>
                <w:rFonts w:eastAsia="Arial Unicode MS"/>
                <w:sz w:val="22"/>
                <w:szCs w:val="22"/>
              </w:rPr>
            </w:pPr>
            <w:r>
              <w:rPr>
                <w:rFonts w:eastAsia="Arial Unicode MS"/>
                <w:sz w:val="22"/>
                <w:szCs w:val="22"/>
              </w:rPr>
              <w:t>60,152</w:t>
            </w:r>
          </w:p>
        </w:tc>
      </w:tr>
      <w:tr w:rsidR="000F6220" w:rsidRPr="00FF2068" w14:paraId="03198744" w14:textId="77777777" w:rsidTr="007756FE">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561EB537" w14:textId="44B1D0A7" w:rsidR="000F6220" w:rsidRPr="00FF2068" w:rsidRDefault="000F6220" w:rsidP="00FB47A9">
            <w:pPr>
              <w:rPr>
                <w:sz w:val="22"/>
                <w:szCs w:val="22"/>
              </w:rPr>
            </w:pPr>
            <w:r>
              <w:rPr>
                <w:sz w:val="22"/>
                <w:szCs w:val="22"/>
              </w:rPr>
              <w:t>Intercompany receivables</w:t>
            </w:r>
          </w:p>
        </w:tc>
        <w:tc>
          <w:tcPr>
            <w:tcW w:w="831" w:type="dxa"/>
            <w:tcBorders>
              <w:top w:val="nil"/>
              <w:left w:val="nil"/>
              <w:right w:val="nil"/>
            </w:tcBorders>
            <w:vAlign w:val="bottom"/>
          </w:tcPr>
          <w:p w14:paraId="731AD49F" w14:textId="230726F0" w:rsidR="000F6220" w:rsidRDefault="000F6220" w:rsidP="00FB47A9">
            <w:pPr>
              <w:ind w:right="75"/>
              <w:jc w:val="right"/>
              <w:rPr>
                <w:rFonts w:eastAsia="Arial Unicode MS"/>
                <w:sz w:val="22"/>
                <w:szCs w:val="22"/>
              </w:rPr>
            </w:pPr>
            <w:r>
              <w:rPr>
                <w:rFonts w:eastAsia="Arial Unicode MS"/>
                <w:sz w:val="22"/>
                <w:szCs w:val="22"/>
              </w:rPr>
              <w:t>12,000</w:t>
            </w:r>
          </w:p>
        </w:tc>
        <w:tc>
          <w:tcPr>
            <w:tcW w:w="1134" w:type="dxa"/>
            <w:tcBorders>
              <w:top w:val="nil"/>
              <w:left w:val="nil"/>
              <w:right w:val="nil"/>
            </w:tcBorders>
            <w:vAlign w:val="bottom"/>
          </w:tcPr>
          <w:p w14:paraId="675BC933" w14:textId="3906F005" w:rsidR="000F6220" w:rsidRDefault="000F6220" w:rsidP="00FB47A9">
            <w:pPr>
              <w:ind w:right="75"/>
              <w:jc w:val="right"/>
              <w:rPr>
                <w:rFonts w:eastAsia="Arial Unicode MS"/>
                <w:sz w:val="22"/>
                <w:szCs w:val="22"/>
              </w:rPr>
            </w:pPr>
            <w:r>
              <w:rPr>
                <w:rFonts w:eastAsia="Arial Unicode MS"/>
                <w:sz w:val="22"/>
                <w:szCs w:val="22"/>
              </w:rPr>
              <w:t>-</w:t>
            </w:r>
          </w:p>
        </w:tc>
        <w:tc>
          <w:tcPr>
            <w:tcW w:w="1134" w:type="dxa"/>
            <w:tcBorders>
              <w:top w:val="nil"/>
              <w:left w:val="nil"/>
              <w:right w:val="nil"/>
            </w:tcBorders>
            <w:noWrap/>
            <w:tcMar>
              <w:top w:w="15" w:type="dxa"/>
              <w:left w:w="15" w:type="dxa"/>
              <w:bottom w:w="0" w:type="dxa"/>
              <w:right w:w="15" w:type="dxa"/>
            </w:tcMar>
            <w:vAlign w:val="bottom"/>
          </w:tcPr>
          <w:p w14:paraId="4742AA07" w14:textId="143E6720" w:rsidR="000F6220" w:rsidRDefault="000F6220" w:rsidP="00FB47A9">
            <w:pPr>
              <w:ind w:right="75"/>
              <w:jc w:val="right"/>
              <w:rPr>
                <w:rFonts w:eastAsia="Arial Unicode MS"/>
                <w:sz w:val="22"/>
                <w:szCs w:val="22"/>
              </w:rPr>
            </w:pPr>
            <w:r>
              <w:rPr>
                <w:rFonts w:eastAsia="Arial Unicode MS"/>
                <w:sz w:val="22"/>
                <w:szCs w:val="22"/>
              </w:rPr>
              <w:t>12,000</w:t>
            </w:r>
          </w:p>
        </w:tc>
        <w:tc>
          <w:tcPr>
            <w:tcW w:w="1276" w:type="dxa"/>
            <w:tcBorders>
              <w:top w:val="nil"/>
              <w:left w:val="nil"/>
              <w:right w:val="nil"/>
            </w:tcBorders>
            <w:vAlign w:val="bottom"/>
          </w:tcPr>
          <w:p w14:paraId="6381BC16" w14:textId="5A32CEE6" w:rsidR="000F6220" w:rsidRDefault="000F6220" w:rsidP="00FB47A9">
            <w:pPr>
              <w:ind w:right="90"/>
              <w:jc w:val="right"/>
              <w:rPr>
                <w:rFonts w:eastAsia="Arial Unicode MS"/>
                <w:sz w:val="22"/>
                <w:szCs w:val="22"/>
              </w:rPr>
            </w:pPr>
            <w:r>
              <w:rPr>
                <w:rFonts w:eastAsia="Arial Unicode MS"/>
                <w:sz w:val="22"/>
                <w:szCs w:val="22"/>
              </w:rPr>
              <w:t>-</w:t>
            </w:r>
          </w:p>
        </w:tc>
      </w:tr>
      <w:tr w:rsidR="007756FE" w:rsidRPr="00FF2068" w14:paraId="0AD79D0F" w14:textId="77777777" w:rsidTr="007756FE">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728D8295" w14:textId="7AA21E43" w:rsidR="007756FE" w:rsidRPr="00FF2068" w:rsidRDefault="007756FE" w:rsidP="00FB47A9">
            <w:pPr>
              <w:rPr>
                <w:sz w:val="22"/>
                <w:szCs w:val="22"/>
              </w:rPr>
            </w:pPr>
            <w:r>
              <w:rPr>
                <w:sz w:val="22"/>
                <w:szCs w:val="22"/>
              </w:rPr>
              <w:t>Other debtors</w:t>
            </w:r>
          </w:p>
        </w:tc>
        <w:tc>
          <w:tcPr>
            <w:tcW w:w="831" w:type="dxa"/>
            <w:tcBorders>
              <w:left w:val="nil"/>
              <w:bottom w:val="single" w:sz="4" w:space="0" w:color="auto"/>
              <w:right w:val="nil"/>
            </w:tcBorders>
            <w:vAlign w:val="bottom"/>
          </w:tcPr>
          <w:p w14:paraId="39D76FFC" w14:textId="3A56F20F" w:rsidR="007756FE" w:rsidRPr="004D31FE" w:rsidRDefault="000507DE" w:rsidP="00FB47A9">
            <w:pPr>
              <w:ind w:right="75"/>
              <w:jc w:val="right"/>
              <w:rPr>
                <w:rFonts w:eastAsia="Arial Unicode MS"/>
                <w:sz w:val="22"/>
                <w:szCs w:val="22"/>
              </w:rPr>
            </w:pPr>
            <w:r>
              <w:rPr>
                <w:rFonts w:eastAsia="Arial Unicode MS"/>
                <w:sz w:val="22"/>
                <w:szCs w:val="22"/>
              </w:rPr>
              <w:t>94</w:t>
            </w:r>
          </w:p>
        </w:tc>
        <w:tc>
          <w:tcPr>
            <w:tcW w:w="1134" w:type="dxa"/>
            <w:tcBorders>
              <w:left w:val="nil"/>
              <w:bottom w:val="single" w:sz="4" w:space="0" w:color="auto"/>
              <w:right w:val="nil"/>
            </w:tcBorders>
            <w:vAlign w:val="bottom"/>
          </w:tcPr>
          <w:p w14:paraId="18EFF915" w14:textId="75DC680A" w:rsidR="007756FE" w:rsidRPr="008E3E7F" w:rsidRDefault="000507DE" w:rsidP="00FB47A9">
            <w:pPr>
              <w:ind w:right="75"/>
              <w:jc w:val="right"/>
              <w:rPr>
                <w:rFonts w:eastAsia="Arial Unicode MS"/>
                <w:sz w:val="22"/>
                <w:szCs w:val="22"/>
              </w:rPr>
            </w:pPr>
            <w:r>
              <w:rPr>
                <w:rFonts w:eastAsia="Arial Unicode MS"/>
                <w:sz w:val="22"/>
                <w:szCs w:val="22"/>
              </w:rPr>
              <w:t>138</w:t>
            </w:r>
          </w:p>
        </w:tc>
        <w:tc>
          <w:tcPr>
            <w:tcW w:w="1134" w:type="dxa"/>
            <w:tcBorders>
              <w:left w:val="nil"/>
              <w:bottom w:val="single" w:sz="4" w:space="0" w:color="auto"/>
              <w:right w:val="nil"/>
            </w:tcBorders>
            <w:noWrap/>
            <w:tcMar>
              <w:top w:w="15" w:type="dxa"/>
              <w:left w:w="15" w:type="dxa"/>
              <w:bottom w:w="0" w:type="dxa"/>
              <w:right w:w="15" w:type="dxa"/>
            </w:tcMar>
            <w:vAlign w:val="bottom"/>
          </w:tcPr>
          <w:p w14:paraId="493348A2" w14:textId="75673EFB" w:rsidR="007756FE" w:rsidRDefault="000507DE" w:rsidP="00FB47A9">
            <w:pPr>
              <w:ind w:right="75"/>
              <w:jc w:val="right"/>
              <w:rPr>
                <w:rFonts w:eastAsia="Arial Unicode MS"/>
                <w:sz w:val="22"/>
                <w:szCs w:val="22"/>
              </w:rPr>
            </w:pPr>
            <w:r>
              <w:rPr>
                <w:rFonts w:eastAsia="Arial Unicode MS"/>
                <w:sz w:val="22"/>
                <w:szCs w:val="22"/>
              </w:rPr>
              <w:t>94</w:t>
            </w:r>
          </w:p>
        </w:tc>
        <w:tc>
          <w:tcPr>
            <w:tcW w:w="1276" w:type="dxa"/>
            <w:tcBorders>
              <w:left w:val="nil"/>
              <w:bottom w:val="single" w:sz="4" w:space="0" w:color="auto"/>
              <w:right w:val="nil"/>
            </w:tcBorders>
            <w:vAlign w:val="bottom"/>
          </w:tcPr>
          <w:p w14:paraId="4F765CEC" w14:textId="1D0025CD" w:rsidR="007756FE" w:rsidRPr="008E3E7F" w:rsidRDefault="000507DE" w:rsidP="00FB47A9">
            <w:pPr>
              <w:ind w:right="90"/>
              <w:jc w:val="right"/>
              <w:rPr>
                <w:rFonts w:eastAsia="Arial Unicode MS"/>
                <w:sz w:val="22"/>
                <w:szCs w:val="22"/>
              </w:rPr>
            </w:pPr>
            <w:r>
              <w:rPr>
                <w:rFonts w:eastAsia="Arial Unicode MS"/>
                <w:sz w:val="22"/>
                <w:szCs w:val="22"/>
              </w:rPr>
              <w:t>100</w:t>
            </w:r>
          </w:p>
        </w:tc>
      </w:tr>
      <w:tr w:rsidR="00FB47A9" w:rsidRPr="00F777CB" w14:paraId="5EA5E831" w14:textId="77777777" w:rsidTr="00652CBB">
        <w:trPr>
          <w:trHeight w:val="201"/>
        </w:trPr>
        <w:tc>
          <w:tcPr>
            <w:tcW w:w="5563" w:type="dxa"/>
            <w:tcBorders>
              <w:top w:val="nil"/>
              <w:left w:val="nil"/>
              <w:bottom w:val="nil"/>
              <w:right w:val="nil"/>
            </w:tcBorders>
            <w:noWrap/>
            <w:tcMar>
              <w:top w:w="15" w:type="dxa"/>
              <w:left w:w="15" w:type="dxa"/>
              <w:bottom w:w="0" w:type="dxa"/>
              <w:right w:w="15" w:type="dxa"/>
            </w:tcMar>
            <w:vAlign w:val="bottom"/>
          </w:tcPr>
          <w:p w14:paraId="0FD14879" w14:textId="77777777" w:rsidR="00FB47A9" w:rsidRPr="00FF2068" w:rsidRDefault="00FB47A9" w:rsidP="00FB47A9">
            <w:pPr>
              <w:rPr>
                <w:rFonts w:eastAsia="Arial Unicode MS"/>
                <w:sz w:val="22"/>
                <w:szCs w:val="22"/>
              </w:rPr>
            </w:pPr>
          </w:p>
        </w:tc>
        <w:tc>
          <w:tcPr>
            <w:tcW w:w="831" w:type="dxa"/>
            <w:tcBorders>
              <w:top w:val="nil"/>
              <w:left w:val="nil"/>
              <w:bottom w:val="double" w:sz="6" w:space="0" w:color="auto"/>
              <w:right w:val="nil"/>
            </w:tcBorders>
            <w:vAlign w:val="bottom"/>
          </w:tcPr>
          <w:p w14:paraId="6AD60287" w14:textId="6BBA9FCF" w:rsidR="00FB47A9" w:rsidRPr="004D31FE" w:rsidRDefault="000F6220" w:rsidP="00FB47A9">
            <w:pPr>
              <w:ind w:right="75"/>
              <w:jc w:val="right"/>
              <w:rPr>
                <w:rFonts w:eastAsia="Arial Unicode MS"/>
                <w:sz w:val="22"/>
                <w:szCs w:val="22"/>
              </w:rPr>
            </w:pPr>
            <w:r>
              <w:rPr>
                <w:rFonts w:eastAsia="Arial Unicode MS"/>
                <w:sz w:val="22"/>
                <w:szCs w:val="22"/>
              </w:rPr>
              <w:t>29,736</w:t>
            </w:r>
          </w:p>
        </w:tc>
        <w:tc>
          <w:tcPr>
            <w:tcW w:w="1134" w:type="dxa"/>
            <w:tcBorders>
              <w:top w:val="nil"/>
              <w:left w:val="nil"/>
              <w:bottom w:val="double" w:sz="6" w:space="0" w:color="auto"/>
              <w:right w:val="nil"/>
            </w:tcBorders>
            <w:vAlign w:val="bottom"/>
          </w:tcPr>
          <w:p w14:paraId="2F2BD434" w14:textId="66B44AB4" w:rsidR="00FB47A9" w:rsidRPr="008E3E7F" w:rsidRDefault="000507DE" w:rsidP="00FB47A9">
            <w:pPr>
              <w:ind w:right="75"/>
              <w:jc w:val="right"/>
              <w:rPr>
                <w:rFonts w:eastAsia="Arial Unicode MS"/>
                <w:sz w:val="22"/>
                <w:szCs w:val="22"/>
              </w:rPr>
            </w:pPr>
            <w:r>
              <w:rPr>
                <w:rFonts w:eastAsia="Arial Unicode MS"/>
                <w:sz w:val="22"/>
                <w:szCs w:val="22"/>
              </w:rPr>
              <w:t>85,290</w:t>
            </w:r>
          </w:p>
        </w:tc>
        <w:tc>
          <w:tcPr>
            <w:tcW w:w="1134" w:type="dxa"/>
            <w:tcBorders>
              <w:top w:val="nil"/>
              <w:left w:val="nil"/>
              <w:bottom w:val="double" w:sz="6" w:space="0" w:color="auto"/>
              <w:right w:val="nil"/>
            </w:tcBorders>
            <w:noWrap/>
            <w:tcMar>
              <w:top w:w="15" w:type="dxa"/>
              <w:left w:w="15" w:type="dxa"/>
              <w:bottom w:w="0" w:type="dxa"/>
              <w:right w:w="15" w:type="dxa"/>
            </w:tcMar>
            <w:vAlign w:val="bottom"/>
          </w:tcPr>
          <w:p w14:paraId="3F789CBE" w14:textId="7191BA50" w:rsidR="00FB47A9" w:rsidRPr="008E3E7F" w:rsidRDefault="000F6220" w:rsidP="00FB47A9">
            <w:pPr>
              <w:ind w:right="75"/>
              <w:jc w:val="right"/>
              <w:rPr>
                <w:rFonts w:eastAsia="Arial Unicode MS"/>
                <w:sz w:val="22"/>
                <w:szCs w:val="22"/>
              </w:rPr>
            </w:pPr>
            <w:r>
              <w:rPr>
                <w:rFonts w:eastAsia="Arial Unicode MS"/>
                <w:sz w:val="22"/>
                <w:szCs w:val="22"/>
              </w:rPr>
              <w:t>29,736</w:t>
            </w:r>
          </w:p>
        </w:tc>
        <w:tc>
          <w:tcPr>
            <w:tcW w:w="1276" w:type="dxa"/>
            <w:tcBorders>
              <w:top w:val="nil"/>
              <w:left w:val="nil"/>
              <w:bottom w:val="double" w:sz="6" w:space="0" w:color="auto"/>
              <w:right w:val="nil"/>
            </w:tcBorders>
            <w:vAlign w:val="bottom"/>
          </w:tcPr>
          <w:p w14:paraId="1121F44D" w14:textId="5A36C11B" w:rsidR="00FB47A9" w:rsidRPr="00F777CB" w:rsidRDefault="000507DE" w:rsidP="00FB47A9">
            <w:pPr>
              <w:ind w:right="90"/>
              <w:jc w:val="right"/>
              <w:rPr>
                <w:rFonts w:eastAsia="Arial Unicode MS"/>
                <w:sz w:val="22"/>
                <w:szCs w:val="22"/>
              </w:rPr>
            </w:pPr>
            <w:r>
              <w:rPr>
                <w:rFonts w:eastAsia="Arial Unicode MS"/>
                <w:sz w:val="22"/>
                <w:szCs w:val="22"/>
              </w:rPr>
              <w:t>85,252</w:t>
            </w:r>
          </w:p>
        </w:tc>
      </w:tr>
    </w:tbl>
    <w:p w14:paraId="1DC97ED0" w14:textId="77777777" w:rsidR="007623F0" w:rsidRPr="00F777CB" w:rsidRDefault="007623F0">
      <w:pPr>
        <w:pStyle w:val="BodyText3"/>
        <w:jc w:val="center"/>
        <w:rPr>
          <w:sz w:val="22"/>
          <w:szCs w:val="22"/>
        </w:rPr>
      </w:pPr>
    </w:p>
    <w:p w14:paraId="5612B153" w14:textId="77777777" w:rsidR="007623F0" w:rsidRDefault="007623F0">
      <w:pPr>
        <w:pStyle w:val="BodyText3"/>
        <w:rPr>
          <w:b w:val="0"/>
          <w:bCs/>
          <w:sz w:val="22"/>
          <w:szCs w:val="22"/>
        </w:rPr>
      </w:pPr>
      <w:r w:rsidRPr="00F777CB">
        <w:rPr>
          <w:b w:val="0"/>
          <w:bCs/>
          <w:sz w:val="22"/>
          <w:szCs w:val="22"/>
        </w:rPr>
        <w:t>The fair value of trade and other receivables approximates to their book value.</w:t>
      </w:r>
    </w:p>
    <w:p w14:paraId="27F573FB" w14:textId="77777777" w:rsidR="0076674C" w:rsidRDefault="0076674C">
      <w:pPr>
        <w:pStyle w:val="BodyText3"/>
        <w:rPr>
          <w:bCs/>
          <w:sz w:val="22"/>
          <w:szCs w:val="22"/>
        </w:rPr>
      </w:pPr>
    </w:p>
    <w:p w14:paraId="27E259CC" w14:textId="500725EF" w:rsidR="007623F0" w:rsidRPr="00F777CB" w:rsidRDefault="001D6482">
      <w:pPr>
        <w:pStyle w:val="BodyText3"/>
        <w:rPr>
          <w:bCs/>
          <w:sz w:val="22"/>
          <w:szCs w:val="22"/>
        </w:rPr>
      </w:pPr>
      <w:r>
        <w:rPr>
          <w:bCs/>
          <w:sz w:val="22"/>
          <w:szCs w:val="22"/>
        </w:rPr>
        <w:t>1</w:t>
      </w:r>
      <w:r w:rsidR="00574165">
        <w:rPr>
          <w:bCs/>
          <w:sz w:val="22"/>
          <w:szCs w:val="22"/>
        </w:rPr>
        <w:t>1</w:t>
      </w:r>
      <w:r w:rsidR="007623F0" w:rsidRPr="00F777CB">
        <w:rPr>
          <w:bCs/>
          <w:sz w:val="22"/>
          <w:szCs w:val="22"/>
        </w:rPr>
        <w:t>.</w:t>
      </w:r>
      <w:r w:rsidR="007623F0" w:rsidRPr="00F777CB">
        <w:rPr>
          <w:bCs/>
          <w:sz w:val="22"/>
          <w:szCs w:val="22"/>
        </w:rPr>
        <w:tab/>
        <w:t>CASH AND CASH EQUIVALENTS</w:t>
      </w:r>
      <w:r w:rsidR="007623F0" w:rsidRPr="00F777CB">
        <w:rPr>
          <w:bCs/>
          <w:sz w:val="22"/>
          <w:szCs w:val="22"/>
        </w:rPr>
        <w:tab/>
      </w:r>
      <w:r w:rsidR="007623F0" w:rsidRPr="00F777CB">
        <w:rPr>
          <w:bCs/>
          <w:sz w:val="22"/>
          <w:szCs w:val="22"/>
        </w:rPr>
        <w:br/>
      </w:r>
    </w:p>
    <w:tbl>
      <w:tblPr>
        <w:tblW w:w="10080" w:type="dxa"/>
        <w:tblLayout w:type="fixed"/>
        <w:tblCellMar>
          <w:left w:w="0" w:type="dxa"/>
          <w:right w:w="0" w:type="dxa"/>
        </w:tblCellMar>
        <w:tblLook w:val="0000" w:firstRow="0" w:lastRow="0" w:firstColumn="0" w:lastColumn="0" w:noHBand="0" w:noVBand="0"/>
      </w:tblPr>
      <w:tblGrid>
        <w:gridCol w:w="5622"/>
        <w:gridCol w:w="914"/>
        <w:gridCol w:w="850"/>
        <w:gridCol w:w="1276"/>
        <w:gridCol w:w="1418"/>
      </w:tblGrid>
      <w:tr w:rsidR="00B77491" w:rsidRPr="00F777CB" w14:paraId="10BDE871" w14:textId="77777777" w:rsidTr="00652CBB">
        <w:trPr>
          <w:trHeight w:val="347"/>
        </w:trPr>
        <w:tc>
          <w:tcPr>
            <w:tcW w:w="5622" w:type="dxa"/>
            <w:tcBorders>
              <w:top w:val="nil"/>
              <w:left w:val="nil"/>
              <w:bottom w:val="nil"/>
              <w:right w:val="nil"/>
            </w:tcBorders>
            <w:noWrap/>
            <w:tcMar>
              <w:top w:w="15" w:type="dxa"/>
              <w:left w:w="15" w:type="dxa"/>
              <w:bottom w:w="0" w:type="dxa"/>
              <w:right w:w="15" w:type="dxa"/>
            </w:tcMar>
            <w:vAlign w:val="bottom"/>
          </w:tcPr>
          <w:p w14:paraId="319BA60D" w14:textId="77777777" w:rsidR="00B77491" w:rsidRPr="00F777CB" w:rsidRDefault="00B77491" w:rsidP="00B77491">
            <w:pPr>
              <w:rPr>
                <w:rFonts w:eastAsia="Arial Unicode MS"/>
                <w:sz w:val="22"/>
                <w:szCs w:val="22"/>
              </w:rPr>
            </w:pPr>
          </w:p>
        </w:tc>
        <w:tc>
          <w:tcPr>
            <w:tcW w:w="914" w:type="dxa"/>
            <w:tcBorders>
              <w:top w:val="nil"/>
              <w:left w:val="nil"/>
              <w:bottom w:val="nil"/>
              <w:right w:val="nil"/>
            </w:tcBorders>
            <w:vAlign w:val="bottom"/>
          </w:tcPr>
          <w:p w14:paraId="3B3E0A61" w14:textId="77777777" w:rsidR="00B77491" w:rsidRPr="008E3E7F" w:rsidRDefault="00B77491">
            <w:pPr>
              <w:ind w:right="75"/>
              <w:jc w:val="right"/>
              <w:rPr>
                <w:b/>
                <w:bCs/>
                <w:sz w:val="22"/>
                <w:szCs w:val="22"/>
              </w:rPr>
            </w:pPr>
            <w:r w:rsidRPr="008E3E7F">
              <w:rPr>
                <w:b/>
                <w:bCs/>
                <w:sz w:val="22"/>
                <w:szCs w:val="22"/>
              </w:rPr>
              <w:t>The</w:t>
            </w:r>
          </w:p>
          <w:p w14:paraId="5620F3EB" w14:textId="77777777" w:rsidR="00B77491" w:rsidRPr="008E3E7F" w:rsidRDefault="00B77491">
            <w:pPr>
              <w:ind w:right="75"/>
              <w:jc w:val="right"/>
              <w:rPr>
                <w:b/>
                <w:bCs/>
                <w:sz w:val="22"/>
                <w:szCs w:val="22"/>
              </w:rPr>
            </w:pPr>
            <w:r w:rsidRPr="008E3E7F">
              <w:rPr>
                <w:b/>
                <w:bCs/>
                <w:sz w:val="22"/>
                <w:szCs w:val="22"/>
              </w:rPr>
              <w:t>Group</w:t>
            </w:r>
          </w:p>
          <w:p w14:paraId="493A5F8E" w14:textId="4891E158" w:rsidR="00B77491" w:rsidRPr="008E3E7F" w:rsidRDefault="004D31FE" w:rsidP="00FB47A9">
            <w:pPr>
              <w:ind w:right="75"/>
              <w:jc w:val="right"/>
              <w:rPr>
                <w:b/>
                <w:bCs/>
                <w:sz w:val="22"/>
                <w:szCs w:val="22"/>
              </w:rPr>
            </w:pPr>
            <w:r>
              <w:rPr>
                <w:b/>
                <w:bCs/>
                <w:sz w:val="22"/>
                <w:szCs w:val="22"/>
              </w:rPr>
              <w:t xml:space="preserve">31 Dec </w:t>
            </w:r>
            <w:r w:rsidR="009D252E" w:rsidRPr="008E3E7F">
              <w:rPr>
                <w:b/>
                <w:bCs/>
                <w:sz w:val="22"/>
                <w:szCs w:val="22"/>
              </w:rPr>
              <w:t>20</w:t>
            </w:r>
            <w:r w:rsidR="009D252E">
              <w:rPr>
                <w:b/>
                <w:bCs/>
                <w:sz w:val="22"/>
                <w:szCs w:val="22"/>
              </w:rPr>
              <w:t>20</w:t>
            </w:r>
          </w:p>
        </w:tc>
        <w:tc>
          <w:tcPr>
            <w:tcW w:w="850" w:type="dxa"/>
            <w:tcBorders>
              <w:top w:val="nil"/>
              <w:left w:val="nil"/>
              <w:bottom w:val="nil"/>
              <w:right w:val="nil"/>
            </w:tcBorders>
            <w:vAlign w:val="bottom"/>
          </w:tcPr>
          <w:p w14:paraId="5F70949D" w14:textId="77777777" w:rsidR="00B77491" w:rsidRPr="008E3E7F" w:rsidRDefault="00B77491">
            <w:pPr>
              <w:ind w:right="75"/>
              <w:jc w:val="right"/>
              <w:rPr>
                <w:b/>
                <w:bCs/>
                <w:sz w:val="22"/>
                <w:szCs w:val="22"/>
              </w:rPr>
            </w:pPr>
            <w:r w:rsidRPr="008E3E7F">
              <w:rPr>
                <w:b/>
                <w:bCs/>
                <w:sz w:val="22"/>
                <w:szCs w:val="22"/>
              </w:rPr>
              <w:t>The</w:t>
            </w:r>
          </w:p>
          <w:p w14:paraId="7D02368E" w14:textId="77777777" w:rsidR="00B77491" w:rsidRPr="008E3E7F" w:rsidRDefault="00B77491">
            <w:pPr>
              <w:ind w:right="75"/>
              <w:jc w:val="right"/>
              <w:rPr>
                <w:b/>
                <w:bCs/>
                <w:sz w:val="22"/>
                <w:szCs w:val="22"/>
              </w:rPr>
            </w:pPr>
            <w:r w:rsidRPr="008E3E7F">
              <w:rPr>
                <w:b/>
                <w:bCs/>
                <w:sz w:val="22"/>
                <w:szCs w:val="22"/>
              </w:rPr>
              <w:t>Group</w:t>
            </w:r>
          </w:p>
          <w:p w14:paraId="58F3D886" w14:textId="32847629" w:rsidR="00B77491" w:rsidRPr="008E3E7F" w:rsidRDefault="009D252E" w:rsidP="00FB47A9">
            <w:pPr>
              <w:ind w:right="75"/>
              <w:jc w:val="right"/>
              <w:rPr>
                <w:b/>
                <w:bCs/>
                <w:sz w:val="22"/>
                <w:szCs w:val="22"/>
              </w:rPr>
            </w:pPr>
            <w:r>
              <w:rPr>
                <w:b/>
                <w:bCs/>
                <w:sz w:val="22"/>
                <w:szCs w:val="22"/>
              </w:rPr>
              <w:t>31 Dec</w:t>
            </w:r>
            <w:r w:rsidR="004D31FE">
              <w:rPr>
                <w:b/>
                <w:bCs/>
                <w:sz w:val="22"/>
                <w:szCs w:val="22"/>
              </w:rPr>
              <w:t xml:space="preserve"> 2019</w:t>
            </w:r>
          </w:p>
        </w:tc>
        <w:tc>
          <w:tcPr>
            <w:tcW w:w="1276" w:type="dxa"/>
            <w:tcBorders>
              <w:top w:val="nil"/>
              <w:left w:val="nil"/>
              <w:bottom w:val="nil"/>
              <w:right w:val="nil"/>
            </w:tcBorders>
            <w:noWrap/>
            <w:tcMar>
              <w:top w:w="15" w:type="dxa"/>
              <w:left w:w="15" w:type="dxa"/>
              <w:bottom w:w="0" w:type="dxa"/>
              <w:right w:w="15" w:type="dxa"/>
            </w:tcMar>
            <w:vAlign w:val="bottom"/>
          </w:tcPr>
          <w:p w14:paraId="1DC67F19" w14:textId="3B1C6C64" w:rsidR="00B77491" w:rsidRPr="008E3E7F" w:rsidRDefault="00B77491" w:rsidP="004D31FE">
            <w:pPr>
              <w:ind w:left="118" w:right="75"/>
              <w:jc w:val="right"/>
              <w:rPr>
                <w:rFonts w:eastAsia="Arial Unicode MS"/>
                <w:b/>
                <w:bCs/>
                <w:sz w:val="22"/>
                <w:szCs w:val="22"/>
              </w:rPr>
            </w:pPr>
            <w:r w:rsidRPr="008E3E7F">
              <w:rPr>
                <w:b/>
                <w:bCs/>
                <w:sz w:val="22"/>
                <w:szCs w:val="22"/>
              </w:rPr>
              <w:t xml:space="preserve">The Company </w:t>
            </w:r>
            <w:r w:rsidR="004D31FE">
              <w:rPr>
                <w:b/>
                <w:bCs/>
                <w:sz w:val="22"/>
                <w:szCs w:val="22"/>
              </w:rPr>
              <w:t xml:space="preserve">31 Dec </w:t>
            </w:r>
            <w:r w:rsidR="009D252E" w:rsidRPr="008E3E7F">
              <w:rPr>
                <w:b/>
                <w:bCs/>
                <w:sz w:val="22"/>
                <w:szCs w:val="22"/>
              </w:rPr>
              <w:t>20</w:t>
            </w:r>
            <w:r w:rsidR="009D252E">
              <w:rPr>
                <w:b/>
                <w:bCs/>
                <w:sz w:val="22"/>
                <w:szCs w:val="22"/>
              </w:rPr>
              <w:t>20</w:t>
            </w:r>
          </w:p>
        </w:tc>
        <w:tc>
          <w:tcPr>
            <w:tcW w:w="1418" w:type="dxa"/>
            <w:tcBorders>
              <w:top w:val="nil"/>
              <w:left w:val="nil"/>
              <w:bottom w:val="nil"/>
              <w:right w:val="nil"/>
            </w:tcBorders>
            <w:vAlign w:val="bottom"/>
          </w:tcPr>
          <w:p w14:paraId="6306A391" w14:textId="6FF59118" w:rsidR="00B77491" w:rsidRPr="00F777CB" w:rsidRDefault="00B77491" w:rsidP="004D31FE">
            <w:pPr>
              <w:ind w:left="276" w:right="180"/>
              <w:jc w:val="right"/>
              <w:rPr>
                <w:rFonts w:eastAsia="Arial Unicode MS"/>
                <w:b/>
                <w:bCs/>
                <w:sz w:val="22"/>
                <w:szCs w:val="22"/>
              </w:rPr>
            </w:pPr>
            <w:r>
              <w:rPr>
                <w:b/>
                <w:bCs/>
                <w:sz w:val="22"/>
                <w:szCs w:val="22"/>
              </w:rPr>
              <w:t xml:space="preserve">The Company </w:t>
            </w:r>
            <w:r w:rsidR="009D252E">
              <w:rPr>
                <w:b/>
                <w:bCs/>
                <w:sz w:val="22"/>
                <w:szCs w:val="22"/>
              </w:rPr>
              <w:t>31 Dec</w:t>
            </w:r>
            <w:r w:rsidR="004D31FE">
              <w:rPr>
                <w:b/>
                <w:bCs/>
                <w:sz w:val="22"/>
                <w:szCs w:val="22"/>
              </w:rPr>
              <w:t xml:space="preserve"> 2019</w:t>
            </w:r>
          </w:p>
        </w:tc>
      </w:tr>
      <w:tr w:rsidR="00B77491" w:rsidRPr="00F777CB" w14:paraId="0494E3C3" w14:textId="77777777" w:rsidTr="00652CBB">
        <w:trPr>
          <w:trHeight w:val="347"/>
        </w:trPr>
        <w:tc>
          <w:tcPr>
            <w:tcW w:w="5622" w:type="dxa"/>
            <w:tcBorders>
              <w:top w:val="nil"/>
              <w:left w:val="nil"/>
              <w:bottom w:val="nil"/>
              <w:right w:val="nil"/>
            </w:tcBorders>
            <w:noWrap/>
            <w:tcMar>
              <w:top w:w="15" w:type="dxa"/>
              <w:left w:w="15" w:type="dxa"/>
              <w:bottom w:w="0" w:type="dxa"/>
              <w:right w:w="15" w:type="dxa"/>
            </w:tcMar>
            <w:vAlign w:val="bottom"/>
          </w:tcPr>
          <w:p w14:paraId="608AE6B4" w14:textId="77777777" w:rsidR="00B77491" w:rsidRPr="00F777CB" w:rsidRDefault="00B77491" w:rsidP="00B77491">
            <w:pPr>
              <w:rPr>
                <w:rFonts w:eastAsia="Arial Unicode MS"/>
                <w:sz w:val="22"/>
                <w:szCs w:val="22"/>
              </w:rPr>
            </w:pPr>
            <w:r w:rsidRPr="00F777CB">
              <w:rPr>
                <w:b/>
                <w:bCs/>
                <w:sz w:val="22"/>
                <w:szCs w:val="22"/>
              </w:rPr>
              <w:t xml:space="preserve"> </w:t>
            </w:r>
          </w:p>
        </w:tc>
        <w:tc>
          <w:tcPr>
            <w:tcW w:w="914" w:type="dxa"/>
            <w:tcBorders>
              <w:top w:val="nil"/>
              <w:left w:val="nil"/>
              <w:bottom w:val="nil"/>
              <w:right w:val="nil"/>
            </w:tcBorders>
            <w:vAlign w:val="bottom"/>
          </w:tcPr>
          <w:p w14:paraId="4BC1754F" w14:textId="77777777" w:rsidR="00B77491" w:rsidRPr="008E3E7F" w:rsidRDefault="00B77491" w:rsidP="00656716">
            <w:pPr>
              <w:ind w:right="75"/>
              <w:jc w:val="right"/>
              <w:rPr>
                <w:b/>
                <w:bCs/>
                <w:sz w:val="22"/>
                <w:szCs w:val="22"/>
              </w:rPr>
            </w:pPr>
            <w:r w:rsidRPr="008E3E7F">
              <w:rPr>
                <w:b/>
                <w:bCs/>
                <w:sz w:val="22"/>
                <w:szCs w:val="22"/>
              </w:rPr>
              <w:t>£</w:t>
            </w:r>
          </w:p>
        </w:tc>
        <w:tc>
          <w:tcPr>
            <w:tcW w:w="850" w:type="dxa"/>
            <w:tcBorders>
              <w:top w:val="nil"/>
              <w:left w:val="nil"/>
              <w:bottom w:val="nil"/>
              <w:right w:val="nil"/>
            </w:tcBorders>
            <w:vAlign w:val="bottom"/>
          </w:tcPr>
          <w:p w14:paraId="57BE4372" w14:textId="77777777" w:rsidR="00B77491" w:rsidRPr="008E3E7F" w:rsidRDefault="00B77491" w:rsidP="00656716">
            <w:pPr>
              <w:ind w:right="75"/>
              <w:jc w:val="right"/>
              <w:rPr>
                <w:b/>
                <w:bCs/>
                <w:sz w:val="22"/>
                <w:szCs w:val="22"/>
              </w:rPr>
            </w:pPr>
            <w:r w:rsidRPr="008E3E7F">
              <w:rPr>
                <w:b/>
                <w:bCs/>
                <w:sz w:val="22"/>
                <w:szCs w:val="22"/>
              </w:rPr>
              <w:t>£</w:t>
            </w:r>
          </w:p>
        </w:tc>
        <w:tc>
          <w:tcPr>
            <w:tcW w:w="1276" w:type="dxa"/>
            <w:tcBorders>
              <w:top w:val="nil"/>
              <w:left w:val="nil"/>
              <w:bottom w:val="nil"/>
              <w:right w:val="nil"/>
            </w:tcBorders>
            <w:noWrap/>
            <w:tcMar>
              <w:top w:w="15" w:type="dxa"/>
              <w:left w:w="15" w:type="dxa"/>
              <w:bottom w:w="0" w:type="dxa"/>
              <w:right w:w="15" w:type="dxa"/>
            </w:tcMar>
            <w:vAlign w:val="bottom"/>
          </w:tcPr>
          <w:p w14:paraId="392E4DE6" w14:textId="77777777" w:rsidR="00B77491" w:rsidRPr="008E3E7F" w:rsidRDefault="00B77491" w:rsidP="00656716">
            <w:pPr>
              <w:ind w:right="75"/>
              <w:jc w:val="right"/>
              <w:rPr>
                <w:rFonts w:eastAsia="Arial Unicode MS"/>
                <w:b/>
                <w:bCs/>
                <w:sz w:val="22"/>
                <w:szCs w:val="22"/>
              </w:rPr>
            </w:pPr>
            <w:r w:rsidRPr="008E3E7F">
              <w:rPr>
                <w:b/>
                <w:bCs/>
                <w:sz w:val="22"/>
                <w:szCs w:val="22"/>
              </w:rPr>
              <w:t>£</w:t>
            </w:r>
          </w:p>
        </w:tc>
        <w:tc>
          <w:tcPr>
            <w:tcW w:w="1418" w:type="dxa"/>
            <w:tcBorders>
              <w:top w:val="nil"/>
              <w:left w:val="nil"/>
              <w:bottom w:val="nil"/>
              <w:right w:val="nil"/>
            </w:tcBorders>
            <w:vAlign w:val="bottom"/>
          </w:tcPr>
          <w:p w14:paraId="406F3018" w14:textId="77777777" w:rsidR="00B77491" w:rsidRPr="00F777CB" w:rsidRDefault="00B77491" w:rsidP="00656716">
            <w:pPr>
              <w:ind w:right="180"/>
              <w:jc w:val="right"/>
              <w:rPr>
                <w:rFonts w:eastAsia="Arial Unicode MS"/>
                <w:b/>
                <w:bCs/>
                <w:sz w:val="22"/>
                <w:szCs w:val="22"/>
              </w:rPr>
            </w:pPr>
            <w:r w:rsidRPr="00F777CB">
              <w:rPr>
                <w:b/>
                <w:bCs/>
                <w:sz w:val="22"/>
                <w:szCs w:val="22"/>
              </w:rPr>
              <w:t>£</w:t>
            </w:r>
          </w:p>
        </w:tc>
      </w:tr>
      <w:tr w:rsidR="00FB47A9" w:rsidRPr="00F777CB" w14:paraId="70085AAE" w14:textId="77777777" w:rsidTr="00652CBB">
        <w:trPr>
          <w:trHeight w:val="347"/>
        </w:trPr>
        <w:tc>
          <w:tcPr>
            <w:tcW w:w="5622" w:type="dxa"/>
            <w:tcBorders>
              <w:top w:val="nil"/>
              <w:left w:val="nil"/>
              <w:bottom w:val="nil"/>
              <w:right w:val="nil"/>
            </w:tcBorders>
            <w:noWrap/>
            <w:tcMar>
              <w:top w:w="15" w:type="dxa"/>
              <w:left w:w="15" w:type="dxa"/>
              <w:bottom w:w="0" w:type="dxa"/>
              <w:right w:w="15" w:type="dxa"/>
            </w:tcMar>
            <w:vAlign w:val="bottom"/>
          </w:tcPr>
          <w:p w14:paraId="5EF2578D" w14:textId="77777777" w:rsidR="00FB47A9" w:rsidRPr="00F777CB" w:rsidRDefault="00FB47A9" w:rsidP="00FB47A9">
            <w:pPr>
              <w:rPr>
                <w:rFonts w:eastAsia="Arial Unicode MS"/>
                <w:sz w:val="22"/>
                <w:szCs w:val="22"/>
              </w:rPr>
            </w:pPr>
            <w:r w:rsidRPr="00F777CB">
              <w:rPr>
                <w:sz w:val="22"/>
                <w:szCs w:val="22"/>
              </w:rPr>
              <w:t>Cash at bank and in hand</w:t>
            </w:r>
          </w:p>
        </w:tc>
        <w:tc>
          <w:tcPr>
            <w:tcW w:w="914" w:type="dxa"/>
            <w:tcBorders>
              <w:top w:val="nil"/>
              <w:left w:val="nil"/>
              <w:bottom w:val="nil"/>
              <w:right w:val="nil"/>
            </w:tcBorders>
            <w:vAlign w:val="bottom"/>
          </w:tcPr>
          <w:p w14:paraId="1215A068" w14:textId="566DB564" w:rsidR="00FB47A9" w:rsidRPr="008E3E7F" w:rsidRDefault="009D252E" w:rsidP="00FB47A9">
            <w:pPr>
              <w:ind w:right="75"/>
              <w:jc w:val="right"/>
              <w:rPr>
                <w:rFonts w:eastAsia="Arial Unicode MS"/>
                <w:sz w:val="22"/>
                <w:szCs w:val="22"/>
              </w:rPr>
            </w:pPr>
            <w:r>
              <w:rPr>
                <w:rFonts w:eastAsia="Arial Unicode MS"/>
                <w:sz w:val="22"/>
                <w:szCs w:val="22"/>
              </w:rPr>
              <w:t>63,61</w:t>
            </w:r>
            <w:r w:rsidR="00B93676">
              <w:rPr>
                <w:rFonts w:eastAsia="Arial Unicode MS"/>
                <w:sz w:val="22"/>
                <w:szCs w:val="22"/>
              </w:rPr>
              <w:t>1</w:t>
            </w:r>
          </w:p>
        </w:tc>
        <w:tc>
          <w:tcPr>
            <w:tcW w:w="850" w:type="dxa"/>
            <w:tcBorders>
              <w:top w:val="nil"/>
              <w:left w:val="nil"/>
              <w:bottom w:val="nil"/>
              <w:right w:val="nil"/>
            </w:tcBorders>
            <w:vAlign w:val="bottom"/>
          </w:tcPr>
          <w:p w14:paraId="62B763A3" w14:textId="54FB1EAE" w:rsidR="00FB47A9" w:rsidRPr="008E3E7F" w:rsidRDefault="009D252E" w:rsidP="00FB47A9">
            <w:pPr>
              <w:ind w:right="75"/>
              <w:jc w:val="right"/>
              <w:rPr>
                <w:rFonts w:eastAsia="Arial Unicode MS"/>
                <w:sz w:val="22"/>
                <w:szCs w:val="22"/>
              </w:rPr>
            </w:pPr>
            <w:r>
              <w:rPr>
                <w:rFonts w:eastAsia="Arial Unicode MS"/>
                <w:sz w:val="22"/>
                <w:szCs w:val="22"/>
              </w:rPr>
              <w:t>139,039</w:t>
            </w:r>
          </w:p>
        </w:tc>
        <w:tc>
          <w:tcPr>
            <w:tcW w:w="1276" w:type="dxa"/>
            <w:tcBorders>
              <w:top w:val="nil"/>
              <w:left w:val="nil"/>
              <w:bottom w:val="nil"/>
              <w:right w:val="nil"/>
            </w:tcBorders>
            <w:noWrap/>
            <w:tcMar>
              <w:top w:w="15" w:type="dxa"/>
              <w:left w:w="15" w:type="dxa"/>
              <w:bottom w:w="0" w:type="dxa"/>
              <w:right w:w="15" w:type="dxa"/>
            </w:tcMar>
            <w:vAlign w:val="bottom"/>
          </w:tcPr>
          <w:p w14:paraId="30764459" w14:textId="5BE8A516" w:rsidR="00FB47A9" w:rsidRPr="008E3E7F" w:rsidRDefault="009D252E" w:rsidP="00FB47A9">
            <w:pPr>
              <w:ind w:right="75"/>
              <w:jc w:val="right"/>
              <w:rPr>
                <w:rFonts w:eastAsia="Arial Unicode MS"/>
                <w:sz w:val="22"/>
                <w:szCs w:val="22"/>
              </w:rPr>
            </w:pPr>
            <w:r>
              <w:rPr>
                <w:rFonts w:eastAsia="Arial Unicode MS"/>
                <w:sz w:val="22"/>
                <w:szCs w:val="22"/>
              </w:rPr>
              <w:t>63,602</w:t>
            </w:r>
          </w:p>
        </w:tc>
        <w:tc>
          <w:tcPr>
            <w:tcW w:w="1418" w:type="dxa"/>
            <w:tcBorders>
              <w:top w:val="nil"/>
              <w:left w:val="nil"/>
              <w:bottom w:val="nil"/>
              <w:right w:val="nil"/>
            </w:tcBorders>
            <w:vAlign w:val="bottom"/>
          </w:tcPr>
          <w:p w14:paraId="4428E5E5" w14:textId="747429BA" w:rsidR="00FB47A9" w:rsidRPr="00F777CB" w:rsidRDefault="009D252E" w:rsidP="00FB47A9">
            <w:pPr>
              <w:ind w:right="180"/>
              <w:jc w:val="right"/>
              <w:rPr>
                <w:rFonts w:eastAsia="Arial Unicode MS"/>
                <w:sz w:val="22"/>
                <w:szCs w:val="22"/>
              </w:rPr>
            </w:pPr>
            <w:r>
              <w:rPr>
                <w:rFonts w:eastAsia="Arial Unicode MS"/>
                <w:sz w:val="22"/>
                <w:szCs w:val="22"/>
              </w:rPr>
              <w:t>138,905</w:t>
            </w:r>
          </w:p>
        </w:tc>
      </w:tr>
      <w:tr w:rsidR="00FB47A9" w:rsidRPr="00F777CB" w14:paraId="701D023E" w14:textId="77777777" w:rsidTr="00652CBB">
        <w:trPr>
          <w:trHeight w:val="364"/>
        </w:trPr>
        <w:tc>
          <w:tcPr>
            <w:tcW w:w="5622" w:type="dxa"/>
            <w:tcBorders>
              <w:top w:val="nil"/>
              <w:left w:val="nil"/>
              <w:bottom w:val="nil"/>
              <w:right w:val="nil"/>
            </w:tcBorders>
            <w:noWrap/>
            <w:tcMar>
              <w:top w:w="15" w:type="dxa"/>
              <w:left w:w="15" w:type="dxa"/>
              <w:bottom w:w="0" w:type="dxa"/>
              <w:right w:w="15" w:type="dxa"/>
            </w:tcMar>
            <w:vAlign w:val="bottom"/>
          </w:tcPr>
          <w:p w14:paraId="0B8BB2E9" w14:textId="77777777" w:rsidR="00FB47A9" w:rsidRPr="00F777CB" w:rsidRDefault="00FB47A9" w:rsidP="00FB47A9">
            <w:pPr>
              <w:rPr>
                <w:rFonts w:eastAsia="Arial Unicode MS"/>
                <w:sz w:val="22"/>
                <w:szCs w:val="22"/>
              </w:rPr>
            </w:pPr>
          </w:p>
        </w:tc>
        <w:tc>
          <w:tcPr>
            <w:tcW w:w="914" w:type="dxa"/>
            <w:tcBorders>
              <w:top w:val="single" w:sz="4" w:space="0" w:color="auto"/>
              <w:left w:val="nil"/>
              <w:bottom w:val="double" w:sz="6" w:space="0" w:color="auto"/>
              <w:right w:val="nil"/>
            </w:tcBorders>
            <w:vAlign w:val="bottom"/>
          </w:tcPr>
          <w:p w14:paraId="095B4520" w14:textId="49D4A85D" w:rsidR="00FB47A9" w:rsidRPr="008E3E7F" w:rsidRDefault="009D252E" w:rsidP="00FB47A9">
            <w:pPr>
              <w:ind w:right="75"/>
              <w:jc w:val="right"/>
              <w:rPr>
                <w:rFonts w:eastAsia="Arial Unicode MS"/>
                <w:sz w:val="22"/>
                <w:szCs w:val="22"/>
              </w:rPr>
            </w:pPr>
            <w:r>
              <w:rPr>
                <w:rFonts w:eastAsia="Arial Unicode MS"/>
                <w:sz w:val="22"/>
                <w:szCs w:val="22"/>
              </w:rPr>
              <w:t>63,61</w:t>
            </w:r>
            <w:r w:rsidR="00B93676">
              <w:rPr>
                <w:rFonts w:eastAsia="Arial Unicode MS"/>
                <w:sz w:val="22"/>
                <w:szCs w:val="22"/>
              </w:rPr>
              <w:t>1</w:t>
            </w:r>
          </w:p>
        </w:tc>
        <w:tc>
          <w:tcPr>
            <w:tcW w:w="850" w:type="dxa"/>
            <w:tcBorders>
              <w:top w:val="single" w:sz="4" w:space="0" w:color="auto"/>
              <w:left w:val="nil"/>
              <w:bottom w:val="double" w:sz="6" w:space="0" w:color="auto"/>
              <w:right w:val="nil"/>
            </w:tcBorders>
            <w:vAlign w:val="bottom"/>
          </w:tcPr>
          <w:p w14:paraId="0D77A41C" w14:textId="40D4CA35" w:rsidR="00FB47A9" w:rsidRPr="008E3E7F" w:rsidRDefault="009D252E" w:rsidP="00FB47A9">
            <w:pPr>
              <w:ind w:right="75"/>
              <w:jc w:val="right"/>
              <w:rPr>
                <w:rFonts w:eastAsia="Arial Unicode MS"/>
                <w:sz w:val="22"/>
                <w:szCs w:val="22"/>
              </w:rPr>
            </w:pPr>
            <w:r>
              <w:rPr>
                <w:rFonts w:eastAsia="Arial Unicode MS"/>
                <w:sz w:val="22"/>
                <w:szCs w:val="22"/>
              </w:rPr>
              <w:t>139,039</w:t>
            </w:r>
          </w:p>
        </w:tc>
        <w:tc>
          <w:tcPr>
            <w:tcW w:w="1276"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41DF8496" w14:textId="071213FD" w:rsidR="00FB47A9" w:rsidRPr="008E3E7F" w:rsidRDefault="009D252E" w:rsidP="00FB47A9">
            <w:pPr>
              <w:ind w:right="75"/>
              <w:jc w:val="right"/>
              <w:rPr>
                <w:rFonts w:eastAsia="Arial Unicode MS"/>
                <w:sz w:val="22"/>
                <w:szCs w:val="22"/>
              </w:rPr>
            </w:pPr>
            <w:r>
              <w:rPr>
                <w:rFonts w:eastAsia="Arial Unicode MS"/>
                <w:sz w:val="22"/>
                <w:szCs w:val="22"/>
              </w:rPr>
              <w:t>63,602</w:t>
            </w:r>
          </w:p>
        </w:tc>
        <w:tc>
          <w:tcPr>
            <w:tcW w:w="1418" w:type="dxa"/>
            <w:tcBorders>
              <w:top w:val="single" w:sz="4" w:space="0" w:color="auto"/>
              <w:left w:val="nil"/>
              <w:bottom w:val="double" w:sz="6" w:space="0" w:color="auto"/>
              <w:right w:val="nil"/>
            </w:tcBorders>
            <w:vAlign w:val="bottom"/>
          </w:tcPr>
          <w:p w14:paraId="36EE5419" w14:textId="2771AD52" w:rsidR="00FB47A9" w:rsidRPr="00F777CB" w:rsidRDefault="009D252E" w:rsidP="00FB47A9">
            <w:pPr>
              <w:ind w:right="180"/>
              <w:jc w:val="right"/>
              <w:rPr>
                <w:rFonts w:eastAsia="Arial Unicode MS"/>
                <w:sz w:val="22"/>
                <w:szCs w:val="22"/>
              </w:rPr>
            </w:pPr>
            <w:r>
              <w:rPr>
                <w:rFonts w:eastAsia="Arial Unicode MS"/>
                <w:sz w:val="22"/>
                <w:szCs w:val="22"/>
              </w:rPr>
              <w:t>138,905</w:t>
            </w:r>
          </w:p>
        </w:tc>
      </w:tr>
    </w:tbl>
    <w:p w14:paraId="6ECE9298" w14:textId="77777777" w:rsidR="007D15C4" w:rsidRDefault="007D15C4">
      <w:pPr>
        <w:pStyle w:val="BodyText3"/>
        <w:rPr>
          <w:b w:val="0"/>
          <w:sz w:val="22"/>
          <w:szCs w:val="22"/>
        </w:rPr>
      </w:pPr>
    </w:p>
    <w:p w14:paraId="79406E06" w14:textId="21059916" w:rsidR="007623F0" w:rsidRPr="00F777CB" w:rsidRDefault="007623F0">
      <w:pPr>
        <w:pStyle w:val="BodyText3"/>
        <w:rPr>
          <w:b w:val="0"/>
          <w:sz w:val="22"/>
          <w:szCs w:val="22"/>
        </w:rPr>
      </w:pPr>
      <w:r w:rsidRPr="00F777CB">
        <w:rPr>
          <w:b w:val="0"/>
          <w:sz w:val="22"/>
          <w:szCs w:val="22"/>
        </w:rPr>
        <w:t>The fair value of cash at bank is the same as its carrying value.</w:t>
      </w:r>
    </w:p>
    <w:p w14:paraId="179A4F1E" w14:textId="79988BC3" w:rsidR="000528E3" w:rsidRDefault="000528E3" w:rsidP="00434CEB">
      <w:pPr>
        <w:jc w:val="both"/>
        <w:rPr>
          <w:b/>
          <w:sz w:val="22"/>
          <w:szCs w:val="22"/>
        </w:rPr>
      </w:pPr>
    </w:p>
    <w:p w14:paraId="26385127" w14:textId="5E48EDEC" w:rsidR="004D19B2" w:rsidRPr="00FF2068" w:rsidRDefault="004D19B2" w:rsidP="004D19B2">
      <w:pPr>
        <w:pStyle w:val="BodyText2"/>
        <w:jc w:val="left"/>
        <w:rPr>
          <w:b/>
          <w:sz w:val="22"/>
          <w:szCs w:val="22"/>
        </w:rPr>
      </w:pPr>
      <w:r>
        <w:rPr>
          <w:b/>
          <w:sz w:val="22"/>
          <w:szCs w:val="22"/>
        </w:rPr>
        <w:t>12</w:t>
      </w:r>
      <w:r w:rsidRPr="00F777CB">
        <w:rPr>
          <w:b/>
          <w:sz w:val="22"/>
          <w:szCs w:val="22"/>
        </w:rPr>
        <w:t>.</w:t>
      </w:r>
      <w:r w:rsidRPr="00F777CB">
        <w:rPr>
          <w:b/>
          <w:sz w:val="22"/>
          <w:szCs w:val="22"/>
        </w:rPr>
        <w:tab/>
      </w:r>
      <w:r w:rsidRPr="004D31FE">
        <w:rPr>
          <w:b/>
          <w:sz w:val="22"/>
          <w:szCs w:val="22"/>
        </w:rPr>
        <w:t xml:space="preserve">TRADE AND OTHER </w:t>
      </w:r>
      <w:r>
        <w:rPr>
          <w:b/>
          <w:sz w:val="22"/>
          <w:szCs w:val="22"/>
        </w:rPr>
        <w:t>PAYABLES</w:t>
      </w:r>
    </w:p>
    <w:p w14:paraId="598E04C8" w14:textId="77777777" w:rsidR="004D19B2" w:rsidRPr="00FF2068" w:rsidRDefault="004D19B2" w:rsidP="004D19B2">
      <w:pPr>
        <w:pStyle w:val="xl26"/>
        <w:overflowPunct w:val="0"/>
        <w:autoSpaceDE w:val="0"/>
        <w:autoSpaceDN w:val="0"/>
        <w:adjustRightInd w:val="0"/>
        <w:spacing w:before="0" w:beforeAutospacing="0" w:after="0" w:afterAutospacing="0"/>
        <w:textAlignment w:val="baseline"/>
        <w:rPr>
          <w:rFonts w:eastAsia="Times New Roman"/>
          <w:bCs w:val="0"/>
          <w:sz w:val="22"/>
          <w:szCs w:val="22"/>
          <w:lang w:val="en-GB"/>
        </w:rPr>
      </w:pPr>
    </w:p>
    <w:tbl>
      <w:tblPr>
        <w:tblW w:w="9938" w:type="dxa"/>
        <w:tblLayout w:type="fixed"/>
        <w:tblCellMar>
          <w:left w:w="0" w:type="dxa"/>
          <w:right w:w="0" w:type="dxa"/>
        </w:tblCellMar>
        <w:tblLook w:val="0000" w:firstRow="0" w:lastRow="0" w:firstColumn="0" w:lastColumn="0" w:noHBand="0" w:noVBand="0"/>
      </w:tblPr>
      <w:tblGrid>
        <w:gridCol w:w="5563"/>
        <w:gridCol w:w="831"/>
        <w:gridCol w:w="1134"/>
        <w:gridCol w:w="1134"/>
        <w:gridCol w:w="1276"/>
      </w:tblGrid>
      <w:tr w:rsidR="004D19B2" w:rsidRPr="00FF2068" w14:paraId="640383BD" w14:textId="77777777" w:rsidTr="00ED0E30">
        <w:trPr>
          <w:trHeight w:val="191"/>
        </w:trPr>
        <w:tc>
          <w:tcPr>
            <w:tcW w:w="5563" w:type="dxa"/>
            <w:tcBorders>
              <w:top w:val="nil"/>
              <w:left w:val="nil"/>
              <w:bottom w:val="nil"/>
              <w:right w:val="nil"/>
            </w:tcBorders>
            <w:noWrap/>
            <w:tcMar>
              <w:top w:w="15" w:type="dxa"/>
              <w:left w:w="15" w:type="dxa"/>
              <w:bottom w:w="0" w:type="dxa"/>
              <w:right w:w="15" w:type="dxa"/>
            </w:tcMar>
            <w:vAlign w:val="bottom"/>
          </w:tcPr>
          <w:p w14:paraId="385A4EAA" w14:textId="77777777" w:rsidR="004D19B2" w:rsidRPr="00FF2068" w:rsidRDefault="004D19B2" w:rsidP="00ED0E30">
            <w:pPr>
              <w:rPr>
                <w:rFonts w:eastAsia="Arial Unicode MS"/>
                <w:sz w:val="22"/>
                <w:szCs w:val="22"/>
              </w:rPr>
            </w:pPr>
          </w:p>
        </w:tc>
        <w:tc>
          <w:tcPr>
            <w:tcW w:w="831" w:type="dxa"/>
            <w:tcBorders>
              <w:top w:val="nil"/>
              <w:left w:val="nil"/>
              <w:bottom w:val="nil"/>
              <w:right w:val="nil"/>
            </w:tcBorders>
            <w:vAlign w:val="bottom"/>
          </w:tcPr>
          <w:p w14:paraId="7B8899B5" w14:textId="77777777" w:rsidR="004D19B2" w:rsidRPr="008E3E7F" w:rsidRDefault="004D19B2" w:rsidP="00ED0E30">
            <w:pPr>
              <w:ind w:right="75"/>
              <w:jc w:val="right"/>
              <w:rPr>
                <w:b/>
                <w:bCs/>
                <w:sz w:val="22"/>
                <w:szCs w:val="22"/>
              </w:rPr>
            </w:pPr>
            <w:r w:rsidRPr="008E3E7F">
              <w:rPr>
                <w:b/>
                <w:bCs/>
                <w:sz w:val="22"/>
                <w:szCs w:val="22"/>
              </w:rPr>
              <w:t>The</w:t>
            </w:r>
          </w:p>
          <w:p w14:paraId="427DBFAC" w14:textId="77777777" w:rsidR="004D19B2" w:rsidRPr="008E3E7F" w:rsidRDefault="004D19B2" w:rsidP="00ED0E30">
            <w:pPr>
              <w:ind w:right="75"/>
              <w:jc w:val="right"/>
              <w:rPr>
                <w:b/>
                <w:bCs/>
                <w:sz w:val="22"/>
                <w:szCs w:val="22"/>
              </w:rPr>
            </w:pPr>
            <w:r w:rsidRPr="008E3E7F">
              <w:rPr>
                <w:b/>
                <w:bCs/>
                <w:sz w:val="22"/>
                <w:szCs w:val="22"/>
              </w:rPr>
              <w:t>Group</w:t>
            </w:r>
          </w:p>
          <w:p w14:paraId="6D2EFA54" w14:textId="77777777" w:rsidR="004D19B2" w:rsidRPr="008E3E7F" w:rsidRDefault="004D19B2" w:rsidP="00ED0E30">
            <w:pPr>
              <w:ind w:right="75"/>
              <w:jc w:val="right"/>
              <w:rPr>
                <w:b/>
                <w:bCs/>
                <w:sz w:val="22"/>
                <w:szCs w:val="22"/>
              </w:rPr>
            </w:pPr>
            <w:r>
              <w:rPr>
                <w:b/>
                <w:bCs/>
                <w:sz w:val="22"/>
                <w:szCs w:val="22"/>
              </w:rPr>
              <w:t>31 Dec 2020</w:t>
            </w:r>
          </w:p>
        </w:tc>
        <w:tc>
          <w:tcPr>
            <w:tcW w:w="1134" w:type="dxa"/>
            <w:tcBorders>
              <w:top w:val="nil"/>
              <w:left w:val="nil"/>
              <w:bottom w:val="nil"/>
              <w:right w:val="nil"/>
            </w:tcBorders>
            <w:vAlign w:val="bottom"/>
          </w:tcPr>
          <w:p w14:paraId="3E466858" w14:textId="77777777" w:rsidR="004D19B2" w:rsidRPr="008E3E7F" w:rsidRDefault="004D19B2" w:rsidP="00ED0E30">
            <w:pPr>
              <w:ind w:right="75"/>
              <w:jc w:val="right"/>
              <w:rPr>
                <w:b/>
                <w:bCs/>
                <w:sz w:val="22"/>
                <w:szCs w:val="22"/>
              </w:rPr>
            </w:pPr>
            <w:r w:rsidRPr="008E3E7F">
              <w:rPr>
                <w:b/>
                <w:bCs/>
                <w:sz w:val="22"/>
                <w:szCs w:val="22"/>
              </w:rPr>
              <w:t>The</w:t>
            </w:r>
          </w:p>
          <w:p w14:paraId="2E1DCD50" w14:textId="77777777" w:rsidR="004D19B2" w:rsidRPr="008E3E7F" w:rsidRDefault="004D19B2" w:rsidP="00ED0E30">
            <w:pPr>
              <w:ind w:right="75"/>
              <w:jc w:val="right"/>
              <w:rPr>
                <w:b/>
                <w:bCs/>
                <w:sz w:val="22"/>
                <w:szCs w:val="22"/>
              </w:rPr>
            </w:pPr>
            <w:r w:rsidRPr="008E3E7F">
              <w:rPr>
                <w:b/>
                <w:bCs/>
                <w:sz w:val="22"/>
                <w:szCs w:val="22"/>
              </w:rPr>
              <w:t>Group</w:t>
            </w:r>
          </w:p>
          <w:p w14:paraId="485A4BA1" w14:textId="77777777" w:rsidR="004D19B2" w:rsidRPr="008E3E7F" w:rsidRDefault="004D19B2" w:rsidP="00ED0E30">
            <w:pPr>
              <w:ind w:right="75"/>
              <w:jc w:val="right"/>
              <w:rPr>
                <w:b/>
                <w:bCs/>
                <w:sz w:val="22"/>
                <w:szCs w:val="22"/>
              </w:rPr>
            </w:pPr>
            <w:r>
              <w:rPr>
                <w:b/>
                <w:bCs/>
                <w:sz w:val="22"/>
                <w:szCs w:val="22"/>
              </w:rPr>
              <w:t xml:space="preserve">31 Dec </w:t>
            </w:r>
            <w:r w:rsidRPr="008E3E7F">
              <w:rPr>
                <w:b/>
                <w:bCs/>
                <w:sz w:val="22"/>
                <w:szCs w:val="22"/>
              </w:rPr>
              <w:t>201</w:t>
            </w:r>
            <w:r>
              <w:rPr>
                <w:b/>
                <w:bCs/>
                <w:sz w:val="22"/>
                <w:szCs w:val="22"/>
              </w:rPr>
              <w:t>9</w:t>
            </w:r>
          </w:p>
        </w:tc>
        <w:tc>
          <w:tcPr>
            <w:tcW w:w="1134" w:type="dxa"/>
            <w:tcBorders>
              <w:top w:val="nil"/>
              <w:left w:val="nil"/>
              <w:bottom w:val="nil"/>
              <w:right w:val="nil"/>
            </w:tcBorders>
            <w:noWrap/>
            <w:tcMar>
              <w:top w:w="15" w:type="dxa"/>
              <w:left w:w="15" w:type="dxa"/>
              <w:bottom w:w="0" w:type="dxa"/>
              <w:right w:w="15" w:type="dxa"/>
            </w:tcMar>
            <w:vAlign w:val="bottom"/>
          </w:tcPr>
          <w:p w14:paraId="4B1449F6" w14:textId="77777777" w:rsidR="004D19B2" w:rsidRPr="008E3E7F" w:rsidRDefault="004D19B2" w:rsidP="00ED0E30">
            <w:pPr>
              <w:ind w:right="75"/>
              <w:jc w:val="right"/>
              <w:rPr>
                <w:b/>
                <w:bCs/>
                <w:sz w:val="22"/>
                <w:szCs w:val="22"/>
              </w:rPr>
            </w:pPr>
            <w:r w:rsidRPr="008E3E7F">
              <w:rPr>
                <w:b/>
                <w:bCs/>
                <w:sz w:val="22"/>
                <w:szCs w:val="22"/>
              </w:rPr>
              <w:t>The</w:t>
            </w:r>
          </w:p>
          <w:p w14:paraId="6466407A" w14:textId="77777777" w:rsidR="004D19B2" w:rsidRPr="008E3E7F" w:rsidRDefault="004D19B2" w:rsidP="00ED0E30">
            <w:pPr>
              <w:ind w:right="75"/>
              <w:jc w:val="right"/>
              <w:rPr>
                <w:b/>
                <w:bCs/>
                <w:sz w:val="22"/>
                <w:szCs w:val="22"/>
              </w:rPr>
            </w:pPr>
            <w:r w:rsidRPr="008E3E7F">
              <w:rPr>
                <w:b/>
                <w:bCs/>
                <w:sz w:val="22"/>
                <w:szCs w:val="22"/>
              </w:rPr>
              <w:t>Company</w:t>
            </w:r>
          </w:p>
          <w:p w14:paraId="41C4678E" w14:textId="77777777" w:rsidR="004D19B2" w:rsidRPr="008E3E7F" w:rsidRDefault="004D19B2" w:rsidP="00ED0E30">
            <w:pPr>
              <w:ind w:right="75"/>
              <w:jc w:val="right"/>
              <w:rPr>
                <w:rFonts w:eastAsia="Arial Unicode MS"/>
                <w:b/>
                <w:bCs/>
                <w:sz w:val="22"/>
                <w:szCs w:val="22"/>
              </w:rPr>
            </w:pPr>
            <w:r>
              <w:rPr>
                <w:b/>
                <w:bCs/>
                <w:sz w:val="22"/>
                <w:szCs w:val="22"/>
              </w:rPr>
              <w:t xml:space="preserve">31 Dec </w:t>
            </w:r>
            <w:r w:rsidRPr="008E3E7F">
              <w:rPr>
                <w:b/>
                <w:bCs/>
                <w:sz w:val="22"/>
                <w:szCs w:val="22"/>
              </w:rPr>
              <w:t>20</w:t>
            </w:r>
            <w:r>
              <w:rPr>
                <w:b/>
                <w:bCs/>
                <w:sz w:val="22"/>
                <w:szCs w:val="22"/>
              </w:rPr>
              <w:t>20</w:t>
            </w:r>
          </w:p>
        </w:tc>
        <w:tc>
          <w:tcPr>
            <w:tcW w:w="1276" w:type="dxa"/>
            <w:tcBorders>
              <w:top w:val="nil"/>
              <w:left w:val="nil"/>
              <w:bottom w:val="nil"/>
              <w:right w:val="nil"/>
            </w:tcBorders>
            <w:vAlign w:val="bottom"/>
          </w:tcPr>
          <w:p w14:paraId="26C58742" w14:textId="77777777" w:rsidR="004D19B2" w:rsidRPr="00FF2068" w:rsidRDefault="004D19B2" w:rsidP="00ED0E30">
            <w:pPr>
              <w:ind w:right="75"/>
              <w:jc w:val="right"/>
              <w:rPr>
                <w:b/>
                <w:bCs/>
                <w:sz w:val="22"/>
                <w:szCs w:val="22"/>
              </w:rPr>
            </w:pPr>
            <w:r w:rsidRPr="00FF2068">
              <w:rPr>
                <w:b/>
                <w:bCs/>
                <w:sz w:val="22"/>
                <w:szCs w:val="22"/>
              </w:rPr>
              <w:t>The</w:t>
            </w:r>
          </w:p>
          <w:p w14:paraId="02E2AC32" w14:textId="77777777" w:rsidR="004D19B2" w:rsidRPr="00FF2068" w:rsidRDefault="004D19B2" w:rsidP="00ED0E30">
            <w:pPr>
              <w:ind w:right="75"/>
              <w:jc w:val="right"/>
              <w:rPr>
                <w:b/>
                <w:bCs/>
                <w:sz w:val="22"/>
                <w:szCs w:val="22"/>
              </w:rPr>
            </w:pPr>
            <w:r w:rsidRPr="00FF2068">
              <w:rPr>
                <w:b/>
                <w:bCs/>
                <w:sz w:val="22"/>
                <w:szCs w:val="22"/>
              </w:rPr>
              <w:t>Company</w:t>
            </w:r>
          </w:p>
          <w:p w14:paraId="4CF4BD00" w14:textId="77777777" w:rsidR="004D19B2" w:rsidRPr="00FF2068" w:rsidRDefault="004D19B2" w:rsidP="00ED0E30">
            <w:pPr>
              <w:ind w:right="90" w:firstLine="134"/>
              <w:jc w:val="right"/>
              <w:rPr>
                <w:rFonts w:eastAsia="Arial Unicode MS"/>
                <w:b/>
                <w:bCs/>
                <w:sz w:val="22"/>
                <w:szCs w:val="22"/>
              </w:rPr>
            </w:pPr>
            <w:r>
              <w:rPr>
                <w:b/>
                <w:bCs/>
                <w:sz w:val="22"/>
                <w:szCs w:val="22"/>
              </w:rPr>
              <w:t xml:space="preserve">31 Dec </w:t>
            </w:r>
            <w:r w:rsidRPr="00FF2068">
              <w:rPr>
                <w:b/>
                <w:bCs/>
                <w:sz w:val="22"/>
                <w:szCs w:val="22"/>
              </w:rPr>
              <w:t>201</w:t>
            </w:r>
            <w:r>
              <w:rPr>
                <w:b/>
                <w:bCs/>
                <w:sz w:val="22"/>
                <w:szCs w:val="22"/>
              </w:rPr>
              <w:t>9</w:t>
            </w:r>
          </w:p>
        </w:tc>
      </w:tr>
    </w:tbl>
    <w:p w14:paraId="518E759E" w14:textId="21C3E4DB" w:rsidR="004D19B2" w:rsidRDefault="004D19B2" w:rsidP="00434CEB">
      <w:pPr>
        <w:jc w:val="both"/>
        <w:rPr>
          <w:b/>
          <w:sz w:val="22"/>
          <w:szCs w:val="22"/>
        </w:rPr>
      </w:pPr>
    </w:p>
    <w:tbl>
      <w:tblPr>
        <w:tblW w:w="9938" w:type="dxa"/>
        <w:tblLayout w:type="fixed"/>
        <w:tblCellMar>
          <w:left w:w="0" w:type="dxa"/>
          <w:right w:w="0" w:type="dxa"/>
        </w:tblCellMar>
        <w:tblLook w:val="0000" w:firstRow="0" w:lastRow="0" w:firstColumn="0" w:lastColumn="0" w:noHBand="0" w:noVBand="0"/>
      </w:tblPr>
      <w:tblGrid>
        <w:gridCol w:w="5396"/>
        <w:gridCol w:w="993"/>
        <w:gridCol w:w="993"/>
        <w:gridCol w:w="1278"/>
        <w:gridCol w:w="1278"/>
      </w:tblGrid>
      <w:tr w:rsidR="00B77491" w:rsidRPr="00B269D4" w14:paraId="00849F2F"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3743CC6F" w14:textId="77777777" w:rsidR="00B77491" w:rsidRPr="00B269D4" w:rsidRDefault="00B77491" w:rsidP="00B77491">
            <w:pPr>
              <w:rPr>
                <w:rFonts w:eastAsia="Arial Unicode MS"/>
                <w:sz w:val="22"/>
                <w:szCs w:val="22"/>
              </w:rPr>
            </w:pPr>
            <w:r w:rsidRPr="00B269D4">
              <w:rPr>
                <w:b/>
                <w:bCs/>
                <w:sz w:val="22"/>
                <w:szCs w:val="22"/>
              </w:rPr>
              <w:t>Current</w:t>
            </w:r>
          </w:p>
        </w:tc>
        <w:tc>
          <w:tcPr>
            <w:tcW w:w="992" w:type="dxa"/>
            <w:tcBorders>
              <w:top w:val="nil"/>
              <w:left w:val="nil"/>
              <w:bottom w:val="nil"/>
              <w:right w:val="nil"/>
            </w:tcBorders>
            <w:vAlign w:val="bottom"/>
          </w:tcPr>
          <w:p w14:paraId="3F068BCD" w14:textId="77777777" w:rsidR="00B77491" w:rsidRPr="008E3E7F" w:rsidRDefault="00B77491" w:rsidP="00656716">
            <w:pPr>
              <w:ind w:right="75"/>
              <w:jc w:val="right"/>
              <w:rPr>
                <w:b/>
                <w:bCs/>
                <w:sz w:val="22"/>
                <w:szCs w:val="22"/>
              </w:rPr>
            </w:pPr>
            <w:r w:rsidRPr="008E3E7F">
              <w:rPr>
                <w:b/>
                <w:bCs/>
                <w:sz w:val="22"/>
                <w:szCs w:val="22"/>
              </w:rPr>
              <w:t>£</w:t>
            </w:r>
          </w:p>
        </w:tc>
        <w:tc>
          <w:tcPr>
            <w:tcW w:w="992" w:type="dxa"/>
            <w:tcBorders>
              <w:top w:val="nil"/>
              <w:left w:val="nil"/>
              <w:bottom w:val="nil"/>
              <w:right w:val="nil"/>
            </w:tcBorders>
            <w:vAlign w:val="bottom"/>
          </w:tcPr>
          <w:p w14:paraId="792E0A44" w14:textId="77777777" w:rsidR="00B77491" w:rsidRPr="008E3E7F" w:rsidRDefault="00B77491" w:rsidP="00656716">
            <w:pPr>
              <w:ind w:right="75"/>
              <w:jc w:val="right"/>
              <w:rPr>
                <w:b/>
                <w:bCs/>
                <w:sz w:val="22"/>
                <w:szCs w:val="22"/>
              </w:rPr>
            </w:pPr>
            <w:r w:rsidRPr="008E3E7F">
              <w:rPr>
                <w:b/>
                <w:bCs/>
                <w:sz w:val="22"/>
                <w:szCs w:val="22"/>
              </w:rPr>
              <w:t>£</w:t>
            </w:r>
          </w:p>
        </w:tc>
        <w:tc>
          <w:tcPr>
            <w:tcW w:w="1276" w:type="dxa"/>
            <w:tcBorders>
              <w:top w:val="nil"/>
              <w:left w:val="nil"/>
              <w:bottom w:val="nil"/>
              <w:right w:val="nil"/>
            </w:tcBorders>
            <w:noWrap/>
            <w:tcMar>
              <w:top w:w="15" w:type="dxa"/>
              <w:left w:w="15" w:type="dxa"/>
              <w:bottom w:w="0" w:type="dxa"/>
              <w:right w:w="15" w:type="dxa"/>
            </w:tcMar>
            <w:vAlign w:val="bottom"/>
          </w:tcPr>
          <w:p w14:paraId="764CC7E3" w14:textId="77777777" w:rsidR="00B77491" w:rsidRPr="008E3E7F" w:rsidRDefault="00B77491" w:rsidP="00656716">
            <w:pPr>
              <w:ind w:right="75"/>
              <w:jc w:val="right"/>
              <w:rPr>
                <w:rFonts w:eastAsia="Arial Unicode MS"/>
                <w:b/>
                <w:bCs/>
                <w:sz w:val="22"/>
                <w:szCs w:val="22"/>
              </w:rPr>
            </w:pPr>
            <w:r w:rsidRPr="008E3E7F">
              <w:rPr>
                <w:b/>
                <w:bCs/>
                <w:sz w:val="22"/>
                <w:szCs w:val="22"/>
              </w:rPr>
              <w:t>£</w:t>
            </w:r>
          </w:p>
        </w:tc>
        <w:tc>
          <w:tcPr>
            <w:tcW w:w="1276" w:type="dxa"/>
            <w:tcBorders>
              <w:top w:val="nil"/>
              <w:left w:val="nil"/>
              <w:bottom w:val="nil"/>
              <w:right w:val="nil"/>
            </w:tcBorders>
            <w:vAlign w:val="bottom"/>
          </w:tcPr>
          <w:p w14:paraId="7A9D52F6" w14:textId="77777777" w:rsidR="00B77491" w:rsidRPr="00B269D4" w:rsidRDefault="00B77491" w:rsidP="00656716">
            <w:pPr>
              <w:ind w:right="90"/>
              <w:jc w:val="right"/>
              <w:rPr>
                <w:rFonts w:eastAsia="Arial Unicode MS"/>
                <w:b/>
                <w:bCs/>
                <w:sz w:val="22"/>
                <w:szCs w:val="22"/>
              </w:rPr>
            </w:pPr>
            <w:r w:rsidRPr="00B269D4">
              <w:rPr>
                <w:b/>
                <w:bCs/>
                <w:sz w:val="22"/>
                <w:szCs w:val="22"/>
              </w:rPr>
              <w:t>£</w:t>
            </w:r>
          </w:p>
        </w:tc>
      </w:tr>
      <w:tr w:rsidR="00FB47A9" w:rsidRPr="00B269D4" w14:paraId="53083627"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7ADB6C44" w14:textId="77777777" w:rsidR="00FB47A9" w:rsidRPr="00B269D4" w:rsidRDefault="00FB47A9" w:rsidP="00FB47A9">
            <w:pPr>
              <w:rPr>
                <w:rFonts w:eastAsia="Arial Unicode MS"/>
                <w:sz w:val="22"/>
                <w:szCs w:val="22"/>
              </w:rPr>
            </w:pPr>
            <w:r w:rsidRPr="00B269D4">
              <w:rPr>
                <w:sz w:val="22"/>
                <w:szCs w:val="22"/>
              </w:rPr>
              <w:t>Trade creditors</w:t>
            </w:r>
          </w:p>
        </w:tc>
        <w:tc>
          <w:tcPr>
            <w:tcW w:w="992" w:type="dxa"/>
            <w:tcBorders>
              <w:top w:val="nil"/>
              <w:left w:val="nil"/>
              <w:bottom w:val="nil"/>
              <w:right w:val="nil"/>
            </w:tcBorders>
          </w:tcPr>
          <w:p w14:paraId="4ED574A0" w14:textId="4C5CB517" w:rsidR="00FB47A9" w:rsidRPr="008E3E7F" w:rsidRDefault="009D252E" w:rsidP="001521BF">
            <w:pPr>
              <w:ind w:right="75"/>
              <w:jc w:val="right"/>
              <w:rPr>
                <w:rFonts w:eastAsia="Arial Unicode MS"/>
                <w:sz w:val="22"/>
                <w:szCs w:val="22"/>
              </w:rPr>
            </w:pPr>
            <w:r>
              <w:rPr>
                <w:rFonts w:eastAsia="Arial Unicode MS"/>
                <w:sz w:val="22"/>
                <w:szCs w:val="22"/>
              </w:rPr>
              <w:t>237,132</w:t>
            </w:r>
          </w:p>
        </w:tc>
        <w:tc>
          <w:tcPr>
            <w:tcW w:w="992" w:type="dxa"/>
            <w:tcBorders>
              <w:top w:val="nil"/>
              <w:left w:val="nil"/>
              <w:bottom w:val="nil"/>
              <w:right w:val="nil"/>
            </w:tcBorders>
          </w:tcPr>
          <w:p w14:paraId="6DE7F02B" w14:textId="1D9FC39C" w:rsidR="00FB47A9" w:rsidRPr="008E3E7F" w:rsidRDefault="009D252E" w:rsidP="00FB47A9">
            <w:pPr>
              <w:ind w:right="75"/>
              <w:jc w:val="right"/>
              <w:rPr>
                <w:rFonts w:eastAsia="Arial Unicode MS"/>
                <w:sz w:val="22"/>
                <w:szCs w:val="22"/>
              </w:rPr>
            </w:pPr>
            <w:r>
              <w:rPr>
                <w:rFonts w:eastAsia="Arial Unicode MS"/>
                <w:sz w:val="22"/>
                <w:szCs w:val="22"/>
              </w:rPr>
              <w:t>193,794</w:t>
            </w:r>
          </w:p>
        </w:tc>
        <w:tc>
          <w:tcPr>
            <w:tcW w:w="1276" w:type="dxa"/>
            <w:tcBorders>
              <w:top w:val="nil"/>
              <w:left w:val="nil"/>
              <w:bottom w:val="nil"/>
              <w:right w:val="nil"/>
            </w:tcBorders>
            <w:noWrap/>
            <w:tcMar>
              <w:top w:w="15" w:type="dxa"/>
              <w:left w:w="15" w:type="dxa"/>
              <w:bottom w:w="0" w:type="dxa"/>
              <w:right w:w="15" w:type="dxa"/>
            </w:tcMar>
            <w:vAlign w:val="bottom"/>
          </w:tcPr>
          <w:p w14:paraId="75F59DD9" w14:textId="2EDF35A2" w:rsidR="00FB47A9" w:rsidRPr="008E3E7F" w:rsidRDefault="009D252E" w:rsidP="00FB47A9">
            <w:pPr>
              <w:ind w:right="75"/>
              <w:jc w:val="right"/>
              <w:rPr>
                <w:rFonts w:eastAsia="Arial Unicode MS"/>
                <w:sz w:val="22"/>
                <w:szCs w:val="22"/>
              </w:rPr>
            </w:pPr>
            <w:r>
              <w:rPr>
                <w:rFonts w:eastAsia="Arial Unicode MS"/>
                <w:sz w:val="22"/>
                <w:szCs w:val="22"/>
              </w:rPr>
              <w:t>200,016</w:t>
            </w:r>
          </w:p>
        </w:tc>
        <w:tc>
          <w:tcPr>
            <w:tcW w:w="1276" w:type="dxa"/>
            <w:tcBorders>
              <w:top w:val="nil"/>
              <w:left w:val="nil"/>
              <w:bottom w:val="nil"/>
              <w:right w:val="nil"/>
            </w:tcBorders>
            <w:vAlign w:val="bottom"/>
          </w:tcPr>
          <w:p w14:paraId="6AB59453" w14:textId="17262821" w:rsidR="00FB47A9" w:rsidRPr="00B269D4" w:rsidRDefault="009D252E" w:rsidP="00FB47A9">
            <w:pPr>
              <w:ind w:right="90"/>
              <w:jc w:val="right"/>
              <w:rPr>
                <w:rFonts w:eastAsia="Arial Unicode MS"/>
                <w:sz w:val="22"/>
                <w:szCs w:val="22"/>
              </w:rPr>
            </w:pPr>
            <w:r>
              <w:rPr>
                <w:rFonts w:eastAsia="Arial Unicode MS"/>
                <w:sz w:val="22"/>
                <w:szCs w:val="22"/>
              </w:rPr>
              <w:t>155,</w:t>
            </w:r>
            <w:r w:rsidR="00334D4F">
              <w:rPr>
                <w:rFonts w:eastAsia="Arial Unicode MS"/>
                <w:sz w:val="22"/>
                <w:szCs w:val="22"/>
              </w:rPr>
              <w:t>090</w:t>
            </w:r>
          </w:p>
        </w:tc>
      </w:tr>
      <w:tr w:rsidR="00FB47A9" w:rsidRPr="00B269D4" w14:paraId="36AF690B"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7D1255A0" w14:textId="7558C35C" w:rsidR="00FB47A9" w:rsidRPr="00B269D4" w:rsidRDefault="006F6143" w:rsidP="00FB47A9">
            <w:pPr>
              <w:rPr>
                <w:rFonts w:eastAsia="Arial Unicode MS"/>
                <w:sz w:val="22"/>
                <w:szCs w:val="22"/>
              </w:rPr>
            </w:pPr>
            <w:r>
              <w:rPr>
                <w:sz w:val="22"/>
                <w:szCs w:val="22"/>
              </w:rPr>
              <w:t>Social Security</w:t>
            </w:r>
          </w:p>
        </w:tc>
        <w:tc>
          <w:tcPr>
            <w:tcW w:w="992" w:type="dxa"/>
            <w:tcBorders>
              <w:top w:val="nil"/>
              <w:left w:val="nil"/>
              <w:bottom w:val="nil"/>
              <w:right w:val="nil"/>
            </w:tcBorders>
          </w:tcPr>
          <w:p w14:paraId="436BC4B3" w14:textId="2BA87BB4" w:rsidR="00FB47A9" w:rsidRPr="008E3E7F" w:rsidRDefault="009D252E" w:rsidP="00FB47A9">
            <w:pPr>
              <w:ind w:right="75"/>
              <w:jc w:val="right"/>
              <w:rPr>
                <w:rFonts w:eastAsia="Arial Unicode MS"/>
                <w:sz w:val="22"/>
                <w:szCs w:val="22"/>
              </w:rPr>
            </w:pPr>
            <w:r>
              <w:rPr>
                <w:rFonts w:eastAsia="Arial Unicode MS"/>
                <w:sz w:val="22"/>
                <w:szCs w:val="22"/>
              </w:rPr>
              <w:t>9,680</w:t>
            </w:r>
          </w:p>
        </w:tc>
        <w:tc>
          <w:tcPr>
            <w:tcW w:w="992" w:type="dxa"/>
            <w:tcBorders>
              <w:top w:val="nil"/>
              <w:left w:val="nil"/>
              <w:bottom w:val="nil"/>
              <w:right w:val="nil"/>
            </w:tcBorders>
          </w:tcPr>
          <w:p w14:paraId="1865DE52" w14:textId="151FF351" w:rsidR="00FB47A9" w:rsidRPr="008E3E7F" w:rsidRDefault="009D252E" w:rsidP="00FB47A9">
            <w:pPr>
              <w:ind w:right="75"/>
              <w:jc w:val="right"/>
              <w:rPr>
                <w:rFonts w:eastAsia="Arial Unicode MS"/>
                <w:sz w:val="22"/>
                <w:szCs w:val="22"/>
              </w:rPr>
            </w:pPr>
            <w:r>
              <w:rPr>
                <w:rFonts w:eastAsia="Arial Unicode MS"/>
                <w:sz w:val="22"/>
                <w:szCs w:val="22"/>
              </w:rPr>
              <w:t>2,322</w:t>
            </w:r>
          </w:p>
        </w:tc>
        <w:tc>
          <w:tcPr>
            <w:tcW w:w="1276" w:type="dxa"/>
            <w:tcBorders>
              <w:top w:val="nil"/>
              <w:left w:val="nil"/>
              <w:bottom w:val="nil"/>
              <w:right w:val="nil"/>
            </w:tcBorders>
            <w:noWrap/>
            <w:tcMar>
              <w:top w:w="15" w:type="dxa"/>
              <w:left w:w="15" w:type="dxa"/>
              <w:bottom w:w="0" w:type="dxa"/>
              <w:right w:w="15" w:type="dxa"/>
            </w:tcMar>
            <w:vAlign w:val="bottom"/>
          </w:tcPr>
          <w:p w14:paraId="170EBAB8" w14:textId="4841DA31" w:rsidR="00FB47A9" w:rsidRPr="008E3E7F" w:rsidRDefault="009D252E" w:rsidP="00FB47A9">
            <w:pPr>
              <w:ind w:right="75"/>
              <w:jc w:val="right"/>
              <w:rPr>
                <w:rFonts w:eastAsia="Arial Unicode MS"/>
                <w:sz w:val="22"/>
                <w:szCs w:val="22"/>
              </w:rPr>
            </w:pPr>
            <w:r>
              <w:rPr>
                <w:rFonts w:eastAsia="Arial Unicode MS"/>
                <w:sz w:val="22"/>
                <w:szCs w:val="22"/>
              </w:rPr>
              <w:t>9,680</w:t>
            </w:r>
          </w:p>
        </w:tc>
        <w:tc>
          <w:tcPr>
            <w:tcW w:w="1276" w:type="dxa"/>
            <w:tcBorders>
              <w:top w:val="nil"/>
              <w:left w:val="nil"/>
              <w:bottom w:val="nil"/>
              <w:right w:val="nil"/>
            </w:tcBorders>
            <w:vAlign w:val="bottom"/>
          </w:tcPr>
          <w:p w14:paraId="2B1DF0E6" w14:textId="083DA813" w:rsidR="00FB47A9" w:rsidRPr="00B269D4" w:rsidRDefault="009D252E" w:rsidP="00FB47A9">
            <w:pPr>
              <w:ind w:right="90"/>
              <w:jc w:val="right"/>
              <w:rPr>
                <w:rFonts w:eastAsia="Arial Unicode MS"/>
                <w:sz w:val="22"/>
                <w:szCs w:val="22"/>
              </w:rPr>
            </w:pPr>
            <w:r>
              <w:rPr>
                <w:rFonts w:eastAsia="Arial Unicode MS"/>
                <w:sz w:val="22"/>
                <w:szCs w:val="22"/>
              </w:rPr>
              <w:t>2,322</w:t>
            </w:r>
          </w:p>
        </w:tc>
      </w:tr>
      <w:tr w:rsidR="00FB47A9" w:rsidRPr="00B269D4" w14:paraId="4EAAC558"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025D9B66" w14:textId="77777777" w:rsidR="00FB47A9" w:rsidRPr="00B269D4" w:rsidRDefault="00FB47A9" w:rsidP="00FB47A9">
            <w:pPr>
              <w:rPr>
                <w:rFonts w:eastAsia="Arial Unicode MS"/>
                <w:sz w:val="22"/>
                <w:szCs w:val="22"/>
              </w:rPr>
            </w:pPr>
            <w:r w:rsidRPr="00B269D4">
              <w:rPr>
                <w:sz w:val="22"/>
                <w:szCs w:val="22"/>
              </w:rPr>
              <w:t>Accruals and deferred income</w:t>
            </w:r>
          </w:p>
        </w:tc>
        <w:tc>
          <w:tcPr>
            <w:tcW w:w="992" w:type="dxa"/>
            <w:tcBorders>
              <w:top w:val="nil"/>
              <w:left w:val="nil"/>
              <w:right w:val="nil"/>
            </w:tcBorders>
          </w:tcPr>
          <w:p w14:paraId="5C1F47B5" w14:textId="193F58EE" w:rsidR="00FB47A9" w:rsidRPr="008E3E7F" w:rsidRDefault="00334D4F" w:rsidP="00FB47A9">
            <w:pPr>
              <w:ind w:right="75"/>
              <w:jc w:val="right"/>
              <w:rPr>
                <w:rFonts w:eastAsia="Arial Unicode MS"/>
                <w:sz w:val="22"/>
                <w:szCs w:val="22"/>
              </w:rPr>
            </w:pPr>
            <w:r>
              <w:rPr>
                <w:rFonts w:eastAsia="Arial Unicode MS"/>
                <w:sz w:val="22"/>
                <w:szCs w:val="22"/>
              </w:rPr>
              <w:t>45,600</w:t>
            </w:r>
          </w:p>
        </w:tc>
        <w:tc>
          <w:tcPr>
            <w:tcW w:w="992" w:type="dxa"/>
            <w:tcBorders>
              <w:top w:val="nil"/>
              <w:left w:val="nil"/>
              <w:right w:val="nil"/>
            </w:tcBorders>
          </w:tcPr>
          <w:p w14:paraId="370ED8AD" w14:textId="05C63462" w:rsidR="00FB47A9" w:rsidRPr="008E3E7F" w:rsidRDefault="009D252E" w:rsidP="00FB47A9">
            <w:pPr>
              <w:ind w:right="75"/>
              <w:jc w:val="right"/>
              <w:rPr>
                <w:rFonts w:eastAsia="Arial Unicode MS"/>
                <w:sz w:val="22"/>
                <w:szCs w:val="22"/>
              </w:rPr>
            </w:pPr>
            <w:r>
              <w:rPr>
                <w:rFonts w:eastAsia="Arial Unicode MS"/>
                <w:sz w:val="22"/>
                <w:szCs w:val="22"/>
              </w:rPr>
              <w:t>18,763</w:t>
            </w:r>
          </w:p>
        </w:tc>
        <w:tc>
          <w:tcPr>
            <w:tcW w:w="1276" w:type="dxa"/>
            <w:tcBorders>
              <w:top w:val="nil"/>
              <w:left w:val="nil"/>
              <w:right w:val="nil"/>
            </w:tcBorders>
            <w:noWrap/>
            <w:tcMar>
              <w:top w:w="15" w:type="dxa"/>
              <w:left w:w="15" w:type="dxa"/>
              <w:bottom w:w="0" w:type="dxa"/>
              <w:right w:w="15" w:type="dxa"/>
            </w:tcMar>
            <w:vAlign w:val="bottom"/>
          </w:tcPr>
          <w:p w14:paraId="4F9B413C" w14:textId="7F174CDF" w:rsidR="00FB47A9" w:rsidRPr="008E3E7F" w:rsidRDefault="00334D4F" w:rsidP="00FB47A9">
            <w:pPr>
              <w:ind w:right="75"/>
              <w:jc w:val="right"/>
              <w:rPr>
                <w:rFonts w:eastAsia="Arial Unicode MS"/>
                <w:sz w:val="22"/>
                <w:szCs w:val="22"/>
              </w:rPr>
            </w:pPr>
            <w:r>
              <w:rPr>
                <w:rFonts w:eastAsia="Arial Unicode MS"/>
                <w:sz w:val="22"/>
                <w:szCs w:val="22"/>
              </w:rPr>
              <w:t>45,600</w:t>
            </w:r>
          </w:p>
        </w:tc>
        <w:tc>
          <w:tcPr>
            <w:tcW w:w="1276" w:type="dxa"/>
            <w:tcBorders>
              <w:top w:val="nil"/>
              <w:left w:val="nil"/>
              <w:right w:val="nil"/>
            </w:tcBorders>
            <w:vAlign w:val="bottom"/>
          </w:tcPr>
          <w:p w14:paraId="12227337" w14:textId="40658FA8" w:rsidR="00FB47A9" w:rsidRPr="00B269D4" w:rsidRDefault="009D252E" w:rsidP="00FB47A9">
            <w:pPr>
              <w:ind w:right="90"/>
              <w:jc w:val="right"/>
              <w:rPr>
                <w:rFonts w:eastAsia="Arial Unicode MS"/>
                <w:sz w:val="22"/>
                <w:szCs w:val="22"/>
              </w:rPr>
            </w:pPr>
            <w:r>
              <w:rPr>
                <w:rFonts w:eastAsia="Arial Unicode MS"/>
                <w:sz w:val="22"/>
                <w:szCs w:val="22"/>
              </w:rPr>
              <w:t>18,763</w:t>
            </w:r>
          </w:p>
        </w:tc>
      </w:tr>
      <w:tr w:rsidR="009D252E" w:rsidRPr="00B269D4" w14:paraId="214CC8AC"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757EE1BA" w14:textId="75A3B671" w:rsidR="009D252E" w:rsidRPr="00B269D4" w:rsidRDefault="009D252E" w:rsidP="00FB47A9">
            <w:pPr>
              <w:rPr>
                <w:sz w:val="22"/>
                <w:szCs w:val="22"/>
              </w:rPr>
            </w:pPr>
            <w:r>
              <w:rPr>
                <w:sz w:val="22"/>
                <w:szCs w:val="22"/>
              </w:rPr>
              <w:t>Convertible loan notes</w:t>
            </w:r>
          </w:p>
        </w:tc>
        <w:tc>
          <w:tcPr>
            <w:tcW w:w="992" w:type="dxa"/>
            <w:tcBorders>
              <w:top w:val="nil"/>
              <w:left w:val="nil"/>
              <w:right w:val="nil"/>
            </w:tcBorders>
          </w:tcPr>
          <w:p w14:paraId="1FA69E6C" w14:textId="56A73727" w:rsidR="009D252E" w:rsidRDefault="005203AB" w:rsidP="00FB47A9">
            <w:pPr>
              <w:ind w:right="75"/>
              <w:jc w:val="right"/>
              <w:rPr>
                <w:rFonts w:eastAsia="Arial Unicode MS"/>
                <w:sz w:val="22"/>
                <w:szCs w:val="22"/>
              </w:rPr>
            </w:pPr>
            <w:r>
              <w:rPr>
                <w:rFonts w:eastAsia="Arial Unicode MS"/>
                <w:sz w:val="22"/>
                <w:szCs w:val="22"/>
              </w:rPr>
              <w:t>375,835</w:t>
            </w:r>
          </w:p>
        </w:tc>
        <w:tc>
          <w:tcPr>
            <w:tcW w:w="992" w:type="dxa"/>
            <w:tcBorders>
              <w:top w:val="nil"/>
              <w:left w:val="nil"/>
              <w:right w:val="nil"/>
            </w:tcBorders>
          </w:tcPr>
          <w:p w14:paraId="561866D5" w14:textId="2A5CD581" w:rsidR="009D252E" w:rsidRDefault="009D252E" w:rsidP="00FB47A9">
            <w:pPr>
              <w:ind w:right="75"/>
              <w:jc w:val="right"/>
              <w:rPr>
                <w:rFonts w:eastAsia="Arial Unicode MS"/>
                <w:sz w:val="22"/>
                <w:szCs w:val="22"/>
              </w:rPr>
            </w:pPr>
            <w:r>
              <w:rPr>
                <w:rFonts w:eastAsia="Arial Unicode MS"/>
                <w:sz w:val="22"/>
                <w:szCs w:val="22"/>
              </w:rPr>
              <w:t>-</w:t>
            </w:r>
          </w:p>
        </w:tc>
        <w:tc>
          <w:tcPr>
            <w:tcW w:w="1276" w:type="dxa"/>
            <w:tcBorders>
              <w:top w:val="nil"/>
              <w:left w:val="nil"/>
              <w:right w:val="nil"/>
            </w:tcBorders>
            <w:noWrap/>
            <w:tcMar>
              <w:top w:w="15" w:type="dxa"/>
              <w:left w:w="15" w:type="dxa"/>
              <w:bottom w:w="0" w:type="dxa"/>
              <w:right w:w="15" w:type="dxa"/>
            </w:tcMar>
            <w:vAlign w:val="bottom"/>
          </w:tcPr>
          <w:p w14:paraId="012DCBCE" w14:textId="7459818E" w:rsidR="009D252E" w:rsidRDefault="009D252E" w:rsidP="00FB47A9">
            <w:pPr>
              <w:ind w:right="75"/>
              <w:jc w:val="right"/>
              <w:rPr>
                <w:rFonts w:eastAsia="Arial Unicode MS"/>
                <w:sz w:val="22"/>
                <w:szCs w:val="22"/>
              </w:rPr>
            </w:pPr>
            <w:r>
              <w:rPr>
                <w:rFonts w:eastAsia="Arial Unicode MS"/>
                <w:sz w:val="22"/>
                <w:szCs w:val="22"/>
              </w:rPr>
              <w:t>375,835</w:t>
            </w:r>
          </w:p>
        </w:tc>
        <w:tc>
          <w:tcPr>
            <w:tcW w:w="1276" w:type="dxa"/>
            <w:tcBorders>
              <w:top w:val="nil"/>
              <w:left w:val="nil"/>
              <w:right w:val="nil"/>
            </w:tcBorders>
            <w:vAlign w:val="bottom"/>
          </w:tcPr>
          <w:p w14:paraId="54F049D1" w14:textId="19BB2316" w:rsidR="009D252E" w:rsidRDefault="009D252E" w:rsidP="00FB47A9">
            <w:pPr>
              <w:ind w:right="90"/>
              <w:jc w:val="right"/>
              <w:rPr>
                <w:rFonts w:eastAsia="Arial Unicode MS"/>
                <w:sz w:val="22"/>
                <w:szCs w:val="22"/>
              </w:rPr>
            </w:pPr>
            <w:r>
              <w:rPr>
                <w:rFonts w:eastAsia="Arial Unicode MS"/>
                <w:sz w:val="22"/>
                <w:szCs w:val="22"/>
              </w:rPr>
              <w:t>-</w:t>
            </w:r>
          </w:p>
        </w:tc>
      </w:tr>
      <w:tr w:rsidR="009D252E" w:rsidRPr="00B269D4" w14:paraId="43F96851" w14:textId="77777777" w:rsidTr="005203AB">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60E549C9" w14:textId="45BACB66" w:rsidR="009D252E" w:rsidRPr="00B269D4" w:rsidRDefault="009D252E" w:rsidP="00FB47A9">
            <w:pPr>
              <w:rPr>
                <w:sz w:val="22"/>
                <w:szCs w:val="22"/>
              </w:rPr>
            </w:pPr>
            <w:r>
              <w:rPr>
                <w:sz w:val="22"/>
                <w:szCs w:val="22"/>
              </w:rPr>
              <w:t>Loans</w:t>
            </w:r>
          </w:p>
        </w:tc>
        <w:tc>
          <w:tcPr>
            <w:tcW w:w="992" w:type="dxa"/>
            <w:tcBorders>
              <w:top w:val="nil"/>
              <w:left w:val="nil"/>
              <w:bottom w:val="single" w:sz="4" w:space="0" w:color="auto"/>
              <w:right w:val="nil"/>
            </w:tcBorders>
          </w:tcPr>
          <w:p w14:paraId="574C9BAE" w14:textId="248023C6" w:rsidR="009D252E" w:rsidRDefault="00334D4F" w:rsidP="00FB47A9">
            <w:pPr>
              <w:ind w:right="75"/>
              <w:jc w:val="right"/>
              <w:rPr>
                <w:rFonts w:eastAsia="Arial Unicode MS"/>
                <w:sz w:val="22"/>
                <w:szCs w:val="22"/>
              </w:rPr>
            </w:pPr>
            <w:r>
              <w:rPr>
                <w:rFonts w:eastAsia="Arial Unicode MS"/>
                <w:sz w:val="22"/>
                <w:szCs w:val="22"/>
              </w:rPr>
              <w:t>381,525</w:t>
            </w:r>
          </w:p>
        </w:tc>
        <w:tc>
          <w:tcPr>
            <w:tcW w:w="992" w:type="dxa"/>
            <w:tcBorders>
              <w:top w:val="nil"/>
              <w:left w:val="nil"/>
              <w:bottom w:val="single" w:sz="4" w:space="0" w:color="auto"/>
              <w:right w:val="nil"/>
            </w:tcBorders>
          </w:tcPr>
          <w:p w14:paraId="30FD3F20" w14:textId="46776D63" w:rsidR="009D252E" w:rsidRDefault="009D252E" w:rsidP="00FB47A9">
            <w:pPr>
              <w:ind w:right="75"/>
              <w:jc w:val="right"/>
              <w:rPr>
                <w:rFonts w:eastAsia="Arial Unicode MS"/>
                <w:sz w:val="22"/>
                <w:szCs w:val="22"/>
              </w:rPr>
            </w:pPr>
            <w:r>
              <w:rPr>
                <w:rFonts w:eastAsia="Arial Unicode MS"/>
                <w:sz w:val="22"/>
                <w:szCs w:val="22"/>
              </w:rPr>
              <w:t>-</w:t>
            </w: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E6B6B17" w14:textId="3BF89F99" w:rsidR="009D252E" w:rsidRDefault="00334D4F" w:rsidP="00FB47A9">
            <w:pPr>
              <w:ind w:right="75"/>
              <w:jc w:val="right"/>
              <w:rPr>
                <w:rFonts w:eastAsia="Arial Unicode MS"/>
                <w:sz w:val="22"/>
                <w:szCs w:val="22"/>
              </w:rPr>
            </w:pPr>
            <w:r>
              <w:rPr>
                <w:rFonts w:eastAsia="Arial Unicode MS"/>
                <w:sz w:val="22"/>
                <w:szCs w:val="22"/>
              </w:rPr>
              <w:t>381,525</w:t>
            </w:r>
          </w:p>
        </w:tc>
        <w:tc>
          <w:tcPr>
            <w:tcW w:w="1276" w:type="dxa"/>
            <w:tcBorders>
              <w:top w:val="nil"/>
              <w:left w:val="nil"/>
              <w:bottom w:val="single" w:sz="4" w:space="0" w:color="auto"/>
              <w:right w:val="nil"/>
            </w:tcBorders>
            <w:vAlign w:val="bottom"/>
          </w:tcPr>
          <w:p w14:paraId="79F84198" w14:textId="3B3DCA1A" w:rsidR="009D252E" w:rsidRDefault="009D252E" w:rsidP="00FB47A9">
            <w:pPr>
              <w:ind w:right="90"/>
              <w:jc w:val="right"/>
              <w:rPr>
                <w:rFonts w:eastAsia="Arial Unicode MS"/>
                <w:sz w:val="22"/>
                <w:szCs w:val="22"/>
              </w:rPr>
            </w:pPr>
            <w:r>
              <w:rPr>
                <w:rFonts w:eastAsia="Arial Unicode MS"/>
                <w:sz w:val="22"/>
                <w:szCs w:val="22"/>
              </w:rPr>
              <w:t>-</w:t>
            </w:r>
          </w:p>
        </w:tc>
      </w:tr>
      <w:tr w:rsidR="00FB47A9" w:rsidRPr="00753313" w14:paraId="531B161C" w14:textId="77777777" w:rsidTr="005203AB">
        <w:trPr>
          <w:trHeight w:val="264"/>
        </w:trPr>
        <w:tc>
          <w:tcPr>
            <w:tcW w:w="5387" w:type="dxa"/>
            <w:tcBorders>
              <w:top w:val="nil"/>
              <w:left w:val="nil"/>
              <w:bottom w:val="nil"/>
              <w:right w:val="nil"/>
            </w:tcBorders>
            <w:noWrap/>
            <w:tcMar>
              <w:top w:w="15" w:type="dxa"/>
              <w:left w:w="15" w:type="dxa"/>
              <w:bottom w:w="0" w:type="dxa"/>
              <w:right w:w="15" w:type="dxa"/>
            </w:tcMar>
            <w:vAlign w:val="bottom"/>
          </w:tcPr>
          <w:p w14:paraId="08619BEF" w14:textId="77777777" w:rsidR="00FB47A9" w:rsidRPr="00B269D4" w:rsidRDefault="00FB47A9" w:rsidP="00FB47A9">
            <w:pPr>
              <w:rPr>
                <w:rFonts w:eastAsia="Arial Unicode MS"/>
                <w:sz w:val="22"/>
                <w:szCs w:val="22"/>
              </w:rPr>
            </w:pPr>
          </w:p>
        </w:tc>
        <w:tc>
          <w:tcPr>
            <w:tcW w:w="992" w:type="dxa"/>
            <w:tcBorders>
              <w:top w:val="nil"/>
              <w:left w:val="nil"/>
              <w:bottom w:val="double" w:sz="6" w:space="0" w:color="auto"/>
              <w:right w:val="nil"/>
            </w:tcBorders>
          </w:tcPr>
          <w:p w14:paraId="23A7E6EF" w14:textId="31CC20D0" w:rsidR="00FB47A9" w:rsidRPr="008E3E7F" w:rsidRDefault="00334D4F" w:rsidP="00FB47A9">
            <w:pPr>
              <w:ind w:right="75"/>
              <w:jc w:val="right"/>
              <w:rPr>
                <w:rFonts w:eastAsia="Arial Unicode MS"/>
                <w:sz w:val="22"/>
                <w:szCs w:val="22"/>
              </w:rPr>
            </w:pPr>
            <w:r>
              <w:rPr>
                <w:rFonts w:eastAsia="Arial Unicode MS"/>
                <w:sz w:val="22"/>
                <w:szCs w:val="22"/>
              </w:rPr>
              <w:t>1,049,772</w:t>
            </w:r>
          </w:p>
        </w:tc>
        <w:tc>
          <w:tcPr>
            <w:tcW w:w="992" w:type="dxa"/>
            <w:tcBorders>
              <w:top w:val="nil"/>
              <w:left w:val="nil"/>
              <w:bottom w:val="double" w:sz="6" w:space="0" w:color="auto"/>
              <w:right w:val="nil"/>
            </w:tcBorders>
          </w:tcPr>
          <w:p w14:paraId="7B5320C2" w14:textId="373F7104" w:rsidR="00FB47A9" w:rsidRPr="008E3E7F" w:rsidRDefault="00D1581D" w:rsidP="00FB47A9">
            <w:pPr>
              <w:ind w:right="75"/>
              <w:jc w:val="right"/>
              <w:rPr>
                <w:rFonts w:eastAsia="Arial Unicode MS"/>
                <w:sz w:val="22"/>
                <w:szCs w:val="22"/>
              </w:rPr>
            </w:pPr>
            <w:r>
              <w:rPr>
                <w:rFonts w:eastAsia="Arial Unicode MS"/>
                <w:sz w:val="22"/>
                <w:szCs w:val="22"/>
              </w:rPr>
              <w:t>214,879</w:t>
            </w:r>
          </w:p>
        </w:tc>
        <w:tc>
          <w:tcPr>
            <w:tcW w:w="1276" w:type="dxa"/>
            <w:tcBorders>
              <w:top w:val="nil"/>
              <w:left w:val="nil"/>
              <w:bottom w:val="double" w:sz="6" w:space="0" w:color="auto"/>
              <w:right w:val="nil"/>
            </w:tcBorders>
            <w:noWrap/>
            <w:tcMar>
              <w:top w:w="15" w:type="dxa"/>
              <w:left w:w="15" w:type="dxa"/>
              <w:bottom w:w="0" w:type="dxa"/>
              <w:right w:w="15" w:type="dxa"/>
            </w:tcMar>
            <w:vAlign w:val="bottom"/>
          </w:tcPr>
          <w:p w14:paraId="3F1CACAF" w14:textId="7DD1785F" w:rsidR="00FB47A9" w:rsidRPr="008E3E7F" w:rsidRDefault="00334D4F" w:rsidP="00FB47A9">
            <w:pPr>
              <w:ind w:right="75"/>
              <w:jc w:val="right"/>
              <w:rPr>
                <w:rFonts w:eastAsia="Arial Unicode MS"/>
                <w:sz w:val="22"/>
                <w:szCs w:val="22"/>
              </w:rPr>
            </w:pPr>
            <w:r>
              <w:rPr>
                <w:rFonts w:eastAsia="Arial Unicode MS"/>
                <w:sz w:val="22"/>
                <w:szCs w:val="22"/>
              </w:rPr>
              <w:t>1,012,656</w:t>
            </w:r>
          </w:p>
        </w:tc>
        <w:tc>
          <w:tcPr>
            <w:tcW w:w="1276" w:type="dxa"/>
            <w:tcBorders>
              <w:top w:val="nil"/>
              <w:left w:val="nil"/>
              <w:bottom w:val="double" w:sz="6" w:space="0" w:color="auto"/>
              <w:right w:val="nil"/>
            </w:tcBorders>
            <w:vAlign w:val="bottom"/>
          </w:tcPr>
          <w:p w14:paraId="4A19994E" w14:textId="6E2202FF" w:rsidR="00FB47A9" w:rsidRPr="0074653E" w:rsidRDefault="009D252E" w:rsidP="00FB47A9">
            <w:pPr>
              <w:ind w:right="90"/>
              <w:jc w:val="right"/>
              <w:rPr>
                <w:rFonts w:eastAsia="Arial Unicode MS"/>
                <w:sz w:val="22"/>
                <w:szCs w:val="22"/>
              </w:rPr>
            </w:pPr>
            <w:r>
              <w:rPr>
                <w:rFonts w:eastAsia="Arial Unicode MS"/>
                <w:sz w:val="22"/>
                <w:szCs w:val="22"/>
              </w:rPr>
              <w:t>176,17</w:t>
            </w:r>
            <w:r w:rsidR="00334D4F">
              <w:rPr>
                <w:rFonts w:eastAsia="Arial Unicode MS"/>
                <w:sz w:val="22"/>
                <w:szCs w:val="22"/>
              </w:rPr>
              <w:t>5</w:t>
            </w:r>
          </w:p>
        </w:tc>
      </w:tr>
    </w:tbl>
    <w:p w14:paraId="512C02AB" w14:textId="77777777" w:rsidR="00434CEB" w:rsidRPr="00753313" w:rsidRDefault="00434CEB" w:rsidP="00434CEB">
      <w:pPr>
        <w:pStyle w:val="BodyText3"/>
        <w:rPr>
          <w:b w:val="0"/>
          <w:bCs/>
          <w:sz w:val="22"/>
          <w:szCs w:val="22"/>
        </w:rPr>
      </w:pPr>
    </w:p>
    <w:tbl>
      <w:tblPr>
        <w:tblW w:w="9923" w:type="dxa"/>
        <w:tblLayout w:type="fixed"/>
        <w:tblCellMar>
          <w:left w:w="0" w:type="dxa"/>
          <w:right w:w="0" w:type="dxa"/>
        </w:tblCellMar>
        <w:tblLook w:val="0000" w:firstRow="0" w:lastRow="0" w:firstColumn="0" w:lastColumn="0" w:noHBand="0" w:noVBand="0"/>
      </w:tblPr>
      <w:tblGrid>
        <w:gridCol w:w="5387"/>
        <w:gridCol w:w="992"/>
        <w:gridCol w:w="992"/>
        <w:gridCol w:w="1276"/>
        <w:gridCol w:w="1276"/>
      </w:tblGrid>
      <w:tr w:rsidR="000A24A7" w:rsidRPr="00B269D4" w14:paraId="430289C1" w14:textId="77777777" w:rsidTr="007B7336">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4D92525D" w14:textId="6548BD48" w:rsidR="000A24A7" w:rsidRPr="00B269D4" w:rsidRDefault="000A24A7" w:rsidP="007B7336">
            <w:pPr>
              <w:rPr>
                <w:rFonts w:eastAsia="Arial Unicode MS"/>
                <w:sz w:val="22"/>
                <w:szCs w:val="22"/>
              </w:rPr>
            </w:pPr>
            <w:r>
              <w:rPr>
                <w:b/>
                <w:bCs/>
                <w:sz w:val="22"/>
                <w:szCs w:val="22"/>
              </w:rPr>
              <w:t>Non-</w:t>
            </w:r>
            <w:r w:rsidRPr="00B269D4">
              <w:rPr>
                <w:b/>
                <w:bCs/>
                <w:sz w:val="22"/>
                <w:szCs w:val="22"/>
              </w:rPr>
              <w:t>Current</w:t>
            </w:r>
          </w:p>
        </w:tc>
        <w:tc>
          <w:tcPr>
            <w:tcW w:w="992" w:type="dxa"/>
            <w:tcBorders>
              <w:top w:val="nil"/>
              <w:left w:val="nil"/>
              <w:bottom w:val="nil"/>
              <w:right w:val="nil"/>
            </w:tcBorders>
            <w:vAlign w:val="bottom"/>
          </w:tcPr>
          <w:p w14:paraId="016EA2B0" w14:textId="77777777" w:rsidR="000A24A7" w:rsidRPr="008E3E7F" w:rsidRDefault="000A24A7" w:rsidP="007B7336">
            <w:pPr>
              <w:ind w:right="75"/>
              <w:jc w:val="right"/>
              <w:rPr>
                <w:b/>
                <w:bCs/>
                <w:sz w:val="22"/>
                <w:szCs w:val="22"/>
              </w:rPr>
            </w:pPr>
            <w:r w:rsidRPr="008E3E7F">
              <w:rPr>
                <w:b/>
                <w:bCs/>
                <w:sz w:val="22"/>
                <w:szCs w:val="22"/>
              </w:rPr>
              <w:t>£</w:t>
            </w:r>
          </w:p>
        </w:tc>
        <w:tc>
          <w:tcPr>
            <w:tcW w:w="992" w:type="dxa"/>
            <w:tcBorders>
              <w:top w:val="nil"/>
              <w:left w:val="nil"/>
              <w:bottom w:val="nil"/>
              <w:right w:val="nil"/>
            </w:tcBorders>
            <w:vAlign w:val="bottom"/>
          </w:tcPr>
          <w:p w14:paraId="0C63F8CE" w14:textId="77777777" w:rsidR="000A24A7" w:rsidRPr="008E3E7F" w:rsidRDefault="000A24A7" w:rsidP="007B7336">
            <w:pPr>
              <w:ind w:right="75"/>
              <w:jc w:val="right"/>
              <w:rPr>
                <w:b/>
                <w:bCs/>
                <w:sz w:val="22"/>
                <w:szCs w:val="22"/>
              </w:rPr>
            </w:pPr>
            <w:r w:rsidRPr="008E3E7F">
              <w:rPr>
                <w:b/>
                <w:bCs/>
                <w:sz w:val="22"/>
                <w:szCs w:val="22"/>
              </w:rPr>
              <w:t>£</w:t>
            </w:r>
          </w:p>
        </w:tc>
        <w:tc>
          <w:tcPr>
            <w:tcW w:w="1276" w:type="dxa"/>
            <w:tcBorders>
              <w:top w:val="nil"/>
              <w:left w:val="nil"/>
              <w:bottom w:val="nil"/>
              <w:right w:val="nil"/>
            </w:tcBorders>
            <w:noWrap/>
            <w:tcMar>
              <w:top w:w="15" w:type="dxa"/>
              <w:left w:w="15" w:type="dxa"/>
              <w:bottom w:w="0" w:type="dxa"/>
              <w:right w:w="15" w:type="dxa"/>
            </w:tcMar>
            <w:vAlign w:val="bottom"/>
          </w:tcPr>
          <w:p w14:paraId="724CB985" w14:textId="77777777" w:rsidR="000A24A7" w:rsidRPr="008E3E7F" w:rsidRDefault="000A24A7" w:rsidP="007B7336">
            <w:pPr>
              <w:ind w:right="75"/>
              <w:jc w:val="right"/>
              <w:rPr>
                <w:rFonts w:eastAsia="Arial Unicode MS"/>
                <w:b/>
                <w:bCs/>
                <w:sz w:val="22"/>
                <w:szCs w:val="22"/>
              </w:rPr>
            </w:pPr>
            <w:r w:rsidRPr="008E3E7F">
              <w:rPr>
                <w:b/>
                <w:bCs/>
                <w:sz w:val="22"/>
                <w:szCs w:val="22"/>
              </w:rPr>
              <w:t>£</w:t>
            </w:r>
          </w:p>
        </w:tc>
        <w:tc>
          <w:tcPr>
            <w:tcW w:w="1276" w:type="dxa"/>
            <w:tcBorders>
              <w:top w:val="nil"/>
              <w:left w:val="nil"/>
              <w:bottom w:val="nil"/>
              <w:right w:val="nil"/>
            </w:tcBorders>
            <w:vAlign w:val="bottom"/>
          </w:tcPr>
          <w:p w14:paraId="047621FD" w14:textId="77777777" w:rsidR="000A24A7" w:rsidRPr="00B269D4" w:rsidRDefault="000A24A7" w:rsidP="007B7336">
            <w:pPr>
              <w:ind w:right="90"/>
              <w:jc w:val="right"/>
              <w:rPr>
                <w:rFonts w:eastAsia="Arial Unicode MS"/>
                <w:b/>
                <w:bCs/>
                <w:sz w:val="22"/>
                <w:szCs w:val="22"/>
              </w:rPr>
            </w:pPr>
            <w:r w:rsidRPr="00B269D4">
              <w:rPr>
                <w:b/>
                <w:bCs/>
                <w:sz w:val="22"/>
                <w:szCs w:val="22"/>
              </w:rPr>
              <w:t>£</w:t>
            </w:r>
          </w:p>
        </w:tc>
      </w:tr>
      <w:tr w:rsidR="000A24A7" w:rsidRPr="00B269D4" w14:paraId="1BE6CA3C" w14:textId="77777777" w:rsidTr="007B7336">
        <w:trPr>
          <w:trHeight w:val="252"/>
        </w:trPr>
        <w:tc>
          <w:tcPr>
            <w:tcW w:w="5387" w:type="dxa"/>
            <w:tcBorders>
              <w:top w:val="nil"/>
              <w:left w:val="nil"/>
              <w:bottom w:val="nil"/>
              <w:right w:val="nil"/>
            </w:tcBorders>
            <w:noWrap/>
            <w:tcMar>
              <w:top w:w="15" w:type="dxa"/>
              <w:left w:w="15" w:type="dxa"/>
              <w:bottom w:w="0" w:type="dxa"/>
              <w:right w:w="15" w:type="dxa"/>
            </w:tcMar>
            <w:vAlign w:val="bottom"/>
          </w:tcPr>
          <w:p w14:paraId="24523503" w14:textId="77777777" w:rsidR="000A24A7" w:rsidRPr="00B269D4" w:rsidRDefault="000A24A7" w:rsidP="007B7336">
            <w:pPr>
              <w:rPr>
                <w:sz w:val="22"/>
                <w:szCs w:val="22"/>
              </w:rPr>
            </w:pPr>
            <w:r>
              <w:rPr>
                <w:sz w:val="22"/>
                <w:szCs w:val="22"/>
              </w:rPr>
              <w:t>Loans</w:t>
            </w:r>
          </w:p>
        </w:tc>
        <w:tc>
          <w:tcPr>
            <w:tcW w:w="992" w:type="dxa"/>
            <w:tcBorders>
              <w:top w:val="nil"/>
              <w:left w:val="nil"/>
              <w:bottom w:val="single" w:sz="4" w:space="0" w:color="auto"/>
              <w:right w:val="nil"/>
            </w:tcBorders>
          </w:tcPr>
          <w:p w14:paraId="00C8859E" w14:textId="439DEEB3" w:rsidR="000A24A7" w:rsidRDefault="00CF0BB8" w:rsidP="007B7336">
            <w:pPr>
              <w:ind w:right="75"/>
              <w:jc w:val="right"/>
              <w:rPr>
                <w:rFonts w:eastAsia="Arial Unicode MS"/>
                <w:sz w:val="22"/>
                <w:szCs w:val="22"/>
              </w:rPr>
            </w:pPr>
            <w:r>
              <w:rPr>
                <w:rFonts w:eastAsia="Arial Unicode MS"/>
                <w:sz w:val="22"/>
                <w:szCs w:val="22"/>
              </w:rPr>
              <w:t>28,975</w:t>
            </w:r>
          </w:p>
        </w:tc>
        <w:tc>
          <w:tcPr>
            <w:tcW w:w="992" w:type="dxa"/>
            <w:tcBorders>
              <w:top w:val="nil"/>
              <w:left w:val="nil"/>
              <w:bottom w:val="single" w:sz="4" w:space="0" w:color="auto"/>
              <w:right w:val="nil"/>
            </w:tcBorders>
          </w:tcPr>
          <w:p w14:paraId="27BAA37D" w14:textId="77777777" w:rsidR="000A24A7" w:rsidRDefault="000A24A7" w:rsidP="007B7336">
            <w:pPr>
              <w:ind w:right="75"/>
              <w:jc w:val="right"/>
              <w:rPr>
                <w:rFonts w:eastAsia="Arial Unicode MS"/>
                <w:sz w:val="22"/>
                <w:szCs w:val="22"/>
              </w:rPr>
            </w:pPr>
            <w:r>
              <w:rPr>
                <w:rFonts w:eastAsia="Arial Unicode MS"/>
                <w:sz w:val="22"/>
                <w:szCs w:val="22"/>
              </w:rPr>
              <w:t>-</w:t>
            </w: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3E1EC8E1" w14:textId="1CDB29C3" w:rsidR="000A24A7" w:rsidRDefault="00CF0BB8" w:rsidP="007B7336">
            <w:pPr>
              <w:ind w:right="75"/>
              <w:jc w:val="right"/>
              <w:rPr>
                <w:rFonts w:eastAsia="Arial Unicode MS"/>
                <w:sz w:val="22"/>
                <w:szCs w:val="22"/>
              </w:rPr>
            </w:pPr>
            <w:r>
              <w:rPr>
                <w:rFonts w:eastAsia="Arial Unicode MS"/>
                <w:sz w:val="22"/>
                <w:szCs w:val="22"/>
              </w:rPr>
              <w:t>28,975</w:t>
            </w:r>
          </w:p>
        </w:tc>
        <w:tc>
          <w:tcPr>
            <w:tcW w:w="1276" w:type="dxa"/>
            <w:tcBorders>
              <w:top w:val="nil"/>
              <w:left w:val="nil"/>
              <w:bottom w:val="single" w:sz="4" w:space="0" w:color="auto"/>
              <w:right w:val="nil"/>
            </w:tcBorders>
            <w:vAlign w:val="bottom"/>
          </w:tcPr>
          <w:p w14:paraId="3E0D363E" w14:textId="77777777" w:rsidR="000A24A7" w:rsidRDefault="000A24A7" w:rsidP="007B7336">
            <w:pPr>
              <w:ind w:right="90"/>
              <w:jc w:val="right"/>
              <w:rPr>
                <w:rFonts w:eastAsia="Arial Unicode MS"/>
                <w:sz w:val="22"/>
                <w:szCs w:val="22"/>
              </w:rPr>
            </w:pPr>
            <w:r>
              <w:rPr>
                <w:rFonts w:eastAsia="Arial Unicode MS"/>
                <w:sz w:val="22"/>
                <w:szCs w:val="22"/>
              </w:rPr>
              <w:t>-</w:t>
            </w:r>
          </w:p>
        </w:tc>
      </w:tr>
      <w:tr w:rsidR="000A24A7" w:rsidRPr="00753313" w14:paraId="7BB403F3" w14:textId="77777777" w:rsidTr="007B7336">
        <w:trPr>
          <w:trHeight w:val="264"/>
        </w:trPr>
        <w:tc>
          <w:tcPr>
            <w:tcW w:w="5387" w:type="dxa"/>
            <w:tcBorders>
              <w:top w:val="nil"/>
              <w:left w:val="nil"/>
              <w:bottom w:val="nil"/>
              <w:right w:val="nil"/>
            </w:tcBorders>
            <w:noWrap/>
            <w:tcMar>
              <w:top w:w="15" w:type="dxa"/>
              <w:left w:w="15" w:type="dxa"/>
              <w:bottom w:w="0" w:type="dxa"/>
              <w:right w:w="15" w:type="dxa"/>
            </w:tcMar>
            <w:vAlign w:val="bottom"/>
          </w:tcPr>
          <w:p w14:paraId="7FE90DE0" w14:textId="77777777" w:rsidR="000A24A7" w:rsidRPr="00B269D4" w:rsidRDefault="000A24A7" w:rsidP="007B7336">
            <w:pPr>
              <w:rPr>
                <w:rFonts w:eastAsia="Arial Unicode MS"/>
                <w:sz w:val="22"/>
                <w:szCs w:val="22"/>
              </w:rPr>
            </w:pPr>
          </w:p>
        </w:tc>
        <w:tc>
          <w:tcPr>
            <w:tcW w:w="992" w:type="dxa"/>
            <w:tcBorders>
              <w:top w:val="nil"/>
              <w:left w:val="nil"/>
              <w:bottom w:val="double" w:sz="6" w:space="0" w:color="auto"/>
              <w:right w:val="nil"/>
            </w:tcBorders>
          </w:tcPr>
          <w:p w14:paraId="2AC63F6A" w14:textId="1EDDE46D" w:rsidR="000A24A7" w:rsidRPr="008E3E7F" w:rsidRDefault="00CF0BB8" w:rsidP="007B7336">
            <w:pPr>
              <w:ind w:right="75"/>
              <w:jc w:val="right"/>
              <w:rPr>
                <w:rFonts w:eastAsia="Arial Unicode MS"/>
                <w:sz w:val="22"/>
                <w:szCs w:val="22"/>
              </w:rPr>
            </w:pPr>
            <w:r>
              <w:rPr>
                <w:rFonts w:eastAsia="Arial Unicode MS"/>
                <w:sz w:val="22"/>
                <w:szCs w:val="22"/>
              </w:rPr>
              <w:t>28,975</w:t>
            </w:r>
          </w:p>
        </w:tc>
        <w:tc>
          <w:tcPr>
            <w:tcW w:w="992" w:type="dxa"/>
            <w:tcBorders>
              <w:top w:val="nil"/>
              <w:left w:val="nil"/>
              <w:bottom w:val="double" w:sz="6" w:space="0" w:color="auto"/>
              <w:right w:val="nil"/>
            </w:tcBorders>
          </w:tcPr>
          <w:p w14:paraId="127B94DC" w14:textId="2D9AF4D4" w:rsidR="000A24A7" w:rsidRPr="008E3E7F" w:rsidRDefault="000A24A7" w:rsidP="007B7336">
            <w:pPr>
              <w:ind w:right="75"/>
              <w:jc w:val="right"/>
              <w:rPr>
                <w:rFonts w:eastAsia="Arial Unicode MS"/>
                <w:sz w:val="22"/>
                <w:szCs w:val="22"/>
              </w:rPr>
            </w:pPr>
            <w:r>
              <w:rPr>
                <w:rFonts w:eastAsia="Arial Unicode MS"/>
                <w:sz w:val="22"/>
                <w:szCs w:val="22"/>
              </w:rPr>
              <w:t>-</w:t>
            </w:r>
          </w:p>
        </w:tc>
        <w:tc>
          <w:tcPr>
            <w:tcW w:w="1276" w:type="dxa"/>
            <w:tcBorders>
              <w:top w:val="nil"/>
              <w:left w:val="nil"/>
              <w:bottom w:val="double" w:sz="6" w:space="0" w:color="auto"/>
              <w:right w:val="nil"/>
            </w:tcBorders>
            <w:noWrap/>
            <w:tcMar>
              <w:top w:w="15" w:type="dxa"/>
              <w:left w:w="15" w:type="dxa"/>
              <w:bottom w:w="0" w:type="dxa"/>
              <w:right w:w="15" w:type="dxa"/>
            </w:tcMar>
            <w:vAlign w:val="bottom"/>
          </w:tcPr>
          <w:p w14:paraId="2A0A7D1C" w14:textId="4190E11F" w:rsidR="000A24A7" w:rsidRPr="008E3E7F" w:rsidRDefault="00CF0BB8" w:rsidP="007B7336">
            <w:pPr>
              <w:ind w:right="75"/>
              <w:jc w:val="right"/>
              <w:rPr>
                <w:rFonts w:eastAsia="Arial Unicode MS"/>
                <w:sz w:val="22"/>
                <w:szCs w:val="22"/>
              </w:rPr>
            </w:pPr>
            <w:r>
              <w:rPr>
                <w:rFonts w:eastAsia="Arial Unicode MS"/>
                <w:sz w:val="22"/>
                <w:szCs w:val="22"/>
              </w:rPr>
              <w:t>28,975</w:t>
            </w:r>
          </w:p>
        </w:tc>
        <w:tc>
          <w:tcPr>
            <w:tcW w:w="1276" w:type="dxa"/>
            <w:tcBorders>
              <w:top w:val="nil"/>
              <w:left w:val="nil"/>
              <w:bottom w:val="double" w:sz="6" w:space="0" w:color="auto"/>
              <w:right w:val="nil"/>
            </w:tcBorders>
            <w:vAlign w:val="bottom"/>
          </w:tcPr>
          <w:p w14:paraId="6F6E760F" w14:textId="7DC45909" w:rsidR="000A24A7" w:rsidRPr="0074653E" w:rsidRDefault="000A24A7" w:rsidP="007B7336">
            <w:pPr>
              <w:ind w:right="90"/>
              <w:jc w:val="right"/>
              <w:rPr>
                <w:rFonts w:eastAsia="Arial Unicode MS"/>
                <w:sz w:val="22"/>
                <w:szCs w:val="22"/>
              </w:rPr>
            </w:pPr>
            <w:r>
              <w:rPr>
                <w:rFonts w:eastAsia="Arial Unicode MS"/>
                <w:sz w:val="22"/>
                <w:szCs w:val="22"/>
              </w:rPr>
              <w:t>-</w:t>
            </w:r>
          </w:p>
        </w:tc>
      </w:tr>
    </w:tbl>
    <w:p w14:paraId="05B9F997" w14:textId="4AA8BADF" w:rsidR="00965FA6" w:rsidRDefault="00965FA6" w:rsidP="00082E49">
      <w:pPr>
        <w:pStyle w:val="BodyText3"/>
        <w:rPr>
          <w:sz w:val="22"/>
          <w:szCs w:val="22"/>
        </w:rPr>
      </w:pPr>
    </w:p>
    <w:p w14:paraId="68A84698" w14:textId="63AB7722" w:rsidR="00305D9C" w:rsidRDefault="00305D9C" w:rsidP="00082E49">
      <w:pPr>
        <w:pStyle w:val="BodyText3"/>
        <w:rPr>
          <w:b w:val="0"/>
          <w:bCs/>
          <w:sz w:val="22"/>
          <w:szCs w:val="22"/>
        </w:rPr>
      </w:pPr>
      <w:r w:rsidRPr="00305D9C">
        <w:rPr>
          <w:b w:val="0"/>
          <w:bCs/>
          <w:sz w:val="22"/>
          <w:szCs w:val="22"/>
        </w:rPr>
        <w:t>The bank loan is repayable by instalments and interest is charged at 2.5%pa. The bank loans are unsecured.</w:t>
      </w:r>
    </w:p>
    <w:p w14:paraId="6895C05A" w14:textId="77777777" w:rsidR="00305D9C" w:rsidRDefault="00305D9C" w:rsidP="00082E49">
      <w:pPr>
        <w:pStyle w:val="BodyText3"/>
        <w:rPr>
          <w:b w:val="0"/>
          <w:bCs/>
          <w:sz w:val="22"/>
          <w:szCs w:val="22"/>
        </w:rPr>
      </w:pPr>
    </w:p>
    <w:p w14:paraId="4CCF6924" w14:textId="1CEAB5DB" w:rsidR="00305D9C" w:rsidRDefault="00305D9C" w:rsidP="00082E49">
      <w:pPr>
        <w:pStyle w:val="BodyText3"/>
        <w:rPr>
          <w:b w:val="0"/>
          <w:bCs/>
          <w:sz w:val="22"/>
          <w:szCs w:val="22"/>
        </w:rPr>
      </w:pPr>
      <w:r w:rsidRPr="00305D9C">
        <w:rPr>
          <w:b w:val="0"/>
          <w:bCs/>
          <w:sz w:val="22"/>
          <w:szCs w:val="22"/>
        </w:rPr>
        <w:t>Other loans from institutions are fixed at 7% interest on amounts drawn down rolled up and paid on the Maturity Date. The loan is unsecured.</w:t>
      </w:r>
    </w:p>
    <w:p w14:paraId="32E2CCA9" w14:textId="76834D61" w:rsidR="00305D9C" w:rsidRDefault="00305D9C" w:rsidP="00082E49">
      <w:pPr>
        <w:pStyle w:val="BodyText3"/>
        <w:rPr>
          <w:b w:val="0"/>
          <w:bCs/>
          <w:sz w:val="22"/>
          <w:szCs w:val="22"/>
        </w:rPr>
      </w:pPr>
    </w:p>
    <w:p w14:paraId="625C5092" w14:textId="3AC6EA0F" w:rsidR="00305D9C" w:rsidRPr="00305D9C" w:rsidRDefault="00305D9C" w:rsidP="00305D9C">
      <w:pPr>
        <w:pStyle w:val="BodyText3"/>
        <w:rPr>
          <w:b w:val="0"/>
          <w:bCs/>
          <w:sz w:val="22"/>
          <w:szCs w:val="22"/>
        </w:rPr>
      </w:pPr>
      <w:r w:rsidRPr="00305D9C">
        <w:rPr>
          <w:b w:val="0"/>
          <w:bCs/>
          <w:sz w:val="22"/>
          <w:szCs w:val="22"/>
        </w:rPr>
        <w:t>The convertible loan notes are fixed at 10% interest payable per annum if the loans are not converted to shares. The creditors loan notes are unsecured with a maturity date of 31 January 2021.</w:t>
      </w:r>
    </w:p>
    <w:p w14:paraId="263C8B5C" w14:textId="77777777" w:rsidR="00305D9C" w:rsidRDefault="00305D9C" w:rsidP="00082E49">
      <w:pPr>
        <w:pStyle w:val="BodyText3"/>
        <w:rPr>
          <w:b w:val="0"/>
          <w:bCs/>
          <w:sz w:val="22"/>
          <w:szCs w:val="22"/>
        </w:rPr>
      </w:pPr>
    </w:p>
    <w:p w14:paraId="4615CC83" w14:textId="41D23DFF" w:rsidR="00965FA6" w:rsidRDefault="000A24A7" w:rsidP="00082E49">
      <w:pPr>
        <w:pStyle w:val="BodyText3"/>
        <w:rPr>
          <w:sz w:val="22"/>
          <w:szCs w:val="22"/>
        </w:rPr>
      </w:pPr>
      <w:r w:rsidRPr="00753313">
        <w:rPr>
          <w:b w:val="0"/>
          <w:bCs/>
          <w:sz w:val="22"/>
          <w:szCs w:val="22"/>
        </w:rPr>
        <w:t>The fair value of trade and other payables approximates to their book value.</w:t>
      </w:r>
    </w:p>
    <w:p w14:paraId="5A31EE23" w14:textId="77777777" w:rsidR="000A24A7" w:rsidRDefault="000A24A7" w:rsidP="00082E49">
      <w:pPr>
        <w:pStyle w:val="BodyText3"/>
        <w:rPr>
          <w:sz w:val="22"/>
          <w:szCs w:val="22"/>
        </w:rPr>
      </w:pPr>
    </w:p>
    <w:p w14:paraId="59818B2E" w14:textId="7EF2D050" w:rsidR="00082E49" w:rsidRPr="00753313" w:rsidRDefault="00082E49" w:rsidP="00082E49">
      <w:pPr>
        <w:pStyle w:val="BodyText3"/>
        <w:rPr>
          <w:sz w:val="22"/>
          <w:szCs w:val="22"/>
        </w:rPr>
      </w:pPr>
      <w:r>
        <w:rPr>
          <w:sz w:val="22"/>
          <w:szCs w:val="22"/>
        </w:rPr>
        <w:t>1</w:t>
      </w:r>
      <w:r w:rsidR="00574165">
        <w:rPr>
          <w:sz w:val="22"/>
          <w:szCs w:val="22"/>
        </w:rPr>
        <w:t>3</w:t>
      </w:r>
      <w:r w:rsidRPr="00753313">
        <w:rPr>
          <w:sz w:val="22"/>
          <w:szCs w:val="22"/>
        </w:rPr>
        <w:t>.</w:t>
      </w:r>
      <w:r w:rsidRPr="00753313">
        <w:rPr>
          <w:sz w:val="22"/>
          <w:szCs w:val="22"/>
        </w:rPr>
        <w:tab/>
      </w:r>
      <w:r w:rsidRPr="00517573">
        <w:rPr>
          <w:sz w:val="22"/>
          <w:szCs w:val="22"/>
        </w:rPr>
        <w:t>CALLED UP SHARE CAPITAL</w:t>
      </w:r>
      <w:r w:rsidRPr="00753313">
        <w:rPr>
          <w:sz w:val="22"/>
          <w:szCs w:val="22"/>
        </w:rPr>
        <w:tab/>
      </w:r>
      <w:r w:rsidRPr="00753313">
        <w:rPr>
          <w:sz w:val="22"/>
          <w:szCs w:val="22"/>
        </w:rPr>
        <w:br/>
      </w:r>
    </w:p>
    <w:tbl>
      <w:tblPr>
        <w:tblW w:w="9907" w:type="dxa"/>
        <w:tblLayout w:type="fixed"/>
        <w:tblCellMar>
          <w:left w:w="0" w:type="dxa"/>
          <w:right w:w="0" w:type="dxa"/>
        </w:tblCellMar>
        <w:tblLook w:val="0000" w:firstRow="0" w:lastRow="0" w:firstColumn="0" w:lastColumn="0" w:noHBand="0" w:noVBand="0"/>
      </w:tblPr>
      <w:tblGrid>
        <w:gridCol w:w="4388"/>
        <w:gridCol w:w="1486"/>
        <w:gridCol w:w="1312"/>
        <w:gridCol w:w="1419"/>
        <w:gridCol w:w="1302"/>
      </w:tblGrid>
      <w:tr w:rsidR="00082E49" w:rsidRPr="00753313" w14:paraId="01EA7E0D"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750BDC02" w14:textId="77777777" w:rsidR="00082E49" w:rsidRPr="00753313" w:rsidRDefault="00082E49" w:rsidP="00082E49">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63042A51" w14:textId="57496A99" w:rsidR="00082E49" w:rsidRPr="00F76A95" w:rsidRDefault="0003624D" w:rsidP="00656716">
            <w:pPr>
              <w:ind w:right="75"/>
              <w:jc w:val="right"/>
              <w:rPr>
                <w:rFonts w:eastAsia="Arial Unicode MS"/>
                <w:b/>
                <w:bCs/>
                <w:sz w:val="22"/>
                <w:szCs w:val="22"/>
              </w:rPr>
            </w:pPr>
            <w:r>
              <w:rPr>
                <w:b/>
                <w:bCs/>
                <w:sz w:val="22"/>
                <w:szCs w:val="22"/>
              </w:rPr>
              <w:t xml:space="preserve">Dec </w:t>
            </w:r>
            <w:r w:rsidR="00EF34B7" w:rsidRPr="00F76A95">
              <w:rPr>
                <w:b/>
                <w:bCs/>
                <w:sz w:val="22"/>
                <w:szCs w:val="22"/>
              </w:rPr>
              <w:t>20</w:t>
            </w:r>
            <w:r w:rsidR="00EF34B7">
              <w:rPr>
                <w:b/>
                <w:bCs/>
                <w:sz w:val="22"/>
                <w:szCs w:val="22"/>
              </w:rPr>
              <w:t>20</w:t>
            </w:r>
          </w:p>
        </w:tc>
        <w:tc>
          <w:tcPr>
            <w:tcW w:w="1312" w:type="dxa"/>
            <w:tcBorders>
              <w:top w:val="nil"/>
              <w:left w:val="nil"/>
              <w:bottom w:val="nil"/>
              <w:right w:val="nil"/>
            </w:tcBorders>
            <w:noWrap/>
            <w:tcMar>
              <w:top w:w="15" w:type="dxa"/>
              <w:left w:w="15" w:type="dxa"/>
              <w:bottom w:w="0" w:type="dxa"/>
              <w:right w:w="15" w:type="dxa"/>
            </w:tcMar>
            <w:vAlign w:val="bottom"/>
          </w:tcPr>
          <w:p w14:paraId="31D84D5A" w14:textId="6A5306BA" w:rsidR="00082E49" w:rsidRPr="00F76A95" w:rsidRDefault="0003624D" w:rsidP="00656716">
            <w:pPr>
              <w:ind w:right="85"/>
              <w:jc w:val="right"/>
              <w:rPr>
                <w:rFonts w:eastAsia="Arial Unicode MS"/>
                <w:b/>
                <w:bCs/>
                <w:sz w:val="22"/>
                <w:szCs w:val="22"/>
              </w:rPr>
            </w:pPr>
            <w:r>
              <w:rPr>
                <w:b/>
                <w:bCs/>
                <w:sz w:val="22"/>
                <w:szCs w:val="22"/>
              </w:rPr>
              <w:t xml:space="preserve">Dec </w:t>
            </w:r>
            <w:r w:rsidR="00EF34B7" w:rsidRPr="00F76A95">
              <w:rPr>
                <w:b/>
                <w:bCs/>
                <w:sz w:val="22"/>
                <w:szCs w:val="22"/>
              </w:rPr>
              <w:t>20</w:t>
            </w:r>
            <w:r w:rsidR="00EF34B7">
              <w:rPr>
                <w:b/>
                <w:bCs/>
                <w:sz w:val="22"/>
                <w:szCs w:val="22"/>
              </w:rPr>
              <w:t>20</w:t>
            </w:r>
          </w:p>
        </w:tc>
        <w:tc>
          <w:tcPr>
            <w:tcW w:w="1419" w:type="dxa"/>
            <w:tcBorders>
              <w:top w:val="nil"/>
              <w:left w:val="nil"/>
              <w:bottom w:val="nil"/>
              <w:right w:val="nil"/>
            </w:tcBorders>
            <w:noWrap/>
            <w:tcMar>
              <w:top w:w="15" w:type="dxa"/>
              <w:left w:w="15" w:type="dxa"/>
              <w:bottom w:w="0" w:type="dxa"/>
              <w:right w:w="15" w:type="dxa"/>
            </w:tcMar>
            <w:vAlign w:val="bottom"/>
          </w:tcPr>
          <w:p w14:paraId="521C4D10" w14:textId="6100A19B" w:rsidR="00082E49" w:rsidRPr="00753313" w:rsidRDefault="00EF34B7" w:rsidP="00656716">
            <w:pPr>
              <w:ind w:right="95"/>
              <w:jc w:val="right"/>
              <w:rPr>
                <w:rFonts w:eastAsia="Arial Unicode MS"/>
                <w:b/>
                <w:bCs/>
                <w:sz w:val="22"/>
                <w:szCs w:val="22"/>
              </w:rPr>
            </w:pPr>
            <w:r>
              <w:rPr>
                <w:b/>
                <w:bCs/>
                <w:sz w:val="22"/>
                <w:szCs w:val="22"/>
              </w:rPr>
              <w:t xml:space="preserve">Dec </w:t>
            </w:r>
            <w:r w:rsidR="0003624D">
              <w:rPr>
                <w:b/>
                <w:bCs/>
                <w:sz w:val="22"/>
                <w:szCs w:val="22"/>
              </w:rPr>
              <w:t>2019</w:t>
            </w:r>
          </w:p>
        </w:tc>
        <w:tc>
          <w:tcPr>
            <w:tcW w:w="1302" w:type="dxa"/>
            <w:tcBorders>
              <w:top w:val="nil"/>
              <w:left w:val="nil"/>
              <w:bottom w:val="nil"/>
              <w:right w:val="nil"/>
            </w:tcBorders>
            <w:noWrap/>
            <w:tcMar>
              <w:top w:w="15" w:type="dxa"/>
              <w:left w:w="15" w:type="dxa"/>
              <w:bottom w:w="0" w:type="dxa"/>
              <w:right w:w="15" w:type="dxa"/>
            </w:tcMar>
            <w:vAlign w:val="bottom"/>
          </w:tcPr>
          <w:p w14:paraId="22C530B6" w14:textId="09B258B0" w:rsidR="00082E49" w:rsidRPr="00753313" w:rsidRDefault="00EF34B7" w:rsidP="00656716">
            <w:pPr>
              <w:ind w:right="85"/>
              <w:jc w:val="right"/>
              <w:rPr>
                <w:rFonts w:eastAsia="Arial Unicode MS"/>
                <w:b/>
                <w:bCs/>
                <w:sz w:val="22"/>
                <w:szCs w:val="22"/>
              </w:rPr>
            </w:pPr>
            <w:r>
              <w:rPr>
                <w:b/>
                <w:bCs/>
                <w:sz w:val="22"/>
                <w:szCs w:val="22"/>
              </w:rPr>
              <w:t xml:space="preserve">Dec </w:t>
            </w:r>
            <w:r w:rsidR="00082E49" w:rsidRPr="00F76A95">
              <w:rPr>
                <w:b/>
                <w:bCs/>
                <w:sz w:val="22"/>
                <w:szCs w:val="22"/>
              </w:rPr>
              <w:t>201</w:t>
            </w:r>
            <w:r w:rsidR="0003624D">
              <w:rPr>
                <w:b/>
                <w:bCs/>
                <w:sz w:val="22"/>
                <w:szCs w:val="22"/>
              </w:rPr>
              <w:t>9</w:t>
            </w:r>
          </w:p>
        </w:tc>
      </w:tr>
      <w:tr w:rsidR="00082E49" w:rsidRPr="00753313" w14:paraId="031FF082"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1BF27A96" w14:textId="77777777" w:rsidR="00082E49" w:rsidRPr="00753313" w:rsidRDefault="00082E49" w:rsidP="00082E49">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4055995F" w14:textId="77777777" w:rsidR="00082E49" w:rsidRPr="00F76A95" w:rsidRDefault="00082E49" w:rsidP="00656716">
            <w:pPr>
              <w:ind w:right="75"/>
              <w:jc w:val="right"/>
              <w:rPr>
                <w:rFonts w:eastAsia="Arial Unicode MS"/>
                <w:b/>
                <w:bCs/>
                <w:sz w:val="22"/>
                <w:szCs w:val="22"/>
              </w:rPr>
            </w:pPr>
            <w:r w:rsidRPr="00F76A95">
              <w:rPr>
                <w:b/>
                <w:bCs/>
                <w:sz w:val="22"/>
                <w:szCs w:val="22"/>
              </w:rPr>
              <w:t>Number</w:t>
            </w:r>
          </w:p>
        </w:tc>
        <w:tc>
          <w:tcPr>
            <w:tcW w:w="1312" w:type="dxa"/>
            <w:tcBorders>
              <w:top w:val="nil"/>
              <w:left w:val="nil"/>
              <w:bottom w:val="nil"/>
              <w:right w:val="nil"/>
            </w:tcBorders>
            <w:noWrap/>
            <w:tcMar>
              <w:top w:w="15" w:type="dxa"/>
              <w:left w:w="15" w:type="dxa"/>
              <w:bottom w:w="0" w:type="dxa"/>
              <w:right w:w="15" w:type="dxa"/>
            </w:tcMar>
            <w:vAlign w:val="bottom"/>
          </w:tcPr>
          <w:p w14:paraId="2EE9A9EE" w14:textId="77777777" w:rsidR="00082E49" w:rsidRPr="00F76A95" w:rsidRDefault="00082E49" w:rsidP="00656716">
            <w:pPr>
              <w:ind w:right="85"/>
              <w:jc w:val="right"/>
              <w:rPr>
                <w:rFonts w:eastAsia="Arial Unicode MS"/>
                <w:b/>
                <w:bCs/>
                <w:sz w:val="22"/>
                <w:szCs w:val="22"/>
              </w:rPr>
            </w:pPr>
          </w:p>
        </w:tc>
        <w:tc>
          <w:tcPr>
            <w:tcW w:w="1419" w:type="dxa"/>
            <w:tcBorders>
              <w:top w:val="nil"/>
              <w:left w:val="nil"/>
              <w:bottom w:val="nil"/>
              <w:right w:val="nil"/>
            </w:tcBorders>
            <w:noWrap/>
            <w:tcMar>
              <w:top w:w="15" w:type="dxa"/>
              <w:left w:w="15" w:type="dxa"/>
              <w:bottom w:w="0" w:type="dxa"/>
              <w:right w:w="15" w:type="dxa"/>
            </w:tcMar>
            <w:vAlign w:val="bottom"/>
          </w:tcPr>
          <w:p w14:paraId="5528CFD3" w14:textId="77777777" w:rsidR="00082E49" w:rsidRPr="00753313" w:rsidRDefault="00082E49" w:rsidP="00656716">
            <w:pPr>
              <w:ind w:right="95"/>
              <w:jc w:val="right"/>
              <w:rPr>
                <w:rFonts w:eastAsia="Arial Unicode MS"/>
                <w:b/>
                <w:bCs/>
                <w:sz w:val="22"/>
                <w:szCs w:val="22"/>
              </w:rPr>
            </w:pPr>
            <w:r w:rsidRPr="00F76A95">
              <w:rPr>
                <w:b/>
                <w:bCs/>
                <w:sz w:val="22"/>
                <w:szCs w:val="22"/>
              </w:rPr>
              <w:t>Number</w:t>
            </w:r>
          </w:p>
        </w:tc>
        <w:tc>
          <w:tcPr>
            <w:tcW w:w="1302" w:type="dxa"/>
            <w:tcBorders>
              <w:top w:val="nil"/>
              <w:left w:val="nil"/>
              <w:bottom w:val="nil"/>
              <w:right w:val="nil"/>
            </w:tcBorders>
            <w:noWrap/>
            <w:tcMar>
              <w:top w:w="15" w:type="dxa"/>
              <w:left w:w="15" w:type="dxa"/>
              <w:bottom w:w="0" w:type="dxa"/>
              <w:right w:w="15" w:type="dxa"/>
            </w:tcMar>
            <w:vAlign w:val="bottom"/>
          </w:tcPr>
          <w:p w14:paraId="19B9AC9E" w14:textId="77777777" w:rsidR="00082E49" w:rsidRPr="00753313" w:rsidRDefault="00082E49" w:rsidP="00656716">
            <w:pPr>
              <w:ind w:right="85"/>
              <w:jc w:val="right"/>
              <w:rPr>
                <w:rFonts w:eastAsia="Arial Unicode MS"/>
                <w:b/>
                <w:bCs/>
                <w:sz w:val="22"/>
                <w:szCs w:val="22"/>
              </w:rPr>
            </w:pPr>
          </w:p>
        </w:tc>
      </w:tr>
      <w:tr w:rsidR="00082E49" w:rsidRPr="00753313" w14:paraId="098670D7"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7B5A6D29" w14:textId="77777777" w:rsidR="00082E49" w:rsidRPr="00753313" w:rsidRDefault="00082E49" w:rsidP="00082E49">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571AB81B" w14:textId="77777777" w:rsidR="00082E49" w:rsidRPr="00F76A95" w:rsidRDefault="00082E49" w:rsidP="00656716">
            <w:pPr>
              <w:ind w:right="75"/>
              <w:jc w:val="right"/>
              <w:rPr>
                <w:rFonts w:eastAsia="Arial Unicode MS"/>
                <w:b/>
                <w:bCs/>
                <w:sz w:val="22"/>
                <w:szCs w:val="22"/>
              </w:rPr>
            </w:pPr>
            <w:r w:rsidRPr="00F76A95">
              <w:rPr>
                <w:b/>
                <w:bCs/>
                <w:sz w:val="22"/>
                <w:szCs w:val="22"/>
              </w:rPr>
              <w:t>of shares</w:t>
            </w:r>
          </w:p>
        </w:tc>
        <w:tc>
          <w:tcPr>
            <w:tcW w:w="1312" w:type="dxa"/>
            <w:tcBorders>
              <w:top w:val="nil"/>
              <w:left w:val="nil"/>
              <w:bottom w:val="nil"/>
              <w:right w:val="nil"/>
            </w:tcBorders>
            <w:noWrap/>
            <w:tcMar>
              <w:top w:w="15" w:type="dxa"/>
              <w:left w:w="15" w:type="dxa"/>
              <w:bottom w:w="0" w:type="dxa"/>
              <w:right w:w="15" w:type="dxa"/>
            </w:tcMar>
            <w:vAlign w:val="bottom"/>
          </w:tcPr>
          <w:p w14:paraId="3715B81B" w14:textId="77777777" w:rsidR="00082E49" w:rsidRPr="00F76A95" w:rsidRDefault="00082E49" w:rsidP="00656716">
            <w:pPr>
              <w:ind w:right="85"/>
              <w:jc w:val="right"/>
              <w:rPr>
                <w:rFonts w:eastAsia="Arial Unicode MS"/>
                <w:b/>
                <w:bCs/>
                <w:sz w:val="22"/>
                <w:szCs w:val="22"/>
              </w:rPr>
            </w:pPr>
            <w:r w:rsidRPr="00F76A95">
              <w:rPr>
                <w:b/>
                <w:bCs/>
                <w:sz w:val="22"/>
                <w:szCs w:val="22"/>
              </w:rPr>
              <w:t>£</w:t>
            </w:r>
          </w:p>
        </w:tc>
        <w:tc>
          <w:tcPr>
            <w:tcW w:w="1419" w:type="dxa"/>
            <w:tcBorders>
              <w:top w:val="nil"/>
              <w:left w:val="nil"/>
              <w:bottom w:val="nil"/>
              <w:right w:val="nil"/>
            </w:tcBorders>
            <w:noWrap/>
            <w:tcMar>
              <w:top w:w="15" w:type="dxa"/>
              <w:left w:w="15" w:type="dxa"/>
              <w:bottom w:w="0" w:type="dxa"/>
              <w:right w:w="15" w:type="dxa"/>
            </w:tcMar>
            <w:vAlign w:val="bottom"/>
          </w:tcPr>
          <w:p w14:paraId="5744A48C" w14:textId="77777777" w:rsidR="00082E49" w:rsidRPr="00753313" w:rsidRDefault="00082E49" w:rsidP="00656716">
            <w:pPr>
              <w:ind w:right="95"/>
              <w:jc w:val="right"/>
              <w:rPr>
                <w:rFonts w:eastAsia="Arial Unicode MS"/>
                <w:b/>
                <w:bCs/>
                <w:sz w:val="22"/>
                <w:szCs w:val="22"/>
              </w:rPr>
            </w:pPr>
            <w:r w:rsidRPr="00F76A95">
              <w:rPr>
                <w:b/>
                <w:bCs/>
                <w:sz w:val="22"/>
                <w:szCs w:val="22"/>
              </w:rPr>
              <w:t>of shares</w:t>
            </w:r>
          </w:p>
        </w:tc>
        <w:tc>
          <w:tcPr>
            <w:tcW w:w="1302" w:type="dxa"/>
            <w:tcBorders>
              <w:top w:val="nil"/>
              <w:left w:val="nil"/>
              <w:bottom w:val="nil"/>
              <w:right w:val="nil"/>
            </w:tcBorders>
            <w:noWrap/>
            <w:tcMar>
              <w:top w:w="15" w:type="dxa"/>
              <w:left w:w="15" w:type="dxa"/>
              <w:bottom w:w="0" w:type="dxa"/>
              <w:right w:w="15" w:type="dxa"/>
            </w:tcMar>
            <w:vAlign w:val="bottom"/>
          </w:tcPr>
          <w:p w14:paraId="7F69664C" w14:textId="77777777" w:rsidR="00082E49" w:rsidRPr="00753313" w:rsidRDefault="00082E49" w:rsidP="00656716">
            <w:pPr>
              <w:ind w:right="85"/>
              <w:jc w:val="right"/>
              <w:rPr>
                <w:rFonts w:eastAsia="Arial Unicode MS"/>
                <w:b/>
                <w:bCs/>
                <w:sz w:val="22"/>
                <w:szCs w:val="22"/>
              </w:rPr>
            </w:pPr>
            <w:r w:rsidRPr="00F76A95">
              <w:rPr>
                <w:b/>
                <w:bCs/>
                <w:sz w:val="22"/>
                <w:szCs w:val="22"/>
              </w:rPr>
              <w:t>£</w:t>
            </w:r>
          </w:p>
        </w:tc>
      </w:tr>
      <w:tr w:rsidR="00082E49" w:rsidRPr="00753313" w14:paraId="76825340"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05A3AC12" w14:textId="5838A517" w:rsidR="00082E49" w:rsidRPr="00753313" w:rsidRDefault="00082E49" w:rsidP="00082E49">
            <w:pPr>
              <w:rPr>
                <w:rFonts w:eastAsia="Arial Unicode MS"/>
                <w:b/>
                <w:bCs/>
                <w:sz w:val="22"/>
                <w:szCs w:val="22"/>
              </w:rPr>
            </w:pPr>
            <w:r w:rsidRPr="00753313">
              <w:rPr>
                <w:b/>
                <w:bCs/>
                <w:sz w:val="22"/>
                <w:szCs w:val="22"/>
              </w:rPr>
              <w:t>A</w:t>
            </w:r>
            <w:r w:rsidR="007F01AC">
              <w:rPr>
                <w:b/>
                <w:bCs/>
                <w:sz w:val="22"/>
                <w:szCs w:val="22"/>
              </w:rPr>
              <w:t>uthorised share capital</w:t>
            </w:r>
          </w:p>
        </w:tc>
        <w:tc>
          <w:tcPr>
            <w:tcW w:w="1486" w:type="dxa"/>
            <w:tcBorders>
              <w:top w:val="nil"/>
              <w:left w:val="nil"/>
              <w:bottom w:val="nil"/>
              <w:right w:val="nil"/>
            </w:tcBorders>
            <w:noWrap/>
            <w:tcMar>
              <w:top w:w="15" w:type="dxa"/>
              <w:left w:w="15" w:type="dxa"/>
              <w:bottom w:w="0" w:type="dxa"/>
              <w:right w:w="15" w:type="dxa"/>
            </w:tcMar>
            <w:vAlign w:val="bottom"/>
          </w:tcPr>
          <w:p w14:paraId="730CD859" w14:textId="77777777" w:rsidR="00082E49" w:rsidRPr="00F76A95" w:rsidRDefault="00082E49" w:rsidP="00A47A25">
            <w:pPr>
              <w:ind w:right="75"/>
              <w:jc w:val="right"/>
              <w:rPr>
                <w:rFonts w:eastAsia="Arial Unicode MS"/>
                <w:sz w:val="22"/>
                <w:szCs w:val="22"/>
              </w:rPr>
            </w:pPr>
          </w:p>
        </w:tc>
        <w:tc>
          <w:tcPr>
            <w:tcW w:w="1312" w:type="dxa"/>
            <w:tcBorders>
              <w:top w:val="nil"/>
              <w:left w:val="nil"/>
              <w:bottom w:val="nil"/>
              <w:right w:val="nil"/>
            </w:tcBorders>
            <w:noWrap/>
            <w:tcMar>
              <w:top w:w="15" w:type="dxa"/>
              <w:left w:w="15" w:type="dxa"/>
              <w:bottom w:w="0" w:type="dxa"/>
              <w:right w:w="15" w:type="dxa"/>
            </w:tcMar>
            <w:vAlign w:val="bottom"/>
          </w:tcPr>
          <w:p w14:paraId="4ED4B5CF" w14:textId="77777777" w:rsidR="00082E49" w:rsidRPr="00F76A95" w:rsidRDefault="00082E49" w:rsidP="00656716">
            <w:pPr>
              <w:ind w:right="85"/>
              <w:jc w:val="right"/>
              <w:rPr>
                <w:rFonts w:eastAsia="Arial Unicode MS"/>
                <w:sz w:val="22"/>
                <w:szCs w:val="22"/>
              </w:rPr>
            </w:pPr>
          </w:p>
        </w:tc>
        <w:tc>
          <w:tcPr>
            <w:tcW w:w="1419" w:type="dxa"/>
            <w:tcBorders>
              <w:top w:val="nil"/>
              <w:left w:val="nil"/>
              <w:bottom w:val="nil"/>
              <w:right w:val="nil"/>
            </w:tcBorders>
            <w:noWrap/>
            <w:tcMar>
              <w:top w:w="15" w:type="dxa"/>
              <w:left w:w="15" w:type="dxa"/>
              <w:bottom w:w="0" w:type="dxa"/>
              <w:right w:w="15" w:type="dxa"/>
            </w:tcMar>
            <w:vAlign w:val="bottom"/>
          </w:tcPr>
          <w:p w14:paraId="514F9A31" w14:textId="77777777" w:rsidR="00082E49" w:rsidRPr="00753313" w:rsidRDefault="00082E49" w:rsidP="00656716">
            <w:pPr>
              <w:ind w:right="95"/>
              <w:jc w:val="right"/>
              <w:rPr>
                <w:rFonts w:eastAsia="Arial Unicode MS"/>
                <w:sz w:val="22"/>
                <w:szCs w:val="22"/>
              </w:rPr>
            </w:pPr>
          </w:p>
        </w:tc>
        <w:tc>
          <w:tcPr>
            <w:tcW w:w="1302" w:type="dxa"/>
            <w:tcBorders>
              <w:top w:val="nil"/>
              <w:left w:val="nil"/>
              <w:bottom w:val="nil"/>
              <w:right w:val="nil"/>
            </w:tcBorders>
            <w:noWrap/>
            <w:tcMar>
              <w:top w:w="15" w:type="dxa"/>
              <w:left w:w="15" w:type="dxa"/>
              <w:bottom w:w="0" w:type="dxa"/>
              <w:right w:w="15" w:type="dxa"/>
            </w:tcMar>
            <w:vAlign w:val="bottom"/>
          </w:tcPr>
          <w:p w14:paraId="75DB3B64" w14:textId="77777777" w:rsidR="00082E49" w:rsidRPr="00753313" w:rsidRDefault="00082E49" w:rsidP="00656716">
            <w:pPr>
              <w:ind w:right="85"/>
              <w:jc w:val="right"/>
              <w:rPr>
                <w:rFonts w:eastAsia="Arial Unicode MS"/>
                <w:sz w:val="22"/>
                <w:szCs w:val="22"/>
              </w:rPr>
            </w:pPr>
          </w:p>
        </w:tc>
      </w:tr>
      <w:tr w:rsidR="00082E49" w:rsidRPr="00753313" w14:paraId="52B5A3EB"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00C0BC0F" w14:textId="4D538CB7" w:rsidR="00082E49" w:rsidRPr="00753313" w:rsidRDefault="00082E49" w:rsidP="00082E49">
            <w:pPr>
              <w:rPr>
                <w:rFonts w:eastAsia="Arial Unicode MS"/>
                <w:sz w:val="22"/>
                <w:szCs w:val="22"/>
              </w:rPr>
            </w:pPr>
            <w:r w:rsidRPr="00753313">
              <w:rPr>
                <w:sz w:val="22"/>
                <w:szCs w:val="22"/>
              </w:rPr>
              <w:t xml:space="preserve">Ordinary shares of </w:t>
            </w:r>
            <w:r w:rsidR="000528E3">
              <w:rPr>
                <w:sz w:val="22"/>
                <w:szCs w:val="22"/>
              </w:rPr>
              <w:t>£</w:t>
            </w:r>
            <w:r w:rsidRPr="00753313">
              <w:rPr>
                <w:sz w:val="22"/>
                <w:szCs w:val="22"/>
              </w:rPr>
              <w:t>0.</w:t>
            </w:r>
            <w:r w:rsidR="007F01AC">
              <w:rPr>
                <w:sz w:val="22"/>
                <w:szCs w:val="22"/>
              </w:rPr>
              <w:t>000</w:t>
            </w:r>
            <w:r w:rsidRPr="00753313">
              <w:rPr>
                <w:sz w:val="22"/>
                <w:szCs w:val="22"/>
              </w:rPr>
              <w:t xml:space="preserve">1 </w:t>
            </w:r>
          </w:p>
        </w:tc>
        <w:tc>
          <w:tcPr>
            <w:tcW w:w="1486" w:type="dxa"/>
            <w:tcBorders>
              <w:top w:val="nil"/>
              <w:left w:val="nil"/>
              <w:bottom w:val="nil"/>
              <w:right w:val="nil"/>
            </w:tcBorders>
            <w:noWrap/>
            <w:tcMar>
              <w:top w:w="15" w:type="dxa"/>
              <w:left w:w="15" w:type="dxa"/>
              <w:bottom w:w="0" w:type="dxa"/>
              <w:right w:w="15" w:type="dxa"/>
            </w:tcMar>
            <w:vAlign w:val="bottom"/>
          </w:tcPr>
          <w:p w14:paraId="7CFB3E06" w14:textId="12BEB970" w:rsidR="00082E49" w:rsidRPr="00F76A95" w:rsidRDefault="007F01AC" w:rsidP="00A47A25">
            <w:pPr>
              <w:ind w:right="75"/>
              <w:jc w:val="right"/>
              <w:rPr>
                <w:rFonts w:eastAsia="Arial Unicode MS"/>
                <w:sz w:val="22"/>
                <w:szCs w:val="22"/>
              </w:rPr>
            </w:pPr>
            <w:r>
              <w:rPr>
                <w:rFonts w:eastAsia="Arial Unicode MS"/>
                <w:sz w:val="22"/>
                <w:szCs w:val="22"/>
              </w:rPr>
              <w:t>5,131,730,000</w:t>
            </w:r>
          </w:p>
        </w:tc>
        <w:tc>
          <w:tcPr>
            <w:tcW w:w="1312" w:type="dxa"/>
            <w:tcBorders>
              <w:top w:val="nil"/>
              <w:left w:val="nil"/>
              <w:bottom w:val="nil"/>
              <w:right w:val="nil"/>
            </w:tcBorders>
            <w:noWrap/>
            <w:tcMar>
              <w:top w:w="15" w:type="dxa"/>
              <w:left w:w="15" w:type="dxa"/>
              <w:bottom w:w="0" w:type="dxa"/>
              <w:right w:w="15" w:type="dxa"/>
            </w:tcMar>
            <w:vAlign w:val="bottom"/>
          </w:tcPr>
          <w:p w14:paraId="4D875D52" w14:textId="54C1E926" w:rsidR="00082E49" w:rsidRPr="00F76A95" w:rsidRDefault="007F01AC">
            <w:pPr>
              <w:ind w:right="85"/>
              <w:jc w:val="right"/>
              <w:rPr>
                <w:rFonts w:eastAsia="Arial Unicode MS"/>
                <w:sz w:val="22"/>
                <w:szCs w:val="22"/>
              </w:rPr>
            </w:pPr>
            <w:r>
              <w:rPr>
                <w:rFonts w:eastAsia="Arial Unicode MS"/>
                <w:sz w:val="22"/>
                <w:szCs w:val="22"/>
              </w:rPr>
              <w:t>513,173</w:t>
            </w:r>
          </w:p>
        </w:tc>
        <w:tc>
          <w:tcPr>
            <w:tcW w:w="1419" w:type="dxa"/>
            <w:tcBorders>
              <w:top w:val="nil"/>
              <w:left w:val="nil"/>
              <w:bottom w:val="nil"/>
              <w:right w:val="nil"/>
            </w:tcBorders>
            <w:noWrap/>
            <w:tcMar>
              <w:top w:w="15" w:type="dxa"/>
              <w:left w:w="15" w:type="dxa"/>
              <w:bottom w:w="0" w:type="dxa"/>
              <w:right w:w="15" w:type="dxa"/>
            </w:tcMar>
            <w:vAlign w:val="bottom"/>
          </w:tcPr>
          <w:p w14:paraId="5D1402CE" w14:textId="44899C3E" w:rsidR="00082E49" w:rsidRPr="00753313" w:rsidRDefault="007F01AC">
            <w:pPr>
              <w:ind w:right="95"/>
              <w:jc w:val="right"/>
              <w:rPr>
                <w:rFonts w:eastAsia="Arial Unicode MS"/>
                <w:sz w:val="22"/>
                <w:szCs w:val="22"/>
              </w:rPr>
            </w:pPr>
            <w:r>
              <w:rPr>
                <w:rFonts w:eastAsia="Arial Unicode MS"/>
                <w:sz w:val="22"/>
                <w:szCs w:val="22"/>
              </w:rPr>
              <w:t>5,131,730,000</w:t>
            </w:r>
          </w:p>
        </w:tc>
        <w:tc>
          <w:tcPr>
            <w:tcW w:w="1302" w:type="dxa"/>
            <w:tcBorders>
              <w:top w:val="nil"/>
              <w:left w:val="nil"/>
              <w:bottom w:val="nil"/>
              <w:right w:val="nil"/>
            </w:tcBorders>
            <w:noWrap/>
            <w:tcMar>
              <w:top w:w="15" w:type="dxa"/>
              <w:left w:w="15" w:type="dxa"/>
              <w:bottom w:w="0" w:type="dxa"/>
              <w:right w:w="15" w:type="dxa"/>
            </w:tcMar>
            <w:vAlign w:val="bottom"/>
          </w:tcPr>
          <w:p w14:paraId="63BC87E1" w14:textId="00E6FE53" w:rsidR="00082E49" w:rsidRPr="00753313" w:rsidRDefault="007F01AC">
            <w:pPr>
              <w:ind w:right="85"/>
              <w:jc w:val="right"/>
              <w:rPr>
                <w:rFonts w:eastAsia="Arial Unicode MS"/>
                <w:sz w:val="22"/>
                <w:szCs w:val="22"/>
              </w:rPr>
            </w:pPr>
            <w:r>
              <w:rPr>
                <w:rFonts w:eastAsia="Arial Unicode MS"/>
                <w:sz w:val="22"/>
                <w:szCs w:val="22"/>
              </w:rPr>
              <w:t>513,173</w:t>
            </w:r>
          </w:p>
        </w:tc>
      </w:tr>
      <w:tr w:rsidR="00082E49" w:rsidRPr="00753313" w14:paraId="359D21D6" w14:textId="77777777" w:rsidTr="00082E49">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1D5E5EC4" w14:textId="194A1B21" w:rsidR="00082E49" w:rsidRPr="00753313" w:rsidRDefault="00082E49" w:rsidP="00082E49">
            <w:pPr>
              <w:rPr>
                <w:rFonts w:eastAsia="Arial Unicode MS"/>
                <w:sz w:val="22"/>
                <w:szCs w:val="22"/>
              </w:rPr>
            </w:pPr>
            <w:r w:rsidRPr="00753313">
              <w:rPr>
                <w:sz w:val="22"/>
                <w:szCs w:val="22"/>
              </w:rPr>
              <w:t xml:space="preserve">Deferred shares of </w:t>
            </w:r>
            <w:r w:rsidR="000528E3">
              <w:rPr>
                <w:sz w:val="22"/>
                <w:szCs w:val="22"/>
              </w:rPr>
              <w:t>£</w:t>
            </w:r>
            <w:r w:rsidRPr="00753313">
              <w:rPr>
                <w:sz w:val="22"/>
                <w:szCs w:val="22"/>
              </w:rPr>
              <w:t>0.</w:t>
            </w:r>
            <w:r w:rsidR="007F01AC">
              <w:rPr>
                <w:sz w:val="22"/>
                <w:szCs w:val="22"/>
              </w:rPr>
              <w:t>004</w:t>
            </w:r>
            <w:r w:rsidRPr="00753313">
              <w:rPr>
                <w:sz w:val="22"/>
                <w:szCs w:val="22"/>
              </w:rPr>
              <w:t xml:space="preserve">9 </w:t>
            </w:r>
          </w:p>
        </w:tc>
        <w:tc>
          <w:tcPr>
            <w:tcW w:w="1486" w:type="dxa"/>
            <w:tcBorders>
              <w:top w:val="nil"/>
              <w:left w:val="nil"/>
              <w:bottom w:val="single" w:sz="4" w:space="0" w:color="auto"/>
              <w:right w:val="nil"/>
            </w:tcBorders>
            <w:noWrap/>
            <w:tcMar>
              <w:top w:w="15" w:type="dxa"/>
              <w:left w:w="15" w:type="dxa"/>
              <w:bottom w:w="0" w:type="dxa"/>
              <w:right w:w="15" w:type="dxa"/>
            </w:tcMar>
            <w:vAlign w:val="bottom"/>
          </w:tcPr>
          <w:p w14:paraId="48664A5D" w14:textId="301D81A4" w:rsidR="00082E49" w:rsidRPr="00F76A95" w:rsidRDefault="007F01AC" w:rsidP="00A47A25">
            <w:pPr>
              <w:ind w:right="75"/>
              <w:jc w:val="right"/>
              <w:rPr>
                <w:rFonts w:eastAsia="Arial Unicode MS"/>
                <w:sz w:val="22"/>
                <w:szCs w:val="22"/>
              </w:rPr>
            </w:pPr>
            <w:r>
              <w:rPr>
                <w:rFonts w:eastAsia="Arial Unicode MS"/>
                <w:sz w:val="22"/>
                <w:szCs w:val="22"/>
              </w:rPr>
              <w:t>48,332,003</w:t>
            </w:r>
          </w:p>
        </w:tc>
        <w:tc>
          <w:tcPr>
            <w:tcW w:w="1312" w:type="dxa"/>
            <w:tcBorders>
              <w:top w:val="nil"/>
              <w:left w:val="nil"/>
              <w:bottom w:val="single" w:sz="4" w:space="0" w:color="auto"/>
              <w:right w:val="nil"/>
            </w:tcBorders>
            <w:noWrap/>
            <w:tcMar>
              <w:top w:w="15" w:type="dxa"/>
              <w:left w:w="15" w:type="dxa"/>
              <w:bottom w:w="0" w:type="dxa"/>
              <w:right w:w="15" w:type="dxa"/>
            </w:tcMar>
            <w:vAlign w:val="bottom"/>
          </w:tcPr>
          <w:p w14:paraId="173F9E5D" w14:textId="1C79EE90" w:rsidR="00082E49" w:rsidRPr="00F76A95" w:rsidRDefault="007F01AC">
            <w:pPr>
              <w:ind w:right="85"/>
              <w:jc w:val="right"/>
              <w:rPr>
                <w:rFonts w:eastAsia="Arial Unicode MS"/>
                <w:sz w:val="22"/>
                <w:szCs w:val="22"/>
              </w:rPr>
            </w:pPr>
            <w:r>
              <w:rPr>
                <w:rFonts w:eastAsia="Arial Unicode MS"/>
                <w:sz w:val="22"/>
                <w:szCs w:val="22"/>
              </w:rPr>
              <w:t>236,827</w:t>
            </w:r>
          </w:p>
        </w:tc>
        <w:tc>
          <w:tcPr>
            <w:tcW w:w="1419" w:type="dxa"/>
            <w:tcBorders>
              <w:top w:val="nil"/>
              <w:left w:val="nil"/>
              <w:bottom w:val="single" w:sz="4" w:space="0" w:color="auto"/>
              <w:right w:val="nil"/>
            </w:tcBorders>
            <w:noWrap/>
            <w:tcMar>
              <w:top w:w="15" w:type="dxa"/>
              <w:left w:w="15" w:type="dxa"/>
              <w:bottom w:w="0" w:type="dxa"/>
              <w:right w:w="15" w:type="dxa"/>
            </w:tcMar>
            <w:vAlign w:val="bottom"/>
          </w:tcPr>
          <w:p w14:paraId="7EAB21AF" w14:textId="5445FB2A" w:rsidR="00082E49" w:rsidRPr="00753313" w:rsidRDefault="007F01AC">
            <w:pPr>
              <w:ind w:right="95"/>
              <w:jc w:val="right"/>
              <w:rPr>
                <w:rFonts w:eastAsia="Arial Unicode MS"/>
                <w:sz w:val="22"/>
                <w:szCs w:val="22"/>
              </w:rPr>
            </w:pPr>
            <w:r>
              <w:rPr>
                <w:rFonts w:eastAsia="Arial Unicode MS"/>
                <w:sz w:val="22"/>
                <w:szCs w:val="22"/>
              </w:rPr>
              <w:t>48,332,003</w:t>
            </w:r>
          </w:p>
        </w:tc>
        <w:tc>
          <w:tcPr>
            <w:tcW w:w="1302" w:type="dxa"/>
            <w:tcBorders>
              <w:top w:val="nil"/>
              <w:left w:val="nil"/>
              <w:bottom w:val="single" w:sz="4" w:space="0" w:color="auto"/>
              <w:right w:val="nil"/>
            </w:tcBorders>
            <w:noWrap/>
            <w:tcMar>
              <w:top w:w="15" w:type="dxa"/>
              <w:left w:w="15" w:type="dxa"/>
              <w:bottom w:w="0" w:type="dxa"/>
              <w:right w:w="15" w:type="dxa"/>
            </w:tcMar>
            <w:vAlign w:val="bottom"/>
          </w:tcPr>
          <w:p w14:paraId="063836DB" w14:textId="72AC27C8" w:rsidR="00082E49" w:rsidRPr="00753313" w:rsidRDefault="007F01AC">
            <w:pPr>
              <w:ind w:right="85"/>
              <w:jc w:val="right"/>
              <w:rPr>
                <w:rFonts w:eastAsia="Arial Unicode MS"/>
                <w:sz w:val="22"/>
                <w:szCs w:val="22"/>
              </w:rPr>
            </w:pPr>
            <w:r>
              <w:rPr>
                <w:rFonts w:eastAsia="Arial Unicode MS"/>
                <w:sz w:val="22"/>
                <w:szCs w:val="22"/>
              </w:rPr>
              <w:t>236,827</w:t>
            </w:r>
          </w:p>
        </w:tc>
      </w:tr>
      <w:tr w:rsidR="00082E49" w:rsidRPr="00753313" w14:paraId="4303C1CE" w14:textId="77777777" w:rsidTr="00082E49">
        <w:trPr>
          <w:trHeight w:val="306"/>
        </w:trPr>
        <w:tc>
          <w:tcPr>
            <w:tcW w:w="4388" w:type="dxa"/>
            <w:tcBorders>
              <w:top w:val="nil"/>
              <w:left w:val="nil"/>
              <w:bottom w:val="nil"/>
              <w:right w:val="nil"/>
            </w:tcBorders>
            <w:noWrap/>
            <w:tcMar>
              <w:top w:w="15" w:type="dxa"/>
              <w:left w:w="15" w:type="dxa"/>
              <w:bottom w:w="0" w:type="dxa"/>
              <w:right w:w="15" w:type="dxa"/>
            </w:tcMar>
            <w:vAlign w:val="bottom"/>
          </w:tcPr>
          <w:p w14:paraId="6827E402" w14:textId="77777777" w:rsidR="00082E49" w:rsidRPr="00753313" w:rsidRDefault="00082E49" w:rsidP="00082E49">
            <w:pPr>
              <w:rPr>
                <w:rFonts w:eastAsia="Arial Unicode MS"/>
                <w:sz w:val="22"/>
                <w:szCs w:val="22"/>
              </w:rPr>
            </w:pPr>
            <w:r w:rsidRPr="00753313">
              <w:rPr>
                <w:sz w:val="22"/>
                <w:szCs w:val="22"/>
              </w:rPr>
              <w:t>Total</w:t>
            </w:r>
          </w:p>
        </w:tc>
        <w:tc>
          <w:tcPr>
            <w:tcW w:w="1486" w:type="dxa"/>
            <w:tcBorders>
              <w:top w:val="nil"/>
              <w:left w:val="nil"/>
              <w:bottom w:val="double" w:sz="6" w:space="0" w:color="auto"/>
              <w:right w:val="nil"/>
            </w:tcBorders>
            <w:noWrap/>
            <w:tcMar>
              <w:top w:w="15" w:type="dxa"/>
              <w:left w:w="15" w:type="dxa"/>
              <w:bottom w:w="0" w:type="dxa"/>
              <w:right w:w="15" w:type="dxa"/>
            </w:tcMar>
            <w:vAlign w:val="bottom"/>
          </w:tcPr>
          <w:p w14:paraId="5D6315B0" w14:textId="5730A6CC" w:rsidR="00082E49" w:rsidRPr="00F76A95" w:rsidRDefault="007F01AC" w:rsidP="00A47A25">
            <w:pPr>
              <w:ind w:right="75"/>
              <w:jc w:val="right"/>
              <w:rPr>
                <w:rFonts w:eastAsia="Arial Unicode MS"/>
                <w:sz w:val="22"/>
                <w:szCs w:val="22"/>
              </w:rPr>
            </w:pPr>
            <w:r>
              <w:rPr>
                <w:rFonts w:eastAsia="Arial Unicode MS"/>
                <w:sz w:val="22"/>
                <w:szCs w:val="22"/>
              </w:rPr>
              <w:t>5,180,062,003</w:t>
            </w:r>
          </w:p>
        </w:tc>
        <w:tc>
          <w:tcPr>
            <w:tcW w:w="1312" w:type="dxa"/>
            <w:tcBorders>
              <w:top w:val="nil"/>
              <w:left w:val="nil"/>
              <w:bottom w:val="double" w:sz="6" w:space="0" w:color="auto"/>
              <w:right w:val="nil"/>
            </w:tcBorders>
            <w:noWrap/>
            <w:tcMar>
              <w:top w:w="15" w:type="dxa"/>
              <w:left w:w="15" w:type="dxa"/>
              <w:bottom w:w="0" w:type="dxa"/>
              <w:right w:w="15" w:type="dxa"/>
            </w:tcMar>
            <w:vAlign w:val="bottom"/>
          </w:tcPr>
          <w:p w14:paraId="3D43EF88" w14:textId="011A1ECF" w:rsidR="00082E49" w:rsidRPr="00F76A95" w:rsidRDefault="007F01AC">
            <w:pPr>
              <w:ind w:right="85"/>
              <w:jc w:val="right"/>
              <w:rPr>
                <w:rFonts w:eastAsia="Arial Unicode MS"/>
                <w:sz w:val="22"/>
                <w:szCs w:val="22"/>
              </w:rPr>
            </w:pPr>
            <w:r>
              <w:rPr>
                <w:rFonts w:eastAsia="Arial Unicode MS"/>
                <w:sz w:val="22"/>
                <w:szCs w:val="22"/>
              </w:rPr>
              <w:t>750,000</w:t>
            </w:r>
          </w:p>
        </w:tc>
        <w:tc>
          <w:tcPr>
            <w:tcW w:w="1419" w:type="dxa"/>
            <w:tcBorders>
              <w:top w:val="nil"/>
              <w:left w:val="nil"/>
              <w:bottom w:val="double" w:sz="6" w:space="0" w:color="auto"/>
              <w:right w:val="nil"/>
            </w:tcBorders>
            <w:noWrap/>
            <w:tcMar>
              <w:top w:w="15" w:type="dxa"/>
              <w:left w:w="15" w:type="dxa"/>
              <w:bottom w:w="0" w:type="dxa"/>
              <w:right w:w="15" w:type="dxa"/>
            </w:tcMar>
            <w:vAlign w:val="bottom"/>
          </w:tcPr>
          <w:p w14:paraId="72491224" w14:textId="64AD3CD0" w:rsidR="00082E49" w:rsidRPr="00753313" w:rsidRDefault="007F01AC">
            <w:pPr>
              <w:ind w:right="95"/>
              <w:jc w:val="right"/>
              <w:rPr>
                <w:rFonts w:eastAsia="Arial Unicode MS"/>
                <w:sz w:val="22"/>
                <w:szCs w:val="22"/>
              </w:rPr>
            </w:pPr>
            <w:r>
              <w:rPr>
                <w:rFonts w:eastAsia="Arial Unicode MS"/>
                <w:sz w:val="22"/>
                <w:szCs w:val="22"/>
              </w:rPr>
              <w:t>5,180,062,003</w:t>
            </w:r>
          </w:p>
        </w:tc>
        <w:tc>
          <w:tcPr>
            <w:tcW w:w="1302" w:type="dxa"/>
            <w:tcBorders>
              <w:top w:val="nil"/>
              <w:left w:val="nil"/>
              <w:bottom w:val="double" w:sz="6" w:space="0" w:color="auto"/>
              <w:right w:val="nil"/>
            </w:tcBorders>
            <w:noWrap/>
            <w:tcMar>
              <w:top w:w="15" w:type="dxa"/>
              <w:left w:w="15" w:type="dxa"/>
              <w:bottom w:w="0" w:type="dxa"/>
              <w:right w:w="15" w:type="dxa"/>
            </w:tcMar>
            <w:vAlign w:val="bottom"/>
          </w:tcPr>
          <w:p w14:paraId="7849D1D5" w14:textId="6C10F025" w:rsidR="00082E49" w:rsidRPr="00753313" w:rsidRDefault="007F01AC">
            <w:pPr>
              <w:ind w:right="85"/>
              <w:jc w:val="right"/>
              <w:rPr>
                <w:rFonts w:eastAsia="Arial Unicode MS"/>
                <w:sz w:val="22"/>
                <w:szCs w:val="22"/>
              </w:rPr>
            </w:pPr>
            <w:r>
              <w:rPr>
                <w:rFonts w:eastAsia="Arial Unicode MS"/>
                <w:sz w:val="22"/>
                <w:szCs w:val="22"/>
              </w:rPr>
              <w:t>750,000</w:t>
            </w:r>
          </w:p>
        </w:tc>
      </w:tr>
    </w:tbl>
    <w:p w14:paraId="022EC532" w14:textId="77777777" w:rsidR="00082E49" w:rsidRPr="00753313" w:rsidRDefault="00082E49" w:rsidP="00082E49">
      <w:pPr>
        <w:pStyle w:val="BodyText3"/>
        <w:rPr>
          <w:b w:val="0"/>
          <w:bCs/>
          <w:sz w:val="22"/>
          <w:szCs w:val="22"/>
        </w:rPr>
      </w:pPr>
    </w:p>
    <w:tbl>
      <w:tblPr>
        <w:tblW w:w="9907" w:type="dxa"/>
        <w:tblLayout w:type="fixed"/>
        <w:tblCellMar>
          <w:left w:w="0" w:type="dxa"/>
          <w:right w:w="0" w:type="dxa"/>
        </w:tblCellMar>
        <w:tblLook w:val="0000" w:firstRow="0" w:lastRow="0" w:firstColumn="0" w:lastColumn="0" w:noHBand="0" w:noVBand="0"/>
      </w:tblPr>
      <w:tblGrid>
        <w:gridCol w:w="4388"/>
        <w:gridCol w:w="1486"/>
        <w:gridCol w:w="1312"/>
        <w:gridCol w:w="1419"/>
        <w:gridCol w:w="1302"/>
      </w:tblGrid>
      <w:tr w:rsidR="00C5552A" w:rsidRPr="00753313" w14:paraId="4E207717"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292D3C61" w14:textId="77777777" w:rsidR="00C5552A" w:rsidRPr="00753313" w:rsidRDefault="00C5552A" w:rsidP="00D05E45">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4772299B" w14:textId="759769C1" w:rsidR="00C5552A" w:rsidRPr="00F76A95" w:rsidRDefault="0003624D" w:rsidP="00656716">
            <w:pPr>
              <w:ind w:right="75"/>
              <w:jc w:val="right"/>
              <w:rPr>
                <w:rFonts w:eastAsia="Arial Unicode MS"/>
                <w:b/>
                <w:bCs/>
                <w:sz w:val="22"/>
                <w:szCs w:val="22"/>
              </w:rPr>
            </w:pPr>
            <w:r>
              <w:rPr>
                <w:b/>
                <w:bCs/>
                <w:sz w:val="22"/>
                <w:szCs w:val="22"/>
              </w:rPr>
              <w:t xml:space="preserve">Dec </w:t>
            </w:r>
            <w:r w:rsidR="00EF34B7" w:rsidRPr="00F76A95">
              <w:rPr>
                <w:b/>
                <w:bCs/>
                <w:sz w:val="22"/>
                <w:szCs w:val="22"/>
              </w:rPr>
              <w:t>20</w:t>
            </w:r>
            <w:r w:rsidR="00EF34B7">
              <w:rPr>
                <w:b/>
                <w:bCs/>
                <w:sz w:val="22"/>
                <w:szCs w:val="22"/>
              </w:rPr>
              <w:t>20</w:t>
            </w:r>
          </w:p>
        </w:tc>
        <w:tc>
          <w:tcPr>
            <w:tcW w:w="1312" w:type="dxa"/>
            <w:tcBorders>
              <w:top w:val="nil"/>
              <w:left w:val="nil"/>
              <w:bottom w:val="nil"/>
              <w:right w:val="nil"/>
            </w:tcBorders>
            <w:noWrap/>
            <w:tcMar>
              <w:top w:w="15" w:type="dxa"/>
              <w:left w:w="15" w:type="dxa"/>
              <w:bottom w:w="0" w:type="dxa"/>
              <w:right w:w="15" w:type="dxa"/>
            </w:tcMar>
            <w:vAlign w:val="bottom"/>
          </w:tcPr>
          <w:p w14:paraId="01B30D62" w14:textId="01CFC03E" w:rsidR="00C5552A" w:rsidRPr="00F76A95" w:rsidRDefault="0003624D" w:rsidP="00656716">
            <w:pPr>
              <w:ind w:right="85"/>
              <w:jc w:val="right"/>
              <w:rPr>
                <w:rFonts w:eastAsia="Arial Unicode MS"/>
                <w:b/>
                <w:bCs/>
                <w:sz w:val="22"/>
                <w:szCs w:val="22"/>
              </w:rPr>
            </w:pPr>
            <w:r>
              <w:rPr>
                <w:b/>
                <w:bCs/>
                <w:sz w:val="22"/>
                <w:szCs w:val="22"/>
              </w:rPr>
              <w:t xml:space="preserve">Dec </w:t>
            </w:r>
            <w:r w:rsidR="00EF34B7" w:rsidRPr="00F76A95">
              <w:rPr>
                <w:b/>
                <w:bCs/>
                <w:sz w:val="22"/>
                <w:szCs w:val="22"/>
              </w:rPr>
              <w:t>20</w:t>
            </w:r>
            <w:r w:rsidR="00EF34B7">
              <w:rPr>
                <w:b/>
                <w:bCs/>
                <w:sz w:val="22"/>
                <w:szCs w:val="22"/>
              </w:rPr>
              <w:t>20</w:t>
            </w:r>
          </w:p>
        </w:tc>
        <w:tc>
          <w:tcPr>
            <w:tcW w:w="1419" w:type="dxa"/>
            <w:tcBorders>
              <w:top w:val="nil"/>
              <w:left w:val="nil"/>
              <w:bottom w:val="nil"/>
              <w:right w:val="nil"/>
            </w:tcBorders>
            <w:noWrap/>
            <w:tcMar>
              <w:top w:w="15" w:type="dxa"/>
              <w:left w:w="15" w:type="dxa"/>
              <w:bottom w:w="0" w:type="dxa"/>
              <w:right w:w="15" w:type="dxa"/>
            </w:tcMar>
            <w:vAlign w:val="bottom"/>
          </w:tcPr>
          <w:p w14:paraId="4D15158F" w14:textId="065CCFEC" w:rsidR="00C5552A" w:rsidRPr="00753313" w:rsidRDefault="00EF34B7" w:rsidP="00656716">
            <w:pPr>
              <w:ind w:right="95"/>
              <w:jc w:val="right"/>
              <w:rPr>
                <w:rFonts w:eastAsia="Arial Unicode MS"/>
                <w:b/>
                <w:bCs/>
                <w:sz w:val="22"/>
                <w:szCs w:val="22"/>
              </w:rPr>
            </w:pPr>
            <w:r>
              <w:rPr>
                <w:b/>
                <w:bCs/>
                <w:sz w:val="22"/>
                <w:szCs w:val="22"/>
              </w:rPr>
              <w:t xml:space="preserve">Dec </w:t>
            </w:r>
            <w:r w:rsidR="00C5552A" w:rsidRPr="00F76A95">
              <w:rPr>
                <w:b/>
                <w:bCs/>
                <w:sz w:val="22"/>
                <w:szCs w:val="22"/>
              </w:rPr>
              <w:t>201</w:t>
            </w:r>
            <w:r w:rsidR="0003624D">
              <w:rPr>
                <w:b/>
                <w:bCs/>
                <w:sz w:val="22"/>
                <w:szCs w:val="22"/>
              </w:rPr>
              <w:t>9</w:t>
            </w:r>
          </w:p>
        </w:tc>
        <w:tc>
          <w:tcPr>
            <w:tcW w:w="1302" w:type="dxa"/>
            <w:tcBorders>
              <w:top w:val="nil"/>
              <w:left w:val="nil"/>
              <w:bottom w:val="nil"/>
              <w:right w:val="nil"/>
            </w:tcBorders>
            <w:noWrap/>
            <w:tcMar>
              <w:top w:w="15" w:type="dxa"/>
              <w:left w:w="15" w:type="dxa"/>
              <w:bottom w:w="0" w:type="dxa"/>
              <w:right w:w="15" w:type="dxa"/>
            </w:tcMar>
            <w:vAlign w:val="bottom"/>
          </w:tcPr>
          <w:p w14:paraId="3CE8E831" w14:textId="12F9EE9D" w:rsidR="00C5552A" w:rsidRPr="00753313" w:rsidRDefault="00EF34B7" w:rsidP="00656716">
            <w:pPr>
              <w:ind w:right="85"/>
              <w:jc w:val="right"/>
              <w:rPr>
                <w:rFonts w:eastAsia="Arial Unicode MS"/>
                <w:b/>
                <w:bCs/>
                <w:sz w:val="22"/>
                <w:szCs w:val="22"/>
              </w:rPr>
            </w:pPr>
            <w:r>
              <w:rPr>
                <w:b/>
                <w:bCs/>
                <w:sz w:val="22"/>
                <w:szCs w:val="22"/>
              </w:rPr>
              <w:t xml:space="preserve">Dec </w:t>
            </w:r>
            <w:r w:rsidR="00C5552A" w:rsidRPr="00F76A95">
              <w:rPr>
                <w:b/>
                <w:bCs/>
                <w:sz w:val="22"/>
                <w:szCs w:val="22"/>
              </w:rPr>
              <w:t>201</w:t>
            </w:r>
            <w:r w:rsidR="0003624D">
              <w:rPr>
                <w:b/>
                <w:bCs/>
                <w:sz w:val="22"/>
                <w:szCs w:val="22"/>
              </w:rPr>
              <w:t>9</w:t>
            </w:r>
          </w:p>
        </w:tc>
      </w:tr>
      <w:tr w:rsidR="00C5552A" w:rsidRPr="00753313" w14:paraId="15D377F2"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4E859EA5" w14:textId="77777777" w:rsidR="00C5552A" w:rsidRPr="00753313" w:rsidRDefault="00C5552A" w:rsidP="00D05E45">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7724125B" w14:textId="77777777" w:rsidR="00C5552A" w:rsidRPr="00F76A95" w:rsidRDefault="00C5552A" w:rsidP="00656716">
            <w:pPr>
              <w:ind w:right="75"/>
              <w:jc w:val="right"/>
              <w:rPr>
                <w:rFonts w:eastAsia="Arial Unicode MS"/>
                <w:b/>
                <w:bCs/>
                <w:sz w:val="22"/>
                <w:szCs w:val="22"/>
              </w:rPr>
            </w:pPr>
            <w:r w:rsidRPr="00F76A95">
              <w:rPr>
                <w:b/>
                <w:bCs/>
                <w:sz w:val="22"/>
                <w:szCs w:val="22"/>
              </w:rPr>
              <w:t>Number</w:t>
            </w:r>
          </w:p>
        </w:tc>
        <w:tc>
          <w:tcPr>
            <w:tcW w:w="1312" w:type="dxa"/>
            <w:tcBorders>
              <w:top w:val="nil"/>
              <w:left w:val="nil"/>
              <w:bottom w:val="nil"/>
              <w:right w:val="nil"/>
            </w:tcBorders>
            <w:noWrap/>
            <w:tcMar>
              <w:top w:w="15" w:type="dxa"/>
              <w:left w:w="15" w:type="dxa"/>
              <w:bottom w:w="0" w:type="dxa"/>
              <w:right w:w="15" w:type="dxa"/>
            </w:tcMar>
            <w:vAlign w:val="bottom"/>
          </w:tcPr>
          <w:p w14:paraId="3DE114E9" w14:textId="77777777" w:rsidR="00C5552A" w:rsidRPr="00F76A95" w:rsidRDefault="00C5552A" w:rsidP="00656716">
            <w:pPr>
              <w:ind w:right="85"/>
              <w:jc w:val="right"/>
              <w:rPr>
                <w:rFonts w:eastAsia="Arial Unicode MS"/>
                <w:b/>
                <w:bCs/>
                <w:sz w:val="22"/>
                <w:szCs w:val="22"/>
              </w:rPr>
            </w:pPr>
          </w:p>
        </w:tc>
        <w:tc>
          <w:tcPr>
            <w:tcW w:w="1419" w:type="dxa"/>
            <w:tcBorders>
              <w:top w:val="nil"/>
              <w:left w:val="nil"/>
              <w:bottom w:val="nil"/>
              <w:right w:val="nil"/>
            </w:tcBorders>
            <w:noWrap/>
            <w:tcMar>
              <w:top w:w="15" w:type="dxa"/>
              <w:left w:w="15" w:type="dxa"/>
              <w:bottom w:w="0" w:type="dxa"/>
              <w:right w:w="15" w:type="dxa"/>
            </w:tcMar>
            <w:vAlign w:val="bottom"/>
          </w:tcPr>
          <w:p w14:paraId="7EEBFF30" w14:textId="77777777" w:rsidR="00C5552A" w:rsidRPr="00753313" w:rsidRDefault="00C5552A" w:rsidP="00656716">
            <w:pPr>
              <w:ind w:right="95"/>
              <w:jc w:val="right"/>
              <w:rPr>
                <w:rFonts w:eastAsia="Arial Unicode MS"/>
                <w:b/>
                <w:bCs/>
                <w:sz w:val="22"/>
                <w:szCs w:val="22"/>
              </w:rPr>
            </w:pPr>
            <w:r w:rsidRPr="00F76A95">
              <w:rPr>
                <w:b/>
                <w:bCs/>
                <w:sz w:val="22"/>
                <w:szCs w:val="22"/>
              </w:rPr>
              <w:t>Number</w:t>
            </w:r>
          </w:p>
        </w:tc>
        <w:tc>
          <w:tcPr>
            <w:tcW w:w="1302" w:type="dxa"/>
            <w:tcBorders>
              <w:top w:val="nil"/>
              <w:left w:val="nil"/>
              <w:bottom w:val="nil"/>
              <w:right w:val="nil"/>
            </w:tcBorders>
            <w:noWrap/>
            <w:tcMar>
              <w:top w:w="15" w:type="dxa"/>
              <w:left w:w="15" w:type="dxa"/>
              <w:bottom w:w="0" w:type="dxa"/>
              <w:right w:w="15" w:type="dxa"/>
            </w:tcMar>
            <w:vAlign w:val="bottom"/>
          </w:tcPr>
          <w:p w14:paraId="3EA9DEC1" w14:textId="77777777" w:rsidR="00C5552A" w:rsidRPr="00753313" w:rsidRDefault="00C5552A" w:rsidP="00656716">
            <w:pPr>
              <w:ind w:right="85"/>
              <w:jc w:val="right"/>
              <w:rPr>
                <w:rFonts w:eastAsia="Arial Unicode MS"/>
                <w:b/>
                <w:bCs/>
                <w:sz w:val="22"/>
                <w:szCs w:val="22"/>
              </w:rPr>
            </w:pPr>
          </w:p>
        </w:tc>
      </w:tr>
      <w:tr w:rsidR="00C5552A" w:rsidRPr="00753313" w14:paraId="0B373C11"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6CAD2C9E" w14:textId="77777777" w:rsidR="00C5552A" w:rsidRPr="00753313" w:rsidRDefault="00C5552A" w:rsidP="00D05E45">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4A95A1F5" w14:textId="77777777" w:rsidR="00C5552A" w:rsidRPr="00F76A95" w:rsidRDefault="00C5552A" w:rsidP="00656716">
            <w:pPr>
              <w:ind w:right="75"/>
              <w:jc w:val="right"/>
              <w:rPr>
                <w:rFonts w:eastAsia="Arial Unicode MS"/>
                <w:b/>
                <w:bCs/>
                <w:sz w:val="22"/>
                <w:szCs w:val="22"/>
              </w:rPr>
            </w:pPr>
            <w:r w:rsidRPr="00F76A95">
              <w:rPr>
                <w:b/>
                <w:bCs/>
                <w:sz w:val="22"/>
                <w:szCs w:val="22"/>
              </w:rPr>
              <w:t>of shares</w:t>
            </w:r>
          </w:p>
        </w:tc>
        <w:tc>
          <w:tcPr>
            <w:tcW w:w="1312" w:type="dxa"/>
            <w:tcBorders>
              <w:top w:val="nil"/>
              <w:left w:val="nil"/>
              <w:bottom w:val="nil"/>
              <w:right w:val="nil"/>
            </w:tcBorders>
            <w:noWrap/>
            <w:tcMar>
              <w:top w:w="15" w:type="dxa"/>
              <w:left w:w="15" w:type="dxa"/>
              <w:bottom w:w="0" w:type="dxa"/>
              <w:right w:w="15" w:type="dxa"/>
            </w:tcMar>
            <w:vAlign w:val="bottom"/>
          </w:tcPr>
          <w:p w14:paraId="697317E2" w14:textId="77777777" w:rsidR="00C5552A" w:rsidRPr="00F76A95" w:rsidRDefault="00C5552A" w:rsidP="00656716">
            <w:pPr>
              <w:ind w:right="85"/>
              <w:jc w:val="right"/>
              <w:rPr>
                <w:rFonts w:eastAsia="Arial Unicode MS"/>
                <w:b/>
                <w:bCs/>
                <w:sz w:val="22"/>
                <w:szCs w:val="22"/>
              </w:rPr>
            </w:pPr>
            <w:r w:rsidRPr="00F76A95">
              <w:rPr>
                <w:b/>
                <w:bCs/>
                <w:sz w:val="22"/>
                <w:szCs w:val="22"/>
              </w:rPr>
              <w:t>£</w:t>
            </w:r>
          </w:p>
        </w:tc>
        <w:tc>
          <w:tcPr>
            <w:tcW w:w="1419" w:type="dxa"/>
            <w:tcBorders>
              <w:top w:val="nil"/>
              <w:left w:val="nil"/>
              <w:bottom w:val="nil"/>
              <w:right w:val="nil"/>
            </w:tcBorders>
            <w:noWrap/>
            <w:tcMar>
              <w:top w:w="15" w:type="dxa"/>
              <w:left w:w="15" w:type="dxa"/>
              <w:bottom w:w="0" w:type="dxa"/>
              <w:right w:w="15" w:type="dxa"/>
            </w:tcMar>
            <w:vAlign w:val="bottom"/>
          </w:tcPr>
          <w:p w14:paraId="7F6817CF" w14:textId="77777777" w:rsidR="00C5552A" w:rsidRPr="00753313" w:rsidRDefault="00C5552A" w:rsidP="00656716">
            <w:pPr>
              <w:ind w:right="95"/>
              <w:jc w:val="right"/>
              <w:rPr>
                <w:rFonts w:eastAsia="Arial Unicode MS"/>
                <w:b/>
                <w:bCs/>
                <w:sz w:val="22"/>
                <w:szCs w:val="22"/>
              </w:rPr>
            </w:pPr>
            <w:r w:rsidRPr="00F76A95">
              <w:rPr>
                <w:b/>
                <w:bCs/>
                <w:sz w:val="22"/>
                <w:szCs w:val="22"/>
              </w:rPr>
              <w:t>of shares</w:t>
            </w:r>
          </w:p>
        </w:tc>
        <w:tc>
          <w:tcPr>
            <w:tcW w:w="1302" w:type="dxa"/>
            <w:tcBorders>
              <w:top w:val="nil"/>
              <w:left w:val="nil"/>
              <w:bottom w:val="nil"/>
              <w:right w:val="nil"/>
            </w:tcBorders>
            <w:noWrap/>
            <w:tcMar>
              <w:top w:w="15" w:type="dxa"/>
              <w:left w:w="15" w:type="dxa"/>
              <w:bottom w:w="0" w:type="dxa"/>
              <w:right w:w="15" w:type="dxa"/>
            </w:tcMar>
            <w:vAlign w:val="bottom"/>
          </w:tcPr>
          <w:p w14:paraId="576650D1" w14:textId="77777777" w:rsidR="00C5552A" w:rsidRPr="00753313" w:rsidRDefault="00C5552A" w:rsidP="00656716">
            <w:pPr>
              <w:ind w:right="85"/>
              <w:jc w:val="right"/>
              <w:rPr>
                <w:rFonts w:eastAsia="Arial Unicode MS"/>
                <w:b/>
                <w:bCs/>
                <w:sz w:val="22"/>
                <w:szCs w:val="22"/>
              </w:rPr>
            </w:pPr>
            <w:r w:rsidRPr="00F76A95">
              <w:rPr>
                <w:b/>
                <w:bCs/>
                <w:sz w:val="22"/>
                <w:szCs w:val="22"/>
              </w:rPr>
              <w:t>£</w:t>
            </w:r>
          </w:p>
        </w:tc>
      </w:tr>
      <w:tr w:rsidR="00C5552A" w:rsidRPr="00753313" w14:paraId="4DEE1F01"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61081F5B" w14:textId="20319E4B" w:rsidR="00C5552A" w:rsidRPr="00753313" w:rsidRDefault="00C5552A" w:rsidP="00D05E45">
            <w:pPr>
              <w:rPr>
                <w:rFonts w:eastAsia="Arial Unicode MS"/>
                <w:b/>
                <w:bCs/>
                <w:sz w:val="22"/>
                <w:szCs w:val="22"/>
              </w:rPr>
            </w:pPr>
            <w:r>
              <w:rPr>
                <w:b/>
                <w:bCs/>
                <w:sz w:val="22"/>
                <w:szCs w:val="22"/>
              </w:rPr>
              <w:t>Issued, called up and fully paid</w:t>
            </w:r>
          </w:p>
        </w:tc>
        <w:tc>
          <w:tcPr>
            <w:tcW w:w="1486" w:type="dxa"/>
            <w:tcBorders>
              <w:top w:val="nil"/>
              <w:left w:val="nil"/>
              <w:bottom w:val="nil"/>
              <w:right w:val="nil"/>
            </w:tcBorders>
            <w:noWrap/>
            <w:tcMar>
              <w:top w:w="15" w:type="dxa"/>
              <w:left w:w="15" w:type="dxa"/>
              <w:bottom w:w="0" w:type="dxa"/>
              <w:right w:w="15" w:type="dxa"/>
            </w:tcMar>
            <w:vAlign w:val="bottom"/>
          </w:tcPr>
          <w:p w14:paraId="0FA7D555" w14:textId="77777777" w:rsidR="00C5552A" w:rsidRPr="00F76A95" w:rsidRDefault="00C5552A" w:rsidP="00A47A25">
            <w:pPr>
              <w:ind w:right="75"/>
              <w:jc w:val="right"/>
              <w:rPr>
                <w:rFonts w:eastAsia="Arial Unicode MS"/>
                <w:sz w:val="22"/>
                <w:szCs w:val="22"/>
              </w:rPr>
            </w:pPr>
          </w:p>
        </w:tc>
        <w:tc>
          <w:tcPr>
            <w:tcW w:w="1312" w:type="dxa"/>
            <w:tcBorders>
              <w:top w:val="nil"/>
              <w:left w:val="nil"/>
              <w:bottom w:val="nil"/>
              <w:right w:val="nil"/>
            </w:tcBorders>
            <w:noWrap/>
            <w:tcMar>
              <w:top w:w="15" w:type="dxa"/>
              <w:left w:w="15" w:type="dxa"/>
              <w:bottom w:w="0" w:type="dxa"/>
              <w:right w:w="15" w:type="dxa"/>
            </w:tcMar>
            <w:vAlign w:val="bottom"/>
          </w:tcPr>
          <w:p w14:paraId="34AFC73E" w14:textId="77777777" w:rsidR="00C5552A" w:rsidRPr="00F76A95" w:rsidRDefault="00C5552A" w:rsidP="00656716">
            <w:pPr>
              <w:ind w:right="85"/>
              <w:jc w:val="right"/>
              <w:rPr>
                <w:rFonts w:eastAsia="Arial Unicode MS"/>
                <w:sz w:val="22"/>
                <w:szCs w:val="22"/>
              </w:rPr>
            </w:pPr>
          </w:p>
        </w:tc>
        <w:tc>
          <w:tcPr>
            <w:tcW w:w="1419" w:type="dxa"/>
            <w:tcBorders>
              <w:top w:val="nil"/>
              <w:left w:val="nil"/>
              <w:bottom w:val="nil"/>
              <w:right w:val="nil"/>
            </w:tcBorders>
            <w:noWrap/>
            <w:tcMar>
              <w:top w:w="15" w:type="dxa"/>
              <w:left w:w="15" w:type="dxa"/>
              <w:bottom w:w="0" w:type="dxa"/>
              <w:right w:w="15" w:type="dxa"/>
            </w:tcMar>
            <w:vAlign w:val="bottom"/>
          </w:tcPr>
          <w:p w14:paraId="567B5330" w14:textId="77777777" w:rsidR="00C5552A" w:rsidRPr="00753313" w:rsidRDefault="00C5552A" w:rsidP="00656716">
            <w:pPr>
              <w:ind w:right="95"/>
              <w:jc w:val="right"/>
              <w:rPr>
                <w:rFonts w:eastAsia="Arial Unicode MS"/>
                <w:sz w:val="22"/>
                <w:szCs w:val="22"/>
              </w:rPr>
            </w:pPr>
          </w:p>
        </w:tc>
        <w:tc>
          <w:tcPr>
            <w:tcW w:w="1302" w:type="dxa"/>
            <w:tcBorders>
              <w:top w:val="nil"/>
              <w:left w:val="nil"/>
              <w:bottom w:val="nil"/>
              <w:right w:val="nil"/>
            </w:tcBorders>
            <w:noWrap/>
            <w:tcMar>
              <w:top w:w="15" w:type="dxa"/>
              <w:left w:w="15" w:type="dxa"/>
              <w:bottom w:w="0" w:type="dxa"/>
              <w:right w:w="15" w:type="dxa"/>
            </w:tcMar>
            <w:vAlign w:val="bottom"/>
          </w:tcPr>
          <w:p w14:paraId="54334515" w14:textId="77777777" w:rsidR="00C5552A" w:rsidRPr="00753313" w:rsidRDefault="00C5552A" w:rsidP="00656716">
            <w:pPr>
              <w:ind w:right="85"/>
              <w:jc w:val="right"/>
              <w:rPr>
                <w:rFonts w:eastAsia="Arial Unicode MS"/>
                <w:sz w:val="22"/>
                <w:szCs w:val="22"/>
              </w:rPr>
            </w:pPr>
          </w:p>
        </w:tc>
      </w:tr>
      <w:tr w:rsidR="00C5552A" w:rsidRPr="00753313" w14:paraId="061295B7"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4328442D" w14:textId="4AFF81E0" w:rsidR="00C5552A" w:rsidRPr="00753313" w:rsidRDefault="00C5552A" w:rsidP="00D05E45">
            <w:pPr>
              <w:rPr>
                <w:rFonts w:eastAsia="Arial Unicode MS"/>
                <w:sz w:val="22"/>
                <w:szCs w:val="22"/>
              </w:rPr>
            </w:pPr>
            <w:r w:rsidRPr="00753313">
              <w:rPr>
                <w:sz w:val="22"/>
                <w:szCs w:val="22"/>
              </w:rPr>
              <w:t xml:space="preserve">Ordinary shares of </w:t>
            </w:r>
            <w:r w:rsidR="000528E3">
              <w:rPr>
                <w:sz w:val="22"/>
                <w:szCs w:val="22"/>
              </w:rPr>
              <w:t>£</w:t>
            </w:r>
            <w:r w:rsidRPr="00753313">
              <w:rPr>
                <w:sz w:val="22"/>
                <w:szCs w:val="22"/>
              </w:rPr>
              <w:t>0.</w:t>
            </w:r>
            <w:r>
              <w:rPr>
                <w:sz w:val="22"/>
                <w:szCs w:val="22"/>
              </w:rPr>
              <w:t>000</w:t>
            </w:r>
            <w:r w:rsidRPr="00753313">
              <w:rPr>
                <w:sz w:val="22"/>
                <w:szCs w:val="22"/>
              </w:rPr>
              <w:t xml:space="preserve">1 </w:t>
            </w:r>
          </w:p>
        </w:tc>
        <w:tc>
          <w:tcPr>
            <w:tcW w:w="1486" w:type="dxa"/>
            <w:tcBorders>
              <w:top w:val="nil"/>
              <w:left w:val="nil"/>
              <w:bottom w:val="nil"/>
              <w:right w:val="nil"/>
            </w:tcBorders>
            <w:noWrap/>
            <w:tcMar>
              <w:top w:w="15" w:type="dxa"/>
              <w:left w:w="15" w:type="dxa"/>
              <w:bottom w:w="0" w:type="dxa"/>
              <w:right w:w="15" w:type="dxa"/>
            </w:tcMar>
            <w:vAlign w:val="bottom"/>
          </w:tcPr>
          <w:p w14:paraId="7ACC51E1" w14:textId="429225D4" w:rsidR="00C5552A" w:rsidRPr="00F76A95" w:rsidRDefault="00EF34B7" w:rsidP="00A47A25">
            <w:pPr>
              <w:ind w:right="75"/>
              <w:jc w:val="right"/>
              <w:rPr>
                <w:rFonts w:eastAsia="Arial Unicode MS"/>
                <w:sz w:val="22"/>
                <w:szCs w:val="22"/>
              </w:rPr>
            </w:pPr>
            <w:r>
              <w:rPr>
                <w:rFonts w:eastAsia="Arial Unicode MS"/>
                <w:sz w:val="22"/>
                <w:szCs w:val="22"/>
              </w:rPr>
              <w:t>371,409,433</w:t>
            </w:r>
          </w:p>
        </w:tc>
        <w:tc>
          <w:tcPr>
            <w:tcW w:w="1312" w:type="dxa"/>
            <w:tcBorders>
              <w:top w:val="nil"/>
              <w:left w:val="nil"/>
              <w:bottom w:val="nil"/>
              <w:right w:val="nil"/>
            </w:tcBorders>
            <w:noWrap/>
            <w:tcMar>
              <w:top w:w="15" w:type="dxa"/>
              <w:left w:w="15" w:type="dxa"/>
              <w:bottom w:w="0" w:type="dxa"/>
              <w:right w:w="15" w:type="dxa"/>
            </w:tcMar>
            <w:vAlign w:val="bottom"/>
          </w:tcPr>
          <w:p w14:paraId="0B6E1549" w14:textId="2601119A" w:rsidR="00C5552A" w:rsidRPr="00F76A95" w:rsidRDefault="00EF34B7">
            <w:pPr>
              <w:ind w:right="85"/>
              <w:jc w:val="right"/>
              <w:rPr>
                <w:rFonts w:eastAsia="Arial Unicode MS"/>
                <w:sz w:val="22"/>
                <w:szCs w:val="22"/>
              </w:rPr>
            </w:pPr>
            <w:r>
              <w:rPr>
                <w:rFonts w:eastAsia="Arial Unicode MS"/>
                <w:sz w:val="22"/>
                <w:szCs w:val="22"/>
              </w:rPr>
              <w:t>37,141</w:t>
            </w:r>
          </w:p>
        </w:tc>
        <w:tc>
          <w:tcPr>
            <w:tcW w:w="1419" w:type="dxa"/>
            <w:tcBorders>
              <w:top w:val="nil"/>
              <w:left w:val="nil"/>
              <w:bottom w:val="nil"/>
              <w:right w:val="nil"/>
            </w:tcBorders>
            <w:noWrap/>
            <w:tcMar>
              <w:top w:w="15" w:type="dxa"/>
              <w:left w:w="15" w:type="dxa"/>
              <w:bottom w:w="0" w:type="dxa"/>
              <w:right w:w="15" w:type="dxa"/>
            </w:tcMar>
            <w:vAlign w:val="bottom"/>
          </w:tcPr>
          <w:p w14:paraId="19333E67" w14:textId="781F8253" w:rsidR="00C5552A" w:rsidRPr="00753313" w:rsidRDefault="00EF34B7">
            <w:pPr>
              <w:ind w:right="95"/>
              <w:jc w:val="right"/>
              <w:rPr>
                <w:rFonts w:eastAsia="Arial Unicode MS"/>
                <w:sz w:val="22"/>
                <w:szCs w:val="22"/>
              </w:rPr>
            </w:pPr>
            <w:r>
              <w:rPr>
                <w:rFonts w:eastAsia="Arial Unicode MS"/>
                <w:sz w:val="22"/>
                <w:szCs w:val="22"/>
              </w:rPr>
              <w:t>359,742,767</w:t>
            </w:r>
          </w:p>
        </w:tc>
        <w:tc>
          <w:tcPr>
            <w:tcW w:w="1302" w:type="dxa"/>
            <w:tcBorders>
              <w:top w:val="nil"/>
              <w:left w:val="nil"/>
              <w:bottom w:val="nil"/>
              <w:right w:val="nil"/>
            </w:tcBorders>
            <w:noWrap/>
            <w:tcMar>
              <w:top w:w="15" w:type="dxa"/>
              <w:left w:w="15" w:type="dxa"/>
              <w:bottom w:w="0" w:type="dxa"/>
              <w:right w:w="15" w:type="dxa"/>
            </w:tcMar>
            <w:vAlign w:val="bottom"/>
          </w:tcPr>
          <w:p w14:paraId="5DEDC7B0" w14:textId="6D72C430" w:rsidR="00C5552A" w:rsidRPr="00753313" w:rsidRDefault="00EF34B7">
            <w:pPr>
              <w:ind w:right="85"/>
              <w:jc w:val="right"/>
              <w:rPr>
                <w:rFonts w:eastAsia="Arial Unicode MS"/>
                <w:sz w:val="22"/>
                <w:szCs w:val="22"/>
              </w:rPr>
            </w:pPr>
            <w:r>
              <w:rPr>
                <w:rFonts w:eastAsia="Arial Unicode MS"/>
                <w:sz w:val="22"/>
                <w:szCs w:val="22"/>
              </w:rPr>
              <w:t>35,974</w:t>
            </w:r>
          </w:p>
        </w:tc>
      </w:tr>
      <w:tr w:rsidR="00C5552A" w:rsidRPr="00753313" w14:paraId="07385297" w14:textId="77777777" w:rsidTr="00D05E45">
        <w:trPr>
          <w:trHeight w:val="292"/>
        </w:trPr>
        <w:tc>
          <w:tcPr>
            <w:tcW w:w="4388" w:type="dxa"/>
            <w:tcBorders>
              <w:top w:val="nil"/>
              <w:left w:val="nil"/>
              <w:bottom w:val="nil"/>
              <w:right w:val="nil"/>
            </w:tcBorders>
            <w:noWrap/>
            <w:tcMar>
              <w:top w:w="15" w:type="dxa"/>
              <w:left w:w="15" w:type="dxa"/>
              <w:bottom w:w="0" w:type="dxa"/>
              <w:right w:w="15" w:type="dxa"/>
            </w:tcMar>
            <w:vAlign w:val="bottom"/>
          </w:tcPr>
          <w:p w14:paraId="12063ABE" w14:textId="1007A0BA" w:rsidR="00C5552A" w:rsidRPr="00753313" w:rsidRDefault="00C5552A" w:rsidP="00D05E45">
            <w:pPr>
              <w:rPr>
                <w:rFonts w:eastAsia="Arial Unicode MS"/>
                <w:sz w:val="22"/>
                <w:szCs w:val="22"/>
              </w:rPr>
            </w:pPr>
            <w:r w:rsidRPr="00753313">
              <w:rPr>
                <w:sz w:val="22"/>
                <w:szCs w:val="22"/>
              </w:rPr>
              <w:t xml:space="preserve">Deferred shares of </w:t>
            </w:r>
            <w:r w:rsidR="000528E3">
              <w:rPr>
                <w:sz w:val="22"/>
                <w:szCs w:val="22"/>
              </w:rPr>
              <w:t>£</w:t>
            </w:r>
            <w:r w:rsidRPr="00753313">
              <w:rPr>
                <w:sz w:val="22"/>
                <w:szCs w:val="22"/>
              </w:rPr>
              <w:t>0.</w:t>
            </w:r>
            <w:r>
              <w:rPr>
                <w:sz w:val="22"/>
                <w:szCs w:val="22"/>
              </w:rPr>
              <w:t>004</w:t>
            </w:r>
            <w:r w:rsidRPr="00753313">
              <w:rPr>
                <w:sz w:val="22"/>
                <w:szCs w:val="22"/>
              </w:rPr>
              <w:t xml:space="preserve">9 </w:t>
            </w:r>
          </w:p>
        </w:tc>
        <w:tc>
          <w:tcPr>
            <w:tcW w:w="1486" w:type="dxa"/>
            <w:tcBorders>
              <w:top w:val="nil"/>
              <w:left w:val="nil"/>
              <w:bottom w:val="single" w:sz="4" w:space="0" w:color="auto"/>
              <w:right w:val="nil"/>
            </w:tcBorders>
            <w:noWrap/>
            <w:tcMar>
              <w:top w:w="15" w:type="dxa"/>
              <w:left w:w="15" w:type="dxa"/>
              <w:bottom w:w="0" w:type="dxa"/>
              <w:right w:w="15" w:type="dxa"/>
            </w:tcMar>
            <w:vAlign w:val="bottom"/>
          </w:tcPr>
          <w:p w14:paraId="1408336A" w14:textId="77777777" w:rsidR="00C5552A" w:rsidRPr="00F76A95" w:rsidRDefault="00C5552A" w:rsidP="00A47A25">
            <w:pPr>
              <w:ind w:right="75"/>
              <w:jc w:val="right"/>
              <w:rPr>
                <w:rFonts w:eastAsia="Arial Unicode MS"/>
                <w:sz w:val="22"/>
                <w:szCs w:val="22"/>
              </w:rPr>
            </w:pPr>
            <w:r>
              <w:rPr>
                <w:rFonts w:eastAsia="Arial Unicode MS"/>
                <w:sz w:val="22"/>
                <w:szCs w:val="22"/>
              </w:rPr>
              <w:t>48,332,003</w:t>
            </w:r>
          </w:p>
        </w:tc>
        <w:tc>
          <w:tcPr>
            <w:tcW w:w="1312" w:type="dxa"/>
            <w:tcBorders>
              <w:top w:val="nil"/>
              <w:left w:val="nil"/>
              <w:bottom w:val="single" w:sz="4" w:space="0" w:color="auto"/>
              <w:right w:val="nil"/>
            </w:tcBorders>
            <w:noWrap/>
            <w:tcMar>
              <w:top w:w="15" w:type="dxa"/>
              <w:left w:w="15" w:type="dxa"/>
              <w:bottom w:w="0" w:type="dxa"/>
              <w:right w:w="15" w:type="dxa"/>
            </w:tcMar>
            <w:vAlign w:val="bottom"/>
          </w:tcPr>
          <w:p w14:paraId="19A91951" w14:textId="77777777" w:rsidR="00C5552A" w:rsidRPr="00F76A95" w:rsidRDefault="00C5552A">
            <w:pPr>
              <w:ind w:right="85"/>
              <w:jc w:val="right"/>
              <w:rPr>
                <w:rFonts w:eastAsia="Arial Unicode MS"/>
                <w:sz w:val="22"/>
                <w:szCs w:val="22"/>
              </w:rPr>
            </w:pPr>
            <w:r>
              <w:rPr>
                <w:rFonts w:eastAsia="Arial Unicode MS"/>
                <w:sz w:val="22"/>
                <w:szCs w:val="22"/>
              </w:rPr>
              <w:t>236,827</w:t>
            </w:r>
          </w:p>
        </w:tc>
        <w:tc>
          <w:tcPr>
            <w:tcW w:w="1419" w:type="dxa"/>
            <w:tcBorders>
              <w:top w:val="nil"/>
              <w:left w:val="nil"/>
              <w:bottom w:val="single" w:sz="4" w:space="0" w:color="auto"/>
              <w:right w:val="nil"/>
            </w:tcBorders>
            <w:noWrap/>
            <w:tcMar>
              <w:top w:w="15" w:type="dxa"/>
              <w:left w:w="15" w:type="dxa"/>
              <w:bottom w:w="0" w:type="dxa"/>
              <w:right w:w="15" w:type="dxa"/>
            </w:tcMar>
            <w:vAlign w:val="bottom"/>
          </w:tcPr>
          <w:p w14:paraId="073CE78F" w14:textId="77777777" w:rsidR="00C5552A" w:rsidRPr="00753313" w:rsidRDefault="00C5552A">
            <w:pPr>
              <w:ind w:right="95"/>
              <w:jc w:val="right"/>
              <w:rPr>
                <w:rFonts w:eastAsia="Arial Unicode MS"/>
                <w:sz w:val="22"/>
                <w:szCs w:val="22"/>
              </w:rPr>
            </w:pPr>
            <w:r>
              <w:rPr>
                <w:rFonts w:eastAsia="Arial Unicode MS"/>
                <w:sz w:val="22"/>
                <w:szCs w:val="22"/>
              </w:rPr>
              <w:t>48,332,003</w:t>
            </w:r>
          </w:p>
        </w:tc>
        <w:tc>
          <w:tcPr>
            <w:tcW w:w="1302" w:type="dxa"/>
            <w:tcBorders>
              <w:top w:val="nil"/>
              <w:left w:val="nil"/>
              <w:bottom w:val="single" w:sz="4" w:space="0" w:color="auto"/>
              <w:right w:val="nil"/>
            </w:tcBorders>
            <w:noWrap/>
            <w:tcMar>
              <w:top w:w="15" w:type="dxa"/>
              <w:left w:w="15" w:type="dxa"/>
              <w:bottom w:w="0" w:type="dxa"/>
              <w:right w:w="15" w:type="dxa"/>
            </w:tcMar>
            <w:vAlign w:val="bottom"/>
          </w:tcPr>
          <w:p w14:paraId="468C1617" w14:textId="77777777" w:rsidR="00C5552A" w:rsidRPr="00753313" w:rsidRDefault="00C5552A">
            <w:pPr>
              <w:ind w:right="85"/>
              <w:jc w:val="right"/>
              <w:rPr>
                <w:rFonts w:eastAsia="Arial Unicode MS"/>
                <w:sz w:val="22"/>
                <w:szCs w:val="22"/>
              </w:rPr>
            </w:pPr>
            <w:r>
              <w:rPr>
                <w:rFonts w:eastAsia="Arial Unicode MS"/>
                <w:sz w:val="22"/>
                <w:szCs w:val="22"/>
              </w:rPr>
              <w:t>236,827</w:t>
            </w:r>
          </w:p>
        </w:tc>
      </w:tr>
      <w:tr w:rsidR="00C5552A" w:rsidRPr="00753313" w14:paraId="59A8F86D" w14:textId="77777777" w:rsidTr="00D05E45">
        <w:trPr>
          <w:trHeight w:val="306"/>
        </w:trPr>
        <w:tc>
          <w:tcPr>
            <w:tcW w:w="4388" w:type="dxa"/>
            <w:tcBorders>
              <w:top w:val="nil"/>
              <w:left w:val="nil"/>
              <w:bottom w:val="nil"/>
              <w:right w:val="nil"/>
            </w:tcBorders>
            <w:noWrap/>
            <w:tcMar>
              <w:top w:w="15" w:type="dxa"/>
              <w:left w:w="15" w:type="dxa"/>
              <w:bottom w:w="0" w:type="dxa"/>
              <w:right w:w="15" w:type="dxa"/>
            </w:tcMar>
            <w:vAlign w:val="bottom"/>
          </w:tcPr>
          <w:p w14:paraId="16C5235B" w14:textId="77777777" w:rsidR="00C5552A" w:rsidRPr="00753313" w:rsidRDefault="00C5552A" w:rsidP="00D05E45">
            <w:pPr>
              <w:rPr>
                <w:rFonts w:eastAsia="Arial Unicode MS"/>
                <w:sz w:val="22"/>
                <w:szCs w:val="22"/>
              </w:rPr>
            </w:pPr>
            <w:r w:rsidRPr="00753313">
              <w:rPr>
                <w:sz w:val="22"/>
                <w:szCs w:val="22"/>
              </w:rPr>
              <w:t>Total</w:t>
            </w:r>
          </w:p>
        </w:tc>
        <w:tc>
          <w:tcPr>
            <w:tcW w:w="1486" w:type="dxa"/>
            <w:tcBorders>
              <w:top w:val="nil"/>
              <w:left w:val="nil"/>
              <w:bottom w:val="double" w:sz="6" w:space="0" w:color="auto"/>
              <w:right w:val="nil"/>
            </w:tcBorders>
            <w:noWrap/>
            <w:tcMar>
              <w:top w:w="15" w:type="dxa"/>
              <w:left w:w="15" w:type="dxa"/>
              <w:bottom w:w="0" w:type="dxa"/>
              <w:right w:w="15" w:type="dxa"/>
            </w:tcMar>
            <w:vAlign w:val="bottom"/>
          </w:tcPr>
          <w:p w14:paraId="23EA0BE3" w14:textId="5BCADA0D" w:rsidR="00C5552A" w:rsidRPr="00F76A95" w:rsidRDefault="00EF34B7" w:rsidP="00A47A25">
            <w:pPr>
              <w:ind w:right="75"/>
              <w:jc w:val="right"/>
              <w:rPr>
                <w:rFonts w:eastAsia="Arial Unicode MS"/>
                <w:sz w:val="22"/>
                <w:szCs w:val="22"/>
              </w:rPr>
            </w:pPr>
            <w:r>
              <w:rPr>
                <w:rFonts w:eastAsia="Arial Unicode MS"/>
                <w:sz w:val="22"/>
                <w:szCs w:val="22"/>
              </w:rPr>
              <w:t>419,741,436</w:t>
            </w:r>
          </w:p>
        </w:tc>
        <w:tc>
          <w:tcPr>
            <w:tcW w:w="1312" w:type="dxa"/>
            <w:tcBorders>
              <w:top w:val="nil"/>
              <w:left w:val="nil"/>
              <w:bottom w:val="double" w:sz="6" w:space="0" w:color="auto"/>
              <w:right w:val="nil"/>
            </w:tcBorders>
            <w:noWrap/>
            <w:tcMar>
              <w:top w:w="15" w:type="dxa"/>
              <w:left w:w="15" w:type="dxa"/>
              <w:bottom w:w="0" w:type="dxa"/>
              <w:right w:w="15" w:type="dxa"/>
            </w:tcMar>
            <w:vAlign w:val="bottom"/>
          </w:tcPr>
          <w:p w14:paraId="64D6D549" w14:textId="609E45ED" w:rsidR="00C5552A" w:rsidRPr="00F76A95" w:rsidRDefault="00EF34B7">
            <w:pPr>
              <w:ind w:right="85"/>
              <w:jc w:val="right"/>
              <w:rPr>
                <w:rFonts w:eastAsia="Arial Unicode MS"/>
                <w:sz w:val="22"/>
                <w:szCs w:val="22"/>
              </w:rPr>
            </w:pPr>
            <w:r>
              <w:rPr>
                <w:rFonts w:eastAsia="Arial Unicode MS"/>
                <w:sz w:val="22"/>
                <w:szCs w:val="22"/>
              </w:rPr>
              <w:t>273,968</w:t>
            </w:r>
          </w:p>
        </w:tc>
        <w:tc>
          <w:tcPr>
            <w:tcW w:w="1419" w:type="dxa"/>
            <w:tcBorders>
              <w:top w:val="nil"/>
              <w:left w:val="nil"/>
              <w:bottom w:val="double" w:sz="6" w:space="0" w:color="auto"/>
              <w:right w:val="nil"/>
            </w:tcBorders>
            <w:noWrap/>
            <w:tcMar>
              <w:top w:w="15" w:type="dxa"/>
              <w:left w:w="15" w:type="dxa"/>
              <w:bottom w:w="0" w:type="dxa"/>
              <w:right w:w="15" w:type="dxa"/>
            </w:tcMar>
            <w:vAlign w:val="bottom"/>
          </w:tcPr>
          <w:p w14:paraId="20C138D9" w14:textId="718725C0" w:rsidR="00C5552A" w:rsidRPr="00753313" w:rsidRDefault="00EF34B7">
            <w:pPr>
              <w:ind w:right="95"/>
              <w:jc w:val="right"/>
              <w:rPr>
                <w:rFonts w:eastAsia="Arial Unicode MS"/>
                <w:sz w:val="22"/>
                <w:szCs w:val="22"/>
              </w:rPr>
            </w:pPr>
            <w:r>
              <w:rPr>
                <w:rFonts w:eastAsia="Arial Unicode MS"/>
                <w:sz w:val="22"/>
                <w:szCs w:val="22"/>
              </w:rPr>
              <w:t>408,074,770</w:t>
            </w:r>
          </w:p>
        </w:tc>
        <w:tc>
          <w:tcPr>
            <w:tcW w:w="1302" w:type="dxa"/>
            <w:tcBorders>
              <w:top w:val="nil"/>
              <w:left w:val="nil"/>
              <w:bottom w:val="double" w:sz="6" w:space="0" w:color="auto"/>
              <w:right w:val="nil"/>
            </w:tcBorders>
            <w:noWrap/>
            <w:tcMar>
              <w:top w:w="15" w:type="dxa"/>
              <w:left w:w="15" w:type="dxa"/>
              <w:bottom w:w="0" w:type="dxa"/>
              <w:right w:w="15" w:type="dxa"/>
            </w:tcMar>
            <w:vAlign w:val="bottom"/>
          </w:tcPr>
          <w:p w14:paraId="2FAEA2D1" w14:textId="7BD29AB0" w:rsidR="00C5552A" w:rsidRPr="00753313" w:rsidRDefault="00EF34B7">
            <w:pPr>
              <w:ind w:right="85"/>
              <w:jc w:val="right"/>
              <w:rPr>
                <w:rFonts w:eastAsia="Arial Unicode MS"/>
                <w:sz w:val="22"/>
                <w:szCs w:val="22"/>
              </w:rPr>
            </w:pPr>
            <w:r>
              <w:rPr>
                <w:rFonts w:eastAsia="Arial Unicode MS"/>
                <w:sz w:val="22"/>
                <w:szCs w:val="22"/>
              </w:rPr>
              <w:t>272,801</w:t>
            </w:r>
          </w:p>
        </w:tc>
      </w:tr>
    </w:tbl>
    <w:p w14:paraId="25FE0C6D" w14:textId="3A5720B2" w:rsidR="007F01AC" w:rsidRDefault="007F01AC" w:rsidP="00082E49">
      <w:pPr>
        <w:jc w:val="both"/>
        <w:rPr>
          <w:sz w:val="22"/>
          <w:szCs w:val="22"/>
        </w:rPr>
      </w:pPr>
    </w:p>
    <w:p w14:paraId="3B8E175E" w14:textId="55234EA8" w:rsidR="00396E15" w:rsidRDefault="00396E15" w:rsidP="00082E49">
      <w:pPr>
        <w:jc w:val="both"/>
        <w:rPr>
          <w:sz w:val="22"/>
          <w:szCs w:val="22"/>
        </w:rPr>
      </w:pPr>
    </w:p>
    <w:p w14:paraId="468D773F" w14:textId="3C247B29" w:rsidR="00396E15" w:rsidRDefault="00396E15" w:rsidP="00082E49">
      <w:pPr>
        <w:jc w:val="both"/>
        <w:rPr>
          <w:sz w:val="22"/>
          <w:szCs w:val="22"/>
        </w:rPr>
      </w:pPr>
    </w:p>
    <w:p w14:paraId="5E95B47A" w14:textId="77777777" w:rsidR="00396E15" w:rsidRDefault="00396E15" w:rsidP="00082E49">
      <w:pPr>
        <w:jc w:val="both"/>
        <w:rPr>
          <w:sz w:val="22"/>
          <w:szCs w:val="22"/>
        </w:rPr>
      </w:pPr>
    </w:p>
    <w:p w14:paraId="506BCA54" w14:textId="523DC88A" w:rsidR="00396E15" w:rsidRDefault="00396E15" w:rsidP="00082E49">
      <w:pPr>
        <w:jc w:val="both"/>
        <w:rPr>
          <w:sz w:val="22"/>
          <w:szCs w:val="22"/>
        </w:rPr>
      </w:pPr>
    </w:p>
    <w:p w14:paraId="127F57C7" w14:textId="77777777" w:rsidR="00396E15" w:rsidRPr="007D15C4" w:rsidRDefault="00396E15" w:rsidP="00396E15">
      <w:pPr>
        <w:jc w:val="both"/>
        <w:rPr>
          <w:b/>
          <w:bCs/>
          <w:sz w:val="22"/>
          <w:szCs w:val="22"/>
        </w:rPr>
      </w:pPr>
      <w:r w:rsidRPr="007D15C4">
        <w:rPr>
          <w:b/>
          <w:bCs/>
          <w:sz w:val="22"/>
          <w:szCs w:val="22"/>
        </w:rPr>
        <w:t>1</w:t>
      </w:r>
      <w:r>
        <w:rPr>
          <w:b/>
          <w:bCs/>
          <w:sz w:val="22"/>
          <w:szCs w:val="22"/>
        </w:rPr>
        <w:t>3</w:t>
      </w:r>
      <w:r w:rsidRPr="007D15C4">
        <w:rPr>
          <w:b/>
          <w:bCs/>
          <w:sz w:val="22"/>
          <w:szCs w:val="22"/>
        </w:rPr>
        <w:t>.</w:t>
      </w:r>
      <w:r w:rsidRPr="007D15C4">
        <w:rPr>
          <w:b/>
          <w:bCs/>
          <w:sz w:val="22"/>
          <w:szCs w:val="22"/>
        </w:rPr>
        <w:tab/>
      </w:r>
      <w:r w:rsidRPr="001C41D3">
        <w:rPr>
          <w:b/>
          <w:bCs/>
          <w:sz w:val="22"/>
          <w:szCs w:val="22"/>
        </w:rPr>
        <w:t>CALLED UP SHARE CAPITAL, continued</w:t>
      </w:r>
    </w:p>
    <w:p w14:paraId="6F984A81" w14:textId="77777777" w:rsidR="00396E15" w:rsidRDefault="00396E15" w:rsidP="00082E49">
      <w:pPr>
        <w:jc w:val="both"/>
        <w:rPr>
          <w:sz w:val="22"/>
          <w:szCs w:val="22"/>
        </w:rPr>
      </w:pPr>
    </w:p>
    <w:p w14:paraId="5C08BA5F" w14:textId="472653C1" w:rsidR="00082E49" w:rsidRDefault="00082E49" w:rsidP="00082E49">
      <w:pPr>
        <w:jc w:val="both"/>
        <w:rPr>
          <w:sz w:val="22"/>
          <w:szCs w:val="22"/>
        </w:rPr>
      </w:pPr>
      <w:r>
        <w:rPr>
          <w:sz w:val="22"/>
          <w:szCs w:val="22"/>
        </w:rPr>
        <w:t xml:space="preserve">During the year the </w:t>
      </w:r>
      <w:r w:rsidR="000528E3">
        <w:rPr>
          <w:sz w:val="22"/>
          <w:szCs w:val="22"/>
        </w:rPr>
        <w:t>C</w:t>
      </w:r>
      <w:r>
        <w:rPr>
          <w:sz w:val="22"/>
          <w:szCs w:val="22"/>
        </w:rPr>
        <w:t xml:space="preserve">ompany issued ordinary shares as follows: </w:t>
      </w:r>
    </w:p>
    <w:tbl>
      <w:tblPr>
        <w:tblW w:w="10013" w:type="dxa"/>
        <w:tblLayout w:type="fixed"/>
        <w:tblCellMar>
          <w:left w:w="0" w:type="dxa"/>
          <w:right w:w="0" w:type="dxa"/>
        </w:tblCellMar>
        <w:tblLook w:val="0000" w:firstRow="0" w:lastRow="0" w:firstColumn="0" w:lastColumn="0" w:noHBand="0" w:noVBand="0"/>
      </w:tblPr>
      <w:tblGrid>
        <w:gridCol w:w="7215"/>
        <w:gridCol w:w="1486"/>
        <w:gridCol w:w="1312"/>
      </w:tblGrid>
      <w:tr w:rsidR="00082E49" w:rsidRPr="00753313" w14:paraId="78A1C2CB" w14:textId="77777777" w:rsidTr="00082E49">
        <w:tc>
          <w:tcPr>
            <w:tcW w:w="7215" w:type="dxa"/>
            <w:tcBorders>
              <w:top w:val="nil"/>
              <w:left w:val="nil"/>
              <w:bottom w:val="nil"/>
              <w:right w:val="nil"/>
            </w:tcBorders>
            <w:noWrap/>
            <w:tcMar>
              <w:top w:w="15" w:type="dxa"/>
              <w:left w:w="15" w:type="dxa"/>
              <w:bottom w:w="0" w:type="dxa"/>
              <w:right w:w="15" w:type="dxa"/>
            </w:tcMar>
            <w:vAlign w:val="bottom"/>
          </w:tcPr>
          <w:p w14:paraId="55E2BF0E" w14:textId="77777777" w:rsidR="00082E49" w:rsidRPr="00753313" w:rsidRDefault="00082E49" w:rsidP="00082E49">
            <w:pPr>
              <w:rPr>
                <w:rFonts w:eastAsia="Arial Unicode MS"/>
                <w:sz w:val="22"/>
                <w:szCs w:val="22"/>
              </w:rPr>
            </w:pPr>
          </w:p>
        </w:tc>
        <w:tc>
          <w:tcPr>
            <w:tcW w:w="1486" w:type="dxa"/>
            <w:tcBorders>
              <w:top w:val="nil"/>
              <w:left w:val="nil"/>
              <w:bottom w:val="nil"/>
              <w:right w:val="nil"/>
            </w:tcBorders>
            <w:noWrap/>
            <w:tcMar>
              <w:top w:w="15" w:type="dxa"/>
              <w:left w:w="15" w:type="dxa"/>
              <w:bottom w:w="0" w:type="dxa"/>
              <w:right w:w="15" w:type="dxa"/>
            </w:tcMar>
            <w:vAlign w:val="bottom"/>
          </w:tcPr>
          <w:p w14:paraId="76C84F2E" w14:textId="77777777" w:rsidR="00082E49" w:rsidRPr="00F76A95" w:rsidRDefault="00082E49" w:rsidP="00656716">
            <w:pPr>
              <w:ind w:right="75"/>
              <w:jc w:val="right"/>
              <w:rPr>
                <w:rFonts w:eastAsia="Arial Unicode MS"/>
                <w:b/>
                <w:bCs/>
                <w:sz w:val="22"/>
                <w:szCs w:val="22"/>
              </w:rPr>
            </w:pPr>
            <w:r>
              <w:rPr>
                <w:rFonts w:eastAsia="Arial Unicode MS"/>
                <w:b/>
                <w:bCs/>
                <w:sz w:val="22"/>
                <w:szCs w:val="22"/>
              </w:rPr>
              <w:t xml:space="preserve">Number of shares </w:t>
            </w:r>
          </w:p>
        </w:tc>
        <w:tc>
          <w:tcPr>
            <w:tcW w:w="1312" w:type="dxa"/>
            <w:tcBorders>
              <w:top w:val="nil"/>
              <w:left w:val="nil"/>
              <w:bottom w:val="nil"/>
              <w:right w:val="nil"/>
            </w:tcBorders>
            <w:noWrap/>
            <w:tcMar>
              <w:top w:w="15" w:type="dxa"/>
              <w:left w:w="15" w:type="dxa"/>
              <w:bottom w:w="0" w:type="dxa"/>
              <w:right w:w="15" w:type="dxa"/>
            </w:tcMar>
            <w:vAlign w:val="bottom"/>
          </w:tcPr>
          <w:p w14:paraId="7D928268" w14:textId="77777777" w:rsidR="00082E49" w:rsidRPr="00F76A95" w:rsidRDefault="00082E49" w:rsidP="00656716">
            <w:pPr>
              <w:ind w:right="85"/>
              <w:jc w:val="right"/>
              <w:rPr>
                <w:rFonts w:eastAsia="Arial Unicode MS"/>
                <w:b/>
                <w:bCs/>
                <w:sz w:val="22"/>
                <w:szCs w:val="22"/>
              </w:rPr>
            </w:pPr>
            <w:r>
              <w:rPr>
                <w:rFonts w:eastAsia="Arial Unicode MS"/>
                <w:b/>
                <w:bCs/>
                <w:sz w:val="22"/>
                <w:szCs w:val="22"/>
              </w:rPr>
              <w:t>Proceeds of issue</w:t>
            </w:r>
          </w:p>
        </w:tc>
      </w:tr>
      <w:tr w:rsidR="00082E49" w:rsidRPr="00753313" w14:paraId="379F0874" w14:textId="77777777" w:rsidTr="00082E49">
        <w:tc>
          <w:tcPr>
            <w:tcW w:w="7215" w:type="dxa"/>
            <w:tcBorders>
              <w:top w:val="nil"/>
              <w:left w:val="nil"/>
              <w:bottom w:val="nil"/>
              <w:right w:val="nil"/>
            </w:tcBorders>
            <w:noWrap/>
            <w:tcMar>
              <w:top w:w="15" w:type="dxa"/>
              <w:left w:w="15" w:type="dxa"/>
              <w:bottom w:w="0" w:type="dxa"/>
              <w:right w:w="15" w:type="dxa"/>
            </w:tcMar>
            <w:vAlign w:val="bottom"/>
          </w:tcPr>
          <w:p w14:paraId="70BADF0D" w14:textId="77777777" w:rsidR="00082E49" w:rsidRPr="0076446C" w:rsidRDefault="00082E49" w:rsidP="00082E49">
            <w:pPr>
              <w:rPr>
                <w:rFonts w:eastAsia="Arial Unicode MS"/>
                <w:sz w:val="22"/>
                <w:szCs w:val="22"/>
                <w:highlight w:val="yellow"/>
              </w:rPr>
            </w:pPr>
          </w:p>
        </w:tc>
        <w:tc>
          <w:tcPr>
            <w:tcW w:w="1486" w:type="dxa"/>
            <w:tcBorders>
              <w:top w:val="nil"/>
              <w:left w:val="nil"/>
              <w:bottom w:val="nil"/>
              <w:right w:val="nil"/>
            </w:tcBorders>
            <w:noWrap/>
            <w:tcMar>
              <w:top w:w="15" w:type="dxa"/>
              <w:left w:w="15" w:type="dxa"/>
              <w:bottom w:w="0" w:type="dxa"/>
              <w:right w:w="15" w:type="dxa"/>
            </w:tcMar>
            <w:vAlign w:val="bottom"/>
          </w:tcPr>
          <w:p w14:paraId="4C0BF8EC" w14:textId="77777777" w:rsidR="00082E49" w:rsidRPr="0076446C" w:rsidRDefault="00082E49" w:rsidP="00656716">
            <w:pPr>
              <w:ind w:right="75"/>
              <w:jc w:val="right"/>
              <w:rPr>
                <w:rFonts w:eastAsia="Arial Unicode MS"/>
                <w:b/>
                <w:bCs/>
                <w:sz w:val="22"/>
                <w:szCs w:val="22"/>
                <w:highlight w:val="yellow"/>
              </w:rPr>
            </w:pPr>
          </w:p>
        </w:tc>
        <w:tc>
          <w:tcPr>
            <w:tcW w:w="1312" w:type="dxa"/>
            <w:tcBorders>
              <w:top w:val="nil"/>
              <w:left w:val="nil"/>
              <w:bottom w:val="nil"/>
              <w:right w:val="nil"/>
            </w:tcBorders>
            <w:noWrap/>
            <w:tcMar>
              <w:top w:w="15" w:type="dxa"/>
              <w:left w:w="15" w:type="dxa"/>
              <w:bottom w:w="0" w:type="dxa"/>
              <w:right w:w="15" w:type="dxa"/>
            </w:tcMar>
            <w:vAlign w:val="bottom"/>
          </w:tcPr>
          <w:p w14:paraId="025951AD" w14:textId="77777777" w:rsidR="00082E49" w:rsidRPr="0076446C" w:rsidRDefault="00082E49" w:rsidP="00656716">
            <w:pPr>
              <w:ind w:right="85"/>
              <w:jc w:val="right"/>
              <w:rPr>
                <w:rFonts w:eastAsia="Arial Unicode MS"/>
                <w:b/>
                <w:bCs/>
                <w:sz w:val="22"/>
                <w:szCs w:val="22"/>
                <w:highlight w:val="yellow"/>
              </w:rPr>
            </w:pPr>
            <w:r w:rsidRPr="00063B9A">
              <w:rPr>
                <w:rFonts w:eastAsia="Arial Unicode MS"/>
                <w:b/>
                <w:bCs/>
                <w:sz w:val="22"/>
                <w:szCs w:val="22"/>
              </w:rPr>
              <w:t>£</w:t>
            </w:r>
          </w:p>
        </w:tc>
      </w:tr>
      <w:tr w:rsidR="00082E49" w:rsidRPr="00753313" w14:paraId="3307C1DB" w14:textId="77777777" w:rsidTr="00082E49">
        <w:tc>
          <w:tcPr>
            <w:tcW w:w="7215" w:type="dxa"/>
            <w:tcBorders>
              <w:top w:val="nil"/>
              <w:left w:val="nil"/>
              <w:bottom w:val="nil"/>
              <w:right w:val="nil"/>
            </w:tcBorders>
            <w:noWrap/>
            <w:tcMar>
              <w:top w:w="15" w:type="dxa"/>
              <w:left w:w="15" w:type="dxa"/>
              <w:bottom w:w="0" w:type="dxa"/>
              <w:right w:w="15" w:type="dxa"/>
            </w:tcMar>
            <w:vAlign w:val="bottom"/>
          </w:tcPr>
          <w:p w14:paraId="6B14233B" w14:textId="133DF9DC" w:rsidR="00082E49" w:rsidRPr="00063B9A" w:rsidRDefault="007935C0" w:rsidP="00082E49">
            <w:pPr>
              <w:rPr>
                <w:rFonts w:eastAsia="Arial Unicode MS"/>
                <w:sz w:val="22"/>
                <w:szCs w:val="22"/>
              </w:rPr>
            </w:pPr>
            <w:r>
              <w:rPr>
                <w:rFonts w:eastAsia="Arial Unicode MS"/>
                <w:sz w:val="22"/>
                <w:szCs w:val="22"/>
              </w:rPr>
              <w:t>19</w:t>
            </w:r>
            <w:r w:rsidR="0044373C">
              <w:rPr>
                <w:rFonts w:eastAsia="Arial Unicode MS"/>
                <w:sz w:val="22"/>
                <w:szCs w:val="22"/>
              </w:rPr>
              <w:t xml:space="preserve"> June </w:t>
            </w:r>
            <w:r>
              <w:rPr>
                <w:rFonts w:eastAsia="Arial Unicode MS"/>
                <w:sz w:val="22"/>
                <w:szCs w:val="22"/>
              </w:rPr>
              <w:t xml:space="preserve">2020 </w:t>
            </w:r>
            <w:r w:rsidR="00082E49" w:rsidRPr="00063B9A">
              <w:rPr>
                <w:rFonts w:eastAsia="Arial Unicode MS"/>
                <w:sz w:val="22"/>
                <w:szCs w:val="22"/>
              </w:rPr>
              <w:t xml:space="preserve">– </w:t>
            </w:r>
            <w:r>
              <w:rPr>
                <w:rFonts w:eastAsia="Arial Unicode MS"/>
                <w:sz w:val="22"/>
                <w:szCs w:val="22"/>
              </w:rPr>
              <w:t>warrant conversion</w:t>
            </w:r>
            <w:r w:rsidR="0044373C">
              <w:rPr>
                <w:rFonts w:eastAsia="Arial Unicode MS"/>
                <w:sz w:val="22"/>
                <w:szCs w:val="22"/>
              </w:rPr>
              <w:t xml:space="preserve">, </w:t>
            </w:r>
            <w:r w:rsidR="000528E3">
              <w:rPr>
                <w:rFonts w:eastAsia="Arial Unicode MS"/>
                <w:sz w:val="22"/>
                <w:szCs w:val="22"/>
              </w:rPr>
              <w:t>d</w:t>
            </w:r>
            <w:r w:rsidR="0044373C">
              <w:rPr>
                <w:rFonts w:eastAsia="Arial Unicode MS"/>
                <w:sz w:val="22"/>
                <w:szCs w:val="22"/>
              </w:rPr>
              <w:t>irector participation</w:t>
            </w:r>
            <w:r w:rsidR="00082E49" w:rsidRPr="00063B9A">
              <w:rPr>
                <w:rFonts w:eastAsia="Arial Unicode MS"/>
                <w:sz w:val="22"/>
                <w:szCs w:val="22"/>
              </w:rPr>
              <w:t xml:space="preserve"> </w:t>
            </w:r>
          </w:p>
        </w:tc>
        <w:tc>
          <w:tcPr>
            <w:tcW w:w="1486" w:type="dxa"/>
            <w:tcBorders>
              <w:top w:val="nil"/>
              <w:left w:val="nil"/>
              <w:bottom w:val="nil"/>
              <w:right w:val="nil"/>
            </w:tcBorders>
            <w:noWrap/>
            <w:tcMar>
              <w:top w:w="15" w:type="dxa"/>
              <w:left w:w="15" w:type="dxa"/>
              <w:bottom w:w="0" w:type="dxa"/>
              <w:right w:w="15" w:type="dxa"/>
            </w:tcMar>
            <w:vAlign w:val="bottom"/>
          </w:tcPr>
          <w:p w14:paraId="7E987E26" w14:textId="04CA6BC0" w:rsidR="00082E49" w:rsidRPr="00063B9A" w:rsidRDefault="005C0D6D" w:rsidP="00082E49">
            <w:pPr>
              <w:ind w:right="75"/>
              <w:jc w:val="right"/>
              <w:rPr>
                <w:rFonts w:eastAsia="Arial Unicode MS"/>
                <w:sz w:val="22"/>
                <w:szCs w:val="22"/>
              </w:rPr>
            </w:pPr>
            <w:r>
              <w:rPr>
                <w:rFonts w:eastAsia="Arial Unicode MS"/>
                <w:sz w:val="22"/>
                <w:szCs w:val="22"/>
              </w:rPr>
              <w:t>5</w:t>
            </w:r>
            <w:r w:rsidR="007935C0">
              <w:rPr>
                <w:rFonts w:eastAsia="Arial Unicode MS"/>
                <w:sz w:val="22"/>
                <w:szCs w:val="22"/>
              </w:rPr>
              <w:t>,0</w:t>
            </w:r>
            <w:r>
              <w:rPr>
                <w:rFonts w:eastAsia="Arial Unicode MS"/>
                <w:sz w:val="22"/>
                <w:szCs w:val="22"/>
              </w:rPr>
              <w:t>00,000</w:t>
            </w:r>
          </w:p>
        </w:tc>
        <w:tc>
          <w:tcPr>
            <w:tcW w:w="1312" w:type="dxa"/>
            <w:tcBorders>
              <w:top w:val="nil"/>
              <w:left w:val="nil"/>
              <w:bottom w:val="nil"/>
              <w:right w:val="nil"/>
            </w:tcBorders>
            <w:noWrap/>
            <w:tcMar>
              <w:top w:w="15" w:type="dxa"/>
              <w:left w:w="15" w:type="dxa"/>
              <w:bottom w:w="0" w:type="dxa"/>
              <w:right w:w="15" w:type="dxa"/>
            </w:tcMar>
            <w:vAlign w:val="bottom"/>
          </w:tcPr>
          <w:p w14:paraId="3B2C716A" w14:textId="074400D5" w:rsidR="00082E49" w:rsidRPr="00063B9A" w:rsidRDefault="007935C0" w:rsidP="00082E49">
            <w:pPr>
              <w:ind w:right="75"/>
              <w:jc w:val="right"/>
              <w:rPr>
                <w:rFonts w:eastAsia="Arial Unicode MS"/>
                <w:sz w:val="22"/>
                <w:szCs w:val="22"/>
              </w:rPr>
            </w:pPr>
            <w:r>
              <w:rPr>
                <w:rFonts w:eastAsia="Arial Unicode MS"/>
                <w:sz w:val="22"/>
                <w:szCs w:val="22"/>
              </w:rPr>
              <w:t>30,000</w:t>
            </w:r>
          </w:p>
        </w:tc>
      </w:tr>
      <w:tr w:rsidR="00082E49" w:rsidRPr="00753313" w14:paraId="047E5E76" w14:textId="77777777" w:rsidTr="00082E49">
        <w:tc>
          <w:tcPr>
            <w:tcW w:w="7215" w:type="dxa"/>
            <w:tcBorders>
              <w:top w:val="nil"/>
              <w:left w:val="nil"/>
              <w:bottom w:val="nil"/>
              <w:right w:val="nil"/>
            </w:tcBorders>
            <w:noWrap/>
            <w:tcMar>
              <w:top w:w="15" w:type="dxa"/>
              <w:left w:w="15" w:type="dxa"/>
              <w:bottom w:w="0" w:type="dxa"/>
              <w:right w:w="15" w:type="dxa"/>
            </w:tcMar>
            <w:vAlign w:val="bottom"/>
          </w:tcPr>
          <w:p w14:paraId="4BA4B9F0" w14:textId="673667D8" w:rsidR="00082E49" w:rsidRPr="0076446C" w:rsidRDefault="007935C0" w:rsidP="00082E49">
            <w:pPr>
              <w:rPr>
                <w:rFonts w:eastAsia="Arial Unicode MS"/>
                <w:sz w:val="22"/>
                <w:szCs w:val="22"/>
                <w:highlight w:val="yellow"/>
              </w:rPr>
            </w:pPr>
            <w:r>
              <w:rPr>
                <w:rFonts w:eastAsia="Arial Unicode MS"/>
                <w:sz w:val="22"/>
                <w:szCs w:val="22"/>
              </w:rPr>
              <w:t>29 October 2020</w:t>
            </w:r>
            <w:r w:rsidR="00082E49" w:rsidRPr="00063B9A">
              <w:rPr>
                <w:rFonts w:eastAsia="Arial Unicode MS"/>
                <w:sz w:val="22"/>
                <w:szCs w:val="22"/>
              </w:rPr>
              <w:t xml:space="preserve"> – </w:t>
            </w:r>
            <w:r>
              <w:rPr>
                <w:rFonts w:eastAsia="Arial Unicode MS"/>
                <w:sz w:val="22"/>
                <w:szCs w:val="22"/>
              </w:rPr>
              <w:t>warrant conversion</w:t>
            </w:r>
            <w:r w:rsidR="00082E49" w:rsidRPr="00063B9A">
              <w:rPr>
                <w:rFonts w:eastAsia="Arial Unicode MS"/>
                <w:sz w:val="22"/>
                <w:szCs w:val="22"/>
              </w:rPr>
              <w:t xml:space="preserve"> </w:t>
            </w:r>
          </w:p>
        </w:tc>
        <w:tc>
          <w:tcPr>
            <w:tcW w:w="1486" w:type="dxa"/>
            <w:tcBorders>
              <w:top w:val="nil"/>
              <w:left w:val="nil"/>
              <w:bottom w:val="nil"/>
              <w:right w:val="nil"/>
            </w:tcBorders>
            <w:noWrap/>
            <w:tcMar>
              <w:top w:w="15" w:type="dxa"/>
              <w:left w:w="15" w:type="dxa"/>
              <w:bottom w:w="0" w:type="dxa"/>
              <w:right w:w="15" w:type="dxa"/>
            </w:tcMar>
            <w:vAlign w:val="bottom"/>
          </w:tcPr>
          <w:p w14:paraId="097DFBB1" w14:textId="14A31FCF" w:rsidR="00082E49" w:rsidRPr="00063B9A" w:rsidRDefault="007935C0" w:rsidP="00082E49">
            <w:pPr>
              <w:ind w:right="75"/>
              <w:jc w:val="right"/>
              <w:rPr>
                <w:rFonts w:eastAsia="Arial Unicode MS"/>
                <w:sz w:val="22"/>
                <w:szCs w:val="22"/>
              </w:rPr>
            </w:pPr>
            <w:r>
              <w:rPr>
                <w:rFonts w:eastAsia="Arial Unicode MS"/>
                <w:sz w:val="22"/>
                <w:szCs w:val="22"/>
              </w:rPr>
              <w:t>6,666,666</w:t>
            </w:r>
          </w:p>
        </w:tc>
        <w:tc>
          <w:tcPr>
            <w:tcW w:w="1312" w:type="dxa"/>
            <w:tcBorders>
              <w:top w:val="nil"/>
              <w:left w:val="nil"/>
              <w:bottom w:val="nil"/>
              <w:right w:val="nil"/>
            </w:tcBorders>
            <w:noWrap/>
            <w:tcMar>
              <w:top w:w="15" w:type="dxa"/>
              <w:left w:w="15" w:type="dxa"/>
              <w:bottom w:w="0" w:type="dxa"/>
              <w:right w:w="15" w:type="dxa"/>
            </w:tcMar>
            <w:vAlign w:val="bottom"/>
          </w:tcPr>
          <w:p w14:paraId="412D5E10" w14:textId="51080650" w:rsidR="00082E49" w:rsidRPr="00063B9A" w:rsidRDefault="007935C0" w:rsidP="00082E49">
            <w:pPr>
              <w:ind w:right="75"/>
              <w:jc w:val="right"/>
              <w:rPr>
                <w:rFonts w:eastAsia="Arial Unicode MS"/>
                <w:sz w:val="22"/>
                <w:szCs w:val="22"/>
              </w:rPr>
            </w:pPr>
            <w:r>
              <w:rPr>
                <w:rFonts w:eastAsia="Arial Unicode MS"/>
                <w:sz w:val="22"/>
                <w:szCs w:val="22"/>
              </w:rPr>
              <w:t>40,000</w:t>
            </w:r>
          </w:p>
        </w:tc>
      </w:tr>
      <w:tr w:rsidR="00082E49" w:rsidRPr="00063B9A" w14:paraId="7322B53A" w14:textId="77777777" w:rsidTr="0044373C">
        <w:tc>
          <w:tcPr>
            <w:tcW w:w="7215" w:type="dxa"/>
            <w:tcBorders>
              <w:top w:val="nil"/>
              <w:left w:val="nil"/>
              <w:bottom w:val="nil"/>
              <w:right w:val="nil"/>
            </w:tcBorders>
            <w:noWrap/>
            <w:tcMar>
              <w:top w:w="15" w:type="dxa"/>
              <w:left w:w="15" w:type="dxa"/>
              <w:bottom w:w="0" w:type="dxa"/>
              <w:right w:w="15" w:type="dxa"/>
            </w:tcMar>
            <w:vAlign w:val="bottom"/>
          </w:tcPr>
          <w:p w14:paraId="72A669E3" w14:textId="77777777" w:rsidR="00082E49" w:rsidRPr="0076446C" w:rsidRDefault="00082E49" w:rsidP="00082E49">
            <w:pPr>
              <w:rPr>
                <w:rFonts w:eastAsia="Arial Unicode MS"/>
                <w:sz w:val="22"/>
                <w:szCs w:val="22"/>
                <w:highlight w:val="yellow"/>
              </w:rPr>
            </w:pPr>
            <w:r w:rsidRPr="00063B9A">
              <w:rPr>
                <w:sz w:val="22"/>
                <w:szCs w:val="22"/>
              </w:rPr>
              <w:t>Total</w:t>
            </w:r>
          </w:p>
        </w:tc>
        <w:tc>
          <w:tcPr>
            <w:tcW w:w="1486"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75392F22" w14:textId="32617C84" w:rsidR="00082E49" w:rsidRPr="00063B9A" w:rsidRDefault="007935C0" w:rsidP="00082E49">
            <w:pPr>
              <w:ind w:right="75"/>
              <w:jc w:val="right"/>
              <w:rPr>
                <w:rFonts w:eastAsia="Arial Unicode MS"/>
                <w:sz w:val="22"/>
                <w:szCs w:val="22"/>
              </w:rPr>
            </w:pPr>
            <w:r>
              <w:rPr>
                <w:rFonts w:eastAsia="Arial Unicode MS"/>
                <w:sz w:val="22"/>
                <w:szCs w:val="22"/>
              </w:rPr>
              <w:t>11,666,666</w:t>
            </w:r>
            <w:r w:rsidR="00082E49" w:rsidRPr="00063B9A">
              <w:rPr>
                <w:rFonts w:eastAsia="Arial Unicode MS"/>
                <w:sz w:val="22"/>
                <w:szCs w:val="22"/>
              </w:rPr>
              <w:fldChar w:fldCharType="begin"/>
            </w:r>
            <w:r w:rsidR="00082E49" w:rsidRPr="00063B9A">
              <w:rPr>
                <w:rFonts w:eastAsia="Arial Unicode MS"/>
                <w:sz w:val="22"/>
                <w:szCs w:val="22"/>
              </w:rPr>
              <w:instrText xml:space="preserve"> =SUM(ABOVE) </w:instrText>
            </w:r>
            <w:r w:rsidR="00082E49" w:rsidRPr="00063B9A">
              <w:rPr>
                <w:rFonts w:eastAsia="Arial Unicode MS"/>
                <w:sz w:val="22"/>
                <w:szCs w:val="22"/>
              </w:rPr>
              <w:fldChar w:fldCharType="end"/>
            </w:r>
          </w:p>
        </w:tc>
        <w:tc>
          <w:tcPr>
            <w:tcW w:w="1312"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2DD22D5B" w14:textId="448C7348" w:rsidR="00082E49" w:rsidRPr="00063B9A" w:rsidRDefault="007935C0" w:rsidP="00082E49">
            <w:pPr>
              <w:ind w:right="85"/>
              <w:jc w:val="right"/>
              <w:rPr>
                <w:rFonts w:eastAsia="Arial Unicode MS"/>
                <w:sz w:val="22"/>
                <w:szCs w:val="22"/>
              </w:rPr>
            </w:pPr>
            <w:r>
              <w:rPr>
                <w:rFonts w:eastAsia="Arial Unicode MS"/>
                <w:sz w:val="22"/>
                <w:szCs w:val="22"/>
              </w:rPr>
              <w:t>70,000</w:t>
            </w:r>
          </w:p>
        </w:tc>
      </w:tr>
    </w:tbl>
    <w:p w14:paraId="158F629E" w14:textId="442E9C07" w:rsidR="00082E49" w:rsidRDefault="00082E49" w:rsidP="00082E49">
      <w:pPr>
        <w:jc w:val="both"/>
        <w:rPr>
          <w:sz w:val="22"/>
          <w:szCs w:val="22"/>
        </w:rPr>
      </w:pPr>
    </w:p>
    <w:p w14:paraId="6A557A87" w14:textId="49494E1F" w:rsidR="00082E49" w:rsidRPr="007B5847" w:rsidRDefault="00082E49" w:rsidP="00082E49">
      <w:pPr>
        <w:rPr>
          <w:sz w:val="22"/>
          <w:szCs w:val="22"/>
          <w:lang w:eastAsia="en-GB"/>
        </w:rPr>
      </w:pPr>
      <w:r w:rsidRPr="007B5847">
        <w:rPr>
          <w:sz w:val="22"/>
          <w:szCs w:val="22"/>
          <w:lang w:eastAsia="en-GB"/>
        </w:rPr>
        <w:t xml:space="preserve">As at </w:t>
      </w:r>
      <w:r w:rsidR="000528E3">
        <w:rPr>
          <w:sz w:val="22"/>
          <w:szCs w:val="22"/>
          <w:lang w:eastAsia="en-GB"/>
        </w:rPr>
        <w:t xml:space="preserve">31 December </w:t>
      </w:r>
      <w:r w:rsidRPr="007B5847">
        <w:rPr>
          <w:sz w:val="22"/>
          <w:szCs w:val="22"/>
          <w:lang w:eastAsia="en-GB"/>
        </w:rPr>
        <w:t>20</w:t>
      </w:r>
      <w:r w:rsidR="00F261DD">
        <w:rPr>
          <w:sz w:val="22"/>
          <w:szCs w:val="22"/>
          <w:lang w:eastAsia="en-GB"/>
        </w:rPr>
        <w:t>20</w:t>
      </w:r>
      <w:r w:rsidRPr="007B5847">
        <w:rPr>
          <w:sz w:val="22"/>
          <w:szCs w:val="22"/>
          <w:lang w:eastAsia="en-GB"/>
        </w:rPr>
        <w:t xml:space="preserve"> </w:t>
      </w:r>
      <w:r w:rsidR="000528E3">
        <w:rPr>
          <w:sz w:val="22"/>
          <w:szCs w:val="22"/>
          <w:lang w:eastAsia="en-GB"/>
        </w:rPr>
        <w:t xml:space="preserve">the Company </w:t>
      </w:r>
      <w:r w:rsidRPr="007B5847">
        <w:rPr>
          <w:sz w:val="22"/>
          <w:szCs w:val="22"/>
          <w:lang w:eastAsia="en-GB"/>
        </w:rPr>
        <w:t xml:space="preserve">had </w:t>
      </w:r>
      <w:r w:rsidR="00F261DD">
        <w:rPr>
          <w:sz w:val="22"/>
          <w:szCs w:val="22"/>
          <w:lang w:eastAsia="en-GB"/>
        </w:rPr>
        <w:t>90,166,660</w:t>
      </w:r>
      <w:r w:rsidR="00055659">
        <w:rPr>
          <w:sz w:val="22"/>
          <w:szCs w:val="22"/>
          <w:lang w:eastAsia="en-GB"/>
        </w:rPr>
        <w:t xml:space="preserve"> </w:t>
      </w:r>
      <w:r w:rsidRPr="007B5847">
        <w:rPr>
          <w:sz w:val="22"/>
          <w:szCs w:val="22"/>
          <w:lang w:eastAsia="en-GB"/>
        </w:rPr>
        <w:t xml:space="preserve">warrants </w:t>
      </w:r>
      <w:r>
        <w:rPr>
          <w:sz w:val="22"/>
          <w:szCs w:val="22"/>
          <w:lang w:eastAsia="en-GB"/>
        </w:rPr>
        <w:t xml:space="preserve">and options </w:t>
      </w:r>
      <w:r w:rsidRPr="007B5847">
        <w:rPr>
          <w:sz w:val="22"/>
          <w:szCs w:val="22"/>
          <w:lang w:eastAsia="en-GB"/>
        </w:rPr>
        <w:t>outstanding</w:t>
      </w:r>
      <w:r w:rsidR="00925D1E">
        <w:rPr>
          <w:sz w:val="22"/>
          <w:szCs w:val="22"/>
          <w:lang w:eastAsia="en-GB"/>
        </w:rPr>
        <w:t xml:space="preserve"> (at </w:t>
      </w:r>
      <w:r w:rsidR="00F261DD">
        <w:rPr>
          <w:sz w:val="22"/>
          <w:szCs w:val="22"/>
          <w:lang w:eastAsia="en-GB"/>
        </w:rPr>
        <w:t>31 December</w:t>
      </w:r>
      <w:r w:rsidR="00925D1E">
        <w:rPr>
          <w:sz w:val="22"/>
          <w:szCs w:val="22"/>
          <w:lang w:eastAsia="en-GB"/>
        </w:rPr>
        <w:t xml:space="preserve"> 2019 </w:t>
      </w:r>
      <w:r w:rsidR="00F261DD">
        <w:rPr>
          <w:sz w:val="22"/>
          <w:szCs w:val="22"/>
          <w:lang w:eastAsia="en-GB"/>
        </w:rPr>
        <w:t>127,283,326</w:t>
      </w:r>
      <w:r w:rsidR="00925D1E">
        <w:rPr>
          <w:sz w:val="22"/>
          <w:szCs w:val="22"/>
          <w:lang w:eastAsia="en-GB"/>
        </w:rPr>
        <w:t>)</w:t>
      </w:r>
      <w:r w:rsidRPr="007B5847">
        <w:rPr>
          <w:sz w:val="22"/>
          <w:szCs w:val="22"/>
          <w:lang w:eastAsia="en-GB"/>
        </w:rPr>
        <w:t>.</w:t>
      </w:r>
    </w:p>
    <w:p w14:paraId="442AC0E8" w14:textId="77777777" w:rsidR="004D19B2" w:rsidRDefault="004D19B2" w:rsidP="00C76EF7">
      <w:pPr>
        <w:jc w:val="both"/>
        <w:rPr>
          <w:b/>
          <w:bCs/>
          <w:sz w:val="22"/>
          <w:szCs w:val="22"/>
        </w:rPr>
      </w:pPr>
    </w:p>
    <w:p w14:paraId="6CF36B61" w14:textId="2F1277D4" w:rsidR="00203C24" w:rsidRPr="00203C24" w:rsidRDefault="00203C24" w:rsidP="00203C24">
      <w:pPr>
        <w:jc w:val="both"/>
        <w:rPr>
          <w:sz w:val="22"/>
          <w:szCs w:val="22"/>
          <w:u w:val="single"/>
        </w:rPr>
      </w:pPr>
      <w:r w:rsidRPr="00203C24">
        <w:rPr>
          <w:sz w:val="22"/>
          <w:szCs w:val="22"/>
          <w:u w:val="single"/>
        </w:rPr>
        <w:t xml:space="preserve">At the </w:t>
      </w:r>
      <w:r w:rsidR="007D730A">
        <w:rPr>
          <w:sz w:val="22"/>
          <w:szCs w:val="22"/>
          <w:u w:val="single"/>
        </w:rPr>
        <w:t>year</w:t>
      </w:r>
      <w:r w:rsidRPr="00203C24">
        <w:rPr>
          <w:sz w:val="22"/>
          <w:szCs w:val="22"/>
          <w:u w:val="single"/>
        </w:rPr>
        <w:t>-end there were the following director share options:</w:t>
      </w:r>
    </w:p>
    <w:p w14:paraId="1E4A9471" w14:textId="54D88F8E" w:rsidR="00203C24" w:rsidRPr="00203C24" w:rsidRDefault="00203C24" w:rsidP="0003624D">
      <w:pPr>
        <w:jc w:val="both"/>
        <w:rPr>
          <w:sz w:val="22"/>
          <w:szCs w:val="22"/>
        </w:rPr>
      </w:pPr>
      <w:bookmarkStart w:id="16" w:name="DBG1986"/>
      <w:bookmarkStart w:id="17" w:name="DBG1988"/>
      <w:bookmarkEnd w:id="16"/>
      <w:bookmarkEnd w:id="17"/>
      <w:r w:rsidRPr="00203C24">
        <w:rPr>
          <w:sz w:val="22"/>
          <w:szCs w:val="22"/>
        </w:rPr>
        <w:t>5</w:t>
      </w:r>
      <w:r>
        <w:rPr>
          <w:sz w:val="22"/>
          <w:szCs w:val="22"/>
        </w:rPr>
        <w:t>,</w:t>
      </w:r>
      <w:r w:rsidRPr="00203C24">
        <w:rPr>
          <w:sz w:val="22"/>
          <w:szCs w:val="22"/>
        </w:rPr>
        <w:t>0</w:t>
      </w:r>
      <w:r>
        <w:rPr>
          <w:sz w:val="22"/>
          <w:szCs w:val="22"/>
        </w:rPr>
        <w:t>0</w:t>
      </w:r>
      <w:r w:rsidRPr="00203C24">
        <w:rPr>
          <w:sz w:val="22"/>
          <w:szCs w:val="22"/>
        </w:rPr>
        <w:t xml:space="preserve">0,000 share options held by directors on ordinary shares of £0.0001 each </w:t>
      </w:r>
      <w:r w:rsidR="002B512D">
        <w:rPr>
          <w:sz w:val="22"/>
          <w:szCs w:val="22"/>
        </w:rPr>
        <w:t xml:space="preserve">exercisable </w:t>
      </w:r>
      <w:r w:rsidRPr="00203C24">
        <w:rPr>
          <w:sz w:val="22"/>
          <w:szCs w:val="22"/>
        </w:rPr>
        <w:t xml:space="preserve">at </w:t>
      </w:r>
      <w:r w:rsidR="002B512D">
        <w:rPr>
          <w:sz w:val="22"/>
          <w:szCs w:val="22"/>
        </w:rPr>
        <w:t xml:space="preserve">a </w:t>
      </w:r>
      <w:r w:rsidRPr="00203C24">
        <w:rPr>
          <w:sz w:val="22"/>
          <w:szCs w:val="22"/>
        </w:rPr>
        <w:t>price of £</w:t>
      </w:r>
      <w:r w:rsidR="002B512D">
        <w:rPr>
          <w:sz w:val="22"/>
          <w:szCs w:val="22"/>
        </w:rPr>
        <w:t xml:space="preserve">0.03 </w:t>
      </w:r>
      <w:r w:rsidRPr="00203C24">
        <w:rPr>
          <w:sz w:val="22"/>
          <w:szCs w:val="22"/>
        </w:rPr>
        <w:t>per share. These expire on</w:t>
      </w:r>
      <w:r>
        <w:rPr>
          <w:sz w:val="22"/>
          <w:szCs w:val="22"/>
        </w:rPr>
        <w:t xml:space="preserve"> </w:t>
      </w:r>
      <w:r w:rsidR="00A47A25">
        <w:rPr>
          <w:sz w:val="22"/>
          <w:szCs w:val="22"/>
        </w:rPr>
        <w:t xml:space="preserve">21 </w:t>
      </w:r>
      <w:r>
        <w:rPr>
          <w:sz w:val="22"/>
          <w:szCs w:val="22"/>
        </w:rPr>
        <w:t>February 2021</w:t>
      </w:r>
      <w:r w:rsidRPr="00203C24">
        <w:rPr>
          <w:sz w:val="22"/>
          <w:szCs w:val="22"/>
        </w:rPr>
        <w:t>.</w:t>
      </w:r>
    </w:p>
    <w:p w14:paraId="2E2D82A0" w14:textId="77777777" w:rsidR="00203C24" w:rsidRPr="00203C24" w:rsidRDefault="00203C24" w:rsidP="00203C24">
      <w:pPr>
        <w:jc w:val="both"/>
        <w:rPr>
          <w:sz w:val="22"/>
          <w:szCs w:val="22"/>
        </w:rPr>
      </w:pPr>
    </w:p>
    <w:p w14:paraId="5F383046" w14:textId="4B1EAB7B" w:rsidR="00203C24" w:rsidRPr="00203C24" w:rsidRDefault="00203C24" w:rsidP="00203C24">
      <w:pPr>
        <w:jc w:val="both"/>
        <w:rPr>
          <w:sz w:val="22"/>
          <w:szCs w:val="22"/>
          <w:u w:val="single"/>
        </w:rPr>
      </w:pPr>
      <w:bookmarkStart w:id="18" w:name="DBG1990"/>
      <w:bookmarkStart w:id="19" w:name="DBG1994"/>
      <w:bookmarkEnd w:id="18"/>
      <w:bookmarkEnd w:id="19"/>
      <w:r w:rsidRPr="00203C24">
        <w:rPr>
          <w:sz w:val="22"/>
          <w:szCs w:val="22"/>
          <w:u w:val="single"/>
        </w:rPr>
        <w:t xml:space="preserve">At the </w:t>
      </w:r>
      <w:r w:rsidR="007D730A">
        <w:rPr>
          <w:sz w:val="22"/>
          <w:szCs w:val="22"/>
          <w:u w:val="single"/>
        </w:rPr>
        <w:t>year</w:t>
      </w:r>
      <w:r w:rsidRPr="00203C24">
        <w:rPr>
          <w:sz w:val="22"/>
          <w:szCs w:val="22"/>
          <w:u w:val="single"/>
        </w:rPr>
        <w:t>-end there were the following share warrants:</w:t>
      </w:r>
    </w:p>
    <w:p w14:paraId="793D05E6" w14:textId="18A60369" w:rsidR="00203C24" w:rsidRPr="00203C24" w:rsidRDefault="004B51A7" w:rsidP="0003624D">
      <w:pPr>
        <w:jc w:val="both"/>
        <w:rPr>
          <w:sz w:val="22"/>
          <w:szCs w:val="22"/>
        </w:rPr>
      </w:pPr>
      <w:bookmarkStart w:id="20" w:name="DBG1995"/>
      <w:bookmarkEnd w:id="20"/>
      <w:r>
        <w:rPr>
          <w:sz w:val="22"/>
          <w:szCs w:val="22"/>
        </w:rPr>
        <w:t xml:space="preserve">2,500,000 </w:t>
      </w:r>
      <w:r w:rsidR="00203C24" w:rsidRPr="00203C24">
        <w:rPr>
          <w:sz w:val="22"/>
          <w:szCs w:val="22"/>
        </w:rPr>
        <w:t xml:space="preserve">share warrants held by </w:t>
      </w:r>
      <w:r w:rsidR="00A47A25">
        <w:rPr>
          <w:sz w:val="22"/>
          <w:szCs w:val="22"/>
        </w:rPr>
        <w:t xml:space="preserve">a former </w:t>
      </w:r>
      <w:r w:rsidR="00203C24" w:rsidRPr="00203C24">
        <w:rPr>
          <w:sz w:val="22"/>
          <w:szCs w:val="22"/>
        </w:rPr>
        <w:t xml:space="preserve">director on ordinary shares of £0.0001 each </w:t>
      </w:r>
      <w:r w:rsidR="002B512D">
        <w:rPr>
          <w:sz w:val="22"/>
          <w:szCs w:val="22"/>
        </w:rPr>
        <w:t xml:space="preserve">exercisable </w:t>
      </w:r>
      <w:r w:rsidR="00203C24" w:rsidRPr="00203C24">
        <w:rPr>
          <w:sz w:val="22"/>
          <w:szCs w:val="22"/>
        </w:rPr>
        <w:t xml:space="preserve">at </w:t>
      </w:r>
      <w:r w:rsidR="002B512D">
        <w:rPr>
          <w:sz w:val="22"/>
          <w:szCs w:val="22"/>
        </w:rPr>
        <w:t xml:space="preserve">a </w:t>
      </w:r>
      <w:r w:rsidR="00203C24" w:rsidRPr="00203C24">
        <w:rPr>
          <w:sz w:val="22"/>
          <w:szCs w:val="22"/>
        </w:rPr>
        <w:t>price of £</w:t>
      </w:r>
      <w:r w:rsidR="002B512D">
        <w:rPr>
          <w:sz w:val="22"/>
          <w:szCs w:val="22"/>
        </w:rPr>
        <w:t xml:space="preserve"> 0.03</w:t>
      </w:r>
      <w:r w:rsidR="00203C24" w:rsidRPr="00203C24">
        <w:rPr>
          <w:sz w:val="22"/>
          <w:szCs w:val="22"/>
        </w:rPr>
        <w:t xml:space="preserve"> per share. These expire on</w:t>
      </w:r>
      <w:r w:rsidR="002B512D">
        <w:rPr>
          <w:sz w:val="22"/>
          <w:szCs w:val="22"/>
        </w:rPr>
        <w:t xml:space="preserve"> </w:t>
      </w:r>
      <w:r w:rsidR="00EE20BA">
        <w:rPr>
          <w:sz w:val="22"/>
          <w:szCs w:val="22"/>
        </w:rPr>
        <w:t>30 March 2021</w:t>
      </w:r>
      <w:r w:rsidR="00203C24" w:rsidRPr="00203C24">
        <w:rPr>
          <w:sz w:val="22"/>
          <w:szCs w:val="22"/>
        </w:rPr>
        <w:t>.</w:t>
      </w:r>
    </w:p>
    <w:p w14:paraId="15C38CA9" w14:textId="77777777" w:rsidR="00203C24" w:rsidRDefault="00203C24" w:rsidP="0003624D">
      <w:pPr>
        <w:jc w:val="both"/>
        <w:rPr>
          <w:sz w:val="22"/>
          <w:szCs w:val="22"/>
        </w:rPr>
      </w:pPr>
      <w:bookmarkStart w:id="21" w:name="DBG1997"/>
      <w:bookmarkEnd w:id="21"/>
    </w:p>
    <w:p w14:paraId="467D2189" w14:textId="32858333" w:rsidR="001C41D3" w:rsidRDefault="007D730A" w:rsidP="0003624D">
      <w:pPr>
        <w:jc w:val="both"/>
        <w:rPr>
          <w:sz w:val="22"/>
          <w:szCs w:val="22"/>
        </w:rPr>
      </w:pPr>
      <w:r>
        <w:rPr>
          <w:sz w:val="22"/>
          <w:szCs w:val="22"/>
        </w:rPr>
        <w:t>82,666,660</w:t>
      </w:r>
      <w:r w:rsidR="001C41D3">
        <w:rPr>
          <w:sz w:val="22"/>
          <w:szCs w:val="22"/>
        </w:rPr>
        <w:t xml:space="preserve"> </w:t>
      </w:r>
      <w:r w:rsidR="001C41D3" w:rsidRPr="00203C24">
        <w:rPr>
          <w:sz w:val="22"/>
          <w:szCs w:val="22"/>
        </w:rPr>
        <w:t xml:space="preserve">share warrants on ordinary shares of £0.0001 each </w:t>
      </w:r>
      <w:r w:rsidR="002B512D">
        <w:rPr>
          <w:sz w:val="22"/>
          <w:szCs w:val="22"/>
        </w:rPr>
        <w:t xml:space="preserve">exercisable </w:t>
      </w:r>
      <w:r w:rsidR="001C41D3" w:rsidRPr="00203C24">
        <w:rPr>
          <w:sz w:val="22"/>
          <w:szCs w:val="22"/>
        </w:rPr>
        <w:t xml:space="preserve">at </w:t>
      </w:r>
      <w:r w:rsidR="002B512D">
        <w:rPr>
          <w:sz w:val="22"/>
          <w:szCs w:val="22"/>
        </w:rPr>
        <w:t xml:space="preserve">a </w:t>
      </w:r>
      <w:r w:rsidR="001C41D3" w:rsidRPr="00203C24">
        <w:rPr>
          <w:sz w:val="22"/>
          <w:szCs w:val="22"/>
        </w:rPr>
        <w:t>price of £0.00</w:t>
      </w:r>
      <w:r w:rsidR="001C41D3">
        <w:rPr>
          <w:sz w:val="22"/>
          <w:szCs w:val="22"/>
        </w:rPr>
        <w:t>6</w:t>
      </w:r>
      <w:r w:rsidR="001C41D3" w:rsidRPr="00203C24">
        <w:rPr>
          <w:sz w:val="22"/>
          <w:szCs w:val="22"/>
        </w:rPr>
        <w:t xml:space="preserve"> per share. These expire on </w:t>
      </w:r>
      <w:r w:rsidR="001C41D3">
        <w:rPr>
          <w:sz w:val="22"/>
          <w:szCs w:val="22"/>
        </w:rPr>
        <w:t>23 July 2021</w:t>
      </w:r>
      <w:r w:rsidR="001C41D3" w:rsidRPr="00203C24">
        <w:rPr>
          <w:sz w:val="22"/>
          <w:szCs w:val="22"/>
        </w:rPr>
        <w:t>.</w:t>
      </w:r>
    </w:p>
    <w:p w14:paraId="7B86766A" w14:textId="497C4D26" w:rsidR="001C41D3" w:rsidRPr="00203C24" w:rsidRDefault="001C41D3" w:rsidP="00203C24">
      <w:pPr>
        <w:ind w:left="720"/>
        <w:jc w:val="both"/>
        <w:rPr>
          <w:sz w:val="22"/>
          <w:szCs w:val="22"/>
        </w:rPr>
      </w:pPr>
    </w:p>
    <w:p w14:paraId="7CC38DA4" w14:textId="506E5DBC" w:rsidR="00203C24" w:rsidRPr="00203C24" w:rsidRDefault="00203C24" w:rsidP="00203C24">
      <w:pPr>
        <w:jc w:val="both"/>
        <w:rPr>
          <w:sz w:val="22"/>
          <w:szCs w:val="22"/>
        </w:rPr>
      </w:pPr>
      <w:bookmarkStart w:id="22" w:name="DBG1999"/>
      <w:bookmarkEnd w:id="22"/>
      <w:r w:rsidRPr="00203C24">
        <w:rPr>
          <w:sz w:val="22"/>
          <w:szCs w:val="22"/>
        </w:rPr>
        <w:t xml:space="preserve">Each ordinary share is entitled to one vote in any circumstances. Each ordinary share is entitled </w:t>
      </w:r>
      <w:bookmarkStart w:id="23" w:name="DBG2000"/>
      <w:bookmarkEnd w:id="23"/>
      <w:proofErr w:type="spellStart"/>
      <w:r w:rsidRPr="00203C24">
        <w:rPr>
          <w:sz w:val="22"/>
          <w:szCs w:val="22"/>
        </w:rPr>
        <w:t>pari</w:t>
      </w:r>
      <w:proofErr w:type="spellEnd"/>
      <w:r w:rsidRPr="00203C24">
        <w:rPr>
          <w:sz w:val="22"/>
          <w:szCs w:val="22"/>
        </w:rPr>
        <w:t xml:space="preserve"> passu to dividend payments or any other distribution and to participate in a distribution </w:t>
      </w:r>
      <w:bookmarkStart w:id="24" w:name="DBG2001"/>
      <w:bookmarkEnd w:id="24"/>
      <w:r w:rsidRPr="00203C24">
        <w:rPr>
          <w:sz w:val="22"/>
          <w:szCs w:val="22"/>
        </w:rPr>
        <w:t>arising from a winding up of the Company.</w:t>
      </w:r>
    </w:p>
    <w:p w14:paraId="751DC582" w14:textId="77777777" w:rsidR="00203C24" w:rsidRPr="00203C24" w:rsidRDefault="00203C24" w:rsidP="00203C24">
      <w:pPr>
        <w:jc w:val="both"/>
        <w:rPr>
          <w:sz w:val="22"/>
          <w:szCs w:val="22"/>
        </w:rPr>
      </w:pPr>
    </w:p>
    <w:p w14:paraId="2AAEC7D6" w14:textId="1B8E32F9" w:rsidR="00082E49" w:rsidRDefault="00203C24" w:rsidP="00203C24">
      <w:pPr>
        <w:jc w:val="both"/>
        <w:rPr>
          <w:sz w:val="22"/>
          <w:szCs w:val="22"/>
        </w:rPr>
      </w:pPr>
      <w:bookmarkStart w:id="25" w:name="DBG2002"/>
      <w:bookmarkEnd w:id="25"/>
      <w:r w:rsidRPr="00203C24">
        <w:rPr>
          <w:sz w:val="22"/>
          <w:szCs w:val="22"/>
        </w:rPr>
        <w:t xml:space="preserve">Each deferred share has no voting rights and is not entitled to receive a dividend or other </w:t>
      </w:r>
      <w:bookmarkStart w:id="26" w:name="DBG2003"/>
      <w:bookmarkEnd w:id="26"/>
      <w:r w:rsidRPr="00203C24">
        <w:rPr>
          <w:sz w:val="22"/>
          <w:szCs w:val="22"/>
        </w:rPr>
        <w:t xml:space="preserve">distribution. Deferred shares are only entitled to receive the amount paid up after the holders of </w:t>
      </w:r>
      <w:bookmarkStart w:id="27" w:name="DBG2004"/>
      <w:bookmarkEnd w:id="27"/>
      <w:r w:rsidRPr="00203C24">
        <w:rPr>
          <w:sz w:val="22"/>
          <w:szCs w:val="22"/>
        </w:rPr>
        <w:t xml:space="preserve">ordinary shares have received the sum of £1 million for each ordinary share, and the deferred </w:t>
      </w:r>
      <w:bookmarkStart w:id="28" w:name="DBG2005"/>
      <w:bookmarkEnd w:id="28"/>
      <w:r w:rsidRPr="00203C24">
        <w:rPr>
          <w:sz w:val="22"/>
          <w:szCs w:val="22"/>
        </w:rPr>
        <w:t>shares have no other rights to participate in the assets of the Company.</w:t>
      </w:r>
    </w:p>
    <w:p w14:paraId="728FAAE8" w14:textId="77777777" w:rsidR="00082E49" w:rsidRDefault="00082E49" w:rsidP="00082E49">
      <w:pPr>
        <w:jc w:val="both"/>
        <w:rPr>
          <w:sz w:val="22"/>
          <w:szCs w:val="22"/>
        </w:rPr>
      </w:pPr>
    </w:p>
    <w:p w14:paraId="7B7C7E4E" w14:textId="6A2794F1" w:rsidR="007623F0" w:rsidRPr="00E221C0" w:rsidRDefault="001D6482" w:rsidP="00D45A8D">
      <w:pPr>
        <w:overflowPunct/>
        <w:autoSpaceDE/>
        <w:autoSpaceDN/>
        <w:adjustRightInd/>
        <w:textAlignment w:val="auto"/>
        <w:rPr>
          <w:b/>
          <w:sz w:val="22"/>
          <w:szCs w:val="22"/>
        </w:rPr>
      </w:pPr>
      <w:r w:rsidRPr="00A961DE">
        <w:rPr>
          <w:b/>
          <w:sz w:val="22"/>
          <w:szCs w:val="22"/>
        </w:rPr>
        <w:t>1</w:t>
      </w:r>
      <w:r w:rsidR="00574165">
        <w:rPr>
          <w:b/>
          <w:sz w:val="22"/>
          <w:szCs w:val="22"/>
        </w:rPr>
        <w:t>4</w:t>
      </w:r>
      <w:r w:rsidR="007623F0" w:rsidRPr="00A961DE">
        <w:rPr>
          <w:b/>
          <w:sz w:val="22"/>
          <w:szCs w:val="22"/>
        </w:rPr>
        <w:t>.</w:t>
      </w:r>
      <w:r w:rsidR="007623F0" w:rsidRPr="00A961DE">
        <w:rPr>
          <w:b/>
          <w:sz w:val="22"/>
          <w:szCs w:val="22"/>
        </w:rPr>
        <w:tab/>
        <w:t>RESERVES</w:t>
      </w:r>
    </w:p>
    <w:p w14:paraId="7206818D" w14:textId="77777777" w:rsidR="007623F0" w:rsidRPr="00753313" w:rsidRDefault="007623F0">
      <w:pPr>
        <w:rPr>
          <w:sz w:val="22"/>
          <w:szCs w:val="22"/>
        </w:rPr>
      </w:pPr>
    </w:p>
    <w:p w14:paraId="17D60EF9" w14:textId="43B00424" w:rsidR="007623F0" w:rsidRDefault="007623F0">
      <w:pPr>
        <w:jc w:val="both"/>
        <w:rPr>
          <w:sz w:val="22"/>
          <w:szCs w:val="22"/>
        </w:rPr>
      </w:pPr>
      <w:r w:rsidRPr="00753313">
        <w:rPr>
          <w:sz w:val="22"/>
          <w:szCs w:val="22"/>
        </w:rPr>
        <w:t>The following describes the nature and purpose of certain reserves within owners’ equity:</w:t>
      </w:r>
    </w:p>
    <w:p w14:paraId="529BAC19" w14:textId="77777777" w:rsidR="00780D88" w:rsidRPr="00753313" w:rsidRDefault="00780D88">
      <w:pPr>
        <w:jc w:val="both"/>
        <w:rPr>
          <w:sz w:val="22"/>
          <w:szCs w:val="22"/>
        </w:rPr>
      </w:pPr>
    </w:p>
    <w:p w14:paraId="0A091DD5" w14:textId="644C4D4A" w:rsidR="007623F0" w:rsidRPr="00753313" w:rsidRDefault="007623F0">
      <w:pPr>
        <w:jc w:val="both"/>
        <w:rPr>
          <w:sz w:val="22"/>
          <w:szCs w:val="22"/>
        </w:rPr>
      </w:pPr>
      <w:r w:rsidRPr="00753313">
        <w:rPr>
          <w:b/>
          <w:bCs/>
          <w:sz w:val="22"/>
          <w:szCs w:val="22"/>
        </w:rPr>
        <w:t>Share premium:</w:t>
      </w:r>
      <w:r w:rsidRPr="00753313">
        <w:rPr>
          <w:sz w:val="22"/>
          <w:szCs w:val="22"/>
        </w:rPr>
        <w:t xml:space="preserve"> Amounts subscribed for share capital in excess of nominal va</w:t>
      </w:r>
      <w:r w:rsidR="003A6E53">
        <w:rPr>
          <w:sz w:val="22"/>
          <w:szCs w:val="22"/>
        </w:rPr>
        <w:t xml:space="preserve">lue less costs of issue. </w:t>
      </w:r>
    </w:p>
    <w:p w14:paraId="1ACA30C6" w14:textId="77777777" w:rsidR="007623F0" w:rsidRPr="00753313" w:rsidRDefault="007623F0">
      <w:pPr>
        <w:pStyle w:val="xl24"/>
        <w:overflowPunct w:val="0"/>
        <w:autoSpaceDE w:val="0"/>
        <w:autoSpaceDN w:val="0"/>
        <w:adjustRightInd w:val="0"/>
        <w:spacing w:before="0" w:beforeAutospacing="0" w:after="0" w:afterAutospacing="0"/>
        <w:jc w:val="both"/>
        <w:textAlignment w:val="baseline"/>
        <w:rPr>
          <w:rFonts w:eastAsia="Times New Roman"/>
          <w:sz w:val="22"/>
          <w:szCs w:val="22"/>
          <w:lang w:val="en-GB"/>
        </w:rPr>
      </w:pPr>
    </w:p>
    <w:p w14:paraId="641ABFCF" w14:textId="6D6FF386" w:rsidR="007623F0" w:rsidRPr="00753313" w:rsidRDefault="00A71C46">
      <w:pPr>
        <w:jc w:val="both"/>
        <w:rPr>
          <w:sz w:val="22"/>
          <w:szCs w:val="22"/>
        </w:rPr>
      </w:pPr>
      <w:r w:rsidRPr="00A71C46">
        <w:rPr>
          <w:b/>
          <w:bCs/>
          <w:sz w:val="22"/>
          <w:szCs w:val="22"/>
        </w:rPr>
        <w:t>Profit and loss account</w:t>
      </w:r>
      <w:r>
        <w:rPr>
          <w:b/>
          <w:bCs/>
          <w:sz w:val="22"/>
          <w:szCs w:val="22"/>
        </w:rPr>
        <w:t xml:space="preserve">: </w:t>
      </w:r>
      <w:r w:rsidRPr="00A71C46">
        <w:rPr>
          <w:sz w:val="22"/>
          <w:szCs w:val="22"/>
        </w:rPr>
        <w:t>This reserve records retained earnings and accumulated losses.</w:t>
      </w:r>
    </w:p>
    <w:p w14:paraId="17E4485F" w14:textId="77777777" w:rsidR="007D15C4" w:rsidRDefault="007D15C4">
      <w:pPr>
        <w:jc w:val="both"/>
        <w:rPr>
          <w:b/>
          <w:bCs/>
          <w:sz w:val="22"/>
          <w:szCs w:val="22"/>
        </w:rPr>
      </w:pPr>
    </w:p>
    <w:p w14:paraId="713D6301" w14:textId="1FF512F0" w:rsidR="007623F0" w:rsidRPr="00753313" w:rsidRDefault="007623F0">
      <w:pPr>
        <w:jc w:val="both"/>
        <w:rPr>
          <w:bCs/>
          <w:sz w:val="22"/>
          <w:szCs w:val="22"/>
        </w:rPr>
      </w:pPr>
      <w:r w:rsidRPr="00753313">
        <w:rPr>
          <w:b/>
          <w:bCs/>
          <w:sz w:val="22"/>
          <w:szCs w:val="22"/>
        </w:rPr>
        <w:t xml:space="preserve">Foreign currency reserve: </w:t>
      </w:r>
      <w:r w:rsidRPr="00753313">
        <w:rPr>
          <w:bCs/>
          <w:sz w:val="22"/>
          <w:szCs w:val="22"/>
        </w:rPr>
        <w:t>Gains/losses arising on retranslating the net assets of the Group into pounds sterling.</w:t>
      </w:r>
    </w:p>
    <w:p w14:paraId="5B0C1266" w14:textId="77777777" w:rsidR="007623F0" w:rsidRPr="00753313" w:rsidRDefault="007623F0">
      <w:pPr>
        <w:jc w:val="both"/>
        <w:rPr>
          <w:bCs/>
          <w:sz w:val="22"/>
          <w:szCs w:val="22"/>
        </w:rPr>
      </w:pPr>
    </w:p>
    <w:p w14:paraId="30283D27" w14:textId="5A871704" w:rsidR="007623F0" w:rsidRPr="00753313" w:rsidRDefault="001D6482">
      <w:pPr>
        <w:jc w:val="both"/>
        <w:rPr>
          <w:sz w:val="22"/>
          <w:szCs w:val="22"/>
        </w:rPr>
      </w:pPr>
      <w:r>
        <w:rPr>
          <w:b/>
          <w:sz w:val="22"/>
          <w:szCs w:val="22"/>
        </w:rPr>
        <w:t>1</w:t>
      </w:r>
      <w:r w:rsidR="00574165">
        <w:rPr>
          <w:b/>
          <w:sz w:val="22"/>
          <w:szCs w:val="22"/>
        </w:rPr>
        <w:t>5</w:t>
      </w:r>
      <w:r w:rsidR="007623F0" w:rsidRPr="00753313">
        <w:rPr>
          <w:b/>
          <w:sz w:val="22"/>
          <w:szCs w:val="22"/>
        </w:rPr>
        <w:t>.</w:t>
      </w:r>
      <w:r w:rsidR="007623F0" w:rsidRPr="00753313">
        <w:rPr>
          <w:b/>
          <w:sz w:val="22"/>
          <w:szCs w:val="22"/>
        </w:rPr>
        <w:tab/>
        <w:t>CAPITAL COMMITMENTS</w:t>
      </w:r>
      <w:r w:rsidR="007623F0" w:rsidRPr="00753313">
        <w:rPr>
          <w:sz w:val="22"/>
          <w:szCs w:val="22"/>
        </w:rPr>
        <w:tab/>
      </w:r>
      <w:r w:rsidR="007623F0" w:rsidRPr="00753313">
        <w:rPr>
          <w:sz w:val="22"/>
          <w:szCs w:val="22"/>
        </w:rPr>
        <w:br/>
      </w:r>
    </w:p>
    <w:p w14:paraId="0D53C4A9" w14:textId="47B0D6E0" w:rsidR="00C84D7D" w:rsidRDefault="002132A5" w:rsidP="008204EC">
      <w:pPr>
        <w:jc w:val="both"/>
        <w:rPr>
          <w:sz w:val="22"/>
          <w:szCs w:val="22"/>
        </w:rPr>
      </w:pPr>
      <w:r w:rsidRPr="00A71C46">
        <w:rPr>
          <w:sz w:val="22"/>
          <w:szCs w:val="22"/>
        </w:rPr>
        <w:t xml:space="preserve">As at </w:t>
      </w:r>
      <w:r w:rsidR="00511F15">
        <w:rPr>
          <w:sz w:val="22"/>
          <w:szCs w:val="22"/>
        </w:rPr>
        <w:t>31 December</w:t>
      </w:r>
      <w:r w:rsidR="00DF5325" w:rsidRPr="00A71C46">
        <w:rPr>
          <w:sz w:val="22"/>
          <w:szCs w:val="22"/>
        </w:rPr>
        <w:t xml:space="preserve"> </w:t>
      </w:r>
      <w:r w:rsidRPr="00A71C46">
        <w:rPr>
          <w:sz w:val="22"/>
          <w:szCs w:val="22"/>
        </w:rPr>
        <w:t>20</w:t>
      </w:r>
      <w:r w:rsidR="00865FBB">
        <w:rPr>
          <w:sz w:val="22"/>
          <w:szCs w:val="22"/>
        </w:rPr>
        <w:t>20</w:t>
      </w:r>
      <w:r w:rsidRPr="00A71C46">
        <w:rPr>
          <w:sz w:val="22"/>
          <w:szCs w:val="22"/>
        </w:rPr>
        <w:t xml:space="preserve">, the </w:t>
      </w:r>
      <w:r w:rsidR="00A23583" w:rsidRPr="00A71C46">
        <w:rPr>
          <w:sz w:val="22"/>
          <w:szCs w:val="22"/>
        </w:rPr>
        <w:t xml:space="preserve">Group / Company had </w:t>
      </w:r>
      <w:r w:rsidR="00A71C46" w:rsidRPr="00A71C46">
        <w:rPr>
          <w:sz w:val="22"/>
          <w:szCs w:val="22"/>
        </w:rPr>
        <w:t>no capital</w:t>
      </w:r>
      <w:r w:rsidR="00A71C46">
        <w:rPr>
          <w:sz w:val="22"/>
          <w:szCs w:val="22"/>
        </w:rPr>
        <w:t xml:space="preserve"> commitments.</w:t>
      </w:r>
      <w:r w:rsidR="00C84D7D">
        <w:rPr>
          <w:sz w:val="22"/>
          <w:szCs w:val="22"/>
        </w:rPr>
        <w:t xml:space="preserve"> </w:t>
      </w:r>
    </w:p>
    <w:p w14:paraId="044A984E" w14:textId="77777777" w:rsidR="00C84D7D" w:rsidRDefault="00C84D7D">
      <w:pPr>
        <w:jc w:val="both"/>
        <w:rPr>
          <w:sz w:val="22"/>
          <w:szCs w:val="22"/>
          <w:highlight w:val="yellow"/>
        </w:rPr>
      </w:pPr>
    </w:p>
    <w:p w14:paraId="71CCF358" w14:textId="0B8ADF61" w:rsidR="007623F0" w:rsidRPr="00753313" w:rsidRDefault="007B5847">
      <w:pPr>
        <w:jc w:val="both"/>
        <w:rPr>
          <w:sz w:val="22"/>
          <w:szCs w:val="22"/>
        </w:rPr>
      </w:pPr>
      <w:r>
        <w:rPr>
          <w:b/>
          <w:sz w:val="22"/>
          <w:szCs w:val="22"/>
        </w:rPr>
        <w:t>1</w:t>
      </w:r>
      <w:r w:rsidR="00574165">
        <w:rPr>
          <w:b/>
          <w:sz w:val="22"/>
          <w:szCs w:val="22"/>
        </w:rPr>
        <w:t>6</w:t>
      </w:r>
      <w:r w:rsidR="007623F0" w:rsidRPr="00753313">
        <w:rPr>
          <w:b/>
          <w:sz w:val="22"/>
          <w:szCs w:val="22"/>
        </w:rPr>
        <w:t>.</w:t>
      </w:r>
      <w:r w:rsidR="007623F0" w:rsidRPr="00753313">
        <w:rPr>
          <w:b/>
          <w:sz w:val="22"/>
          <w:szCs w:val="22"/>
        </w:rPr>
        <w:tab/>
        <w:t>CONTINGENT LIABILITIES</w:t>
      </w:r>
      <w:r w:rsidR="007623F0" w:rsidRPr="00753313">
        <w:rPr>
          <w:sz w:val="22"/>
          <w:szCs w:val="22"/>
        </w:rPr>
        <w:tab/>
      </w:r>
      <w:r w:rsidR="007623F0" w:rsidRPr="00753313">
        <w:rPr>
          <w:sz w:val="22"/>
          <w:szCs w:val="22"/>
        </w:rPr>
        <w:br/>
      </w:r>
    </w:p>
    <w:p w14:paraId="5EA06290" w14:textId="172EEEC4" w:rsidR="007623F0" w:rsidRPr="00753313" w:rsidRDefault="007623F0">
      <w:pPr>
        <w:jc w:val="both"/>
        <w:rPr>
          <w:sz w:val="22"/>
          <w:szCs w:val="22"/>
        </w:rPr>
      </w:pPr>
      <w:r w:rsidRPr="00753313">
        <w:rPr>
          <w:sz w:val="22"/>
          <w:szCs w:val="22"/>
        </w:rPr>
        <w:t xml:space="preserve">There were no contingent liabilities at </w:t>
      </w:r>
      <w:r w:rsidR="00511F15">
        <w:rPr>
          <w:sz w:val="22"/>
          <w:szCs w:val="22"/>
        </w:rPr>
        <w:t xml:space="preserve">31 December </w:t>
      </w:r>
      <w:r w:rsidR="00865FBB">
        <w:rPr>
          <w:sz w:val="22"/>
          <w:szCs w:val="22"/>
        </w:rPr>
        <w:t>2020</w:t>
      </w:r>
      <w:r w:rsidR="00865FBB" w:rsidRPr="00753313">
        <w:rPr>
          <w:sz w:val="22"/>
          <w:szCs w:val="22"/>
        </w:rPr>
        <w:t xml:space="preserve"> </w:t>
      </w:r>
      <w:r w:rsidRPr="00753313">
        <w:rPr>
          <w:sz w:val="22"/>
          <w:szCs w:val="22"/>
        </w:rPr>
        <w:t>(</w:t>
      </w:r>
      <w:r w:rsidR="00511F15">
        <w:rPr>
          <w:sz w:val="22"/>
          <w:szCs w:val="22"/>
        </w:rPr>
        <w:t xml:space="preserve">at </w:t>
      </w:r>
      <w:r w:rsidR="00865FBB">
        <w:rPr>
          <w:sz w:val="22"/>
          <w:szCs w:val="22"/>
        </w:rPr>
        <w:t>31 December</w:t>
      </w:r>
      <w:r w:rsidR="00511F15">
        <w:rPr>
          <w:sz w:val="22"/>
          <w:szCs w:val="22"/>
        </w:rPr>
        <w:t xml:space="preserve"> </w:t>
      </w:r>
      <w:r w:rsidRPr="00753313">
        <w:rPr>
          <w:sz w:val="22"/>
          <w:szCs w:val="22"/>
        </w:rPr>
        <w:t>201</w:t>
      </w:r>
      <w:r w:rsidR="00511F15">
        <w:rPr>
          <w:sz w:val="22"/>
          <w:szCs w:val="22"/>
        </w:rPr>
        <w:t>9</w:t>
      </w:r>
      <w:r w:rsidRPr="00753313">
        <w:rPr>
          <w:sz w:val="22"/>
          <w:szCs w:val="22"/>
        </w:rPr>
        <w:t>: £nil).</w:t>
      </w:r>
    </w:p>
    <w:p w14:paraId="13A756FD" w14:textId="54ACAC7C" w:rsidR="00B66BD9" w:rsidRDefault="00B66BD9" w:rsidP="00B66BD9">
      <w:pPr>
        <w:jc w:val="both"/>
        <w:rPr>
          <w:sz w:val="22"/>
          <w:szCs w:val="22"/>
        </w:rPr>
      </w:pPr>
    </w:p>
    <w:p w14:paraId="1B798065" w14:textId="4AA1EBFD" w:rsidR="00396E15" w:rsidRDefault="00396E15">
      <w:pPr>
        <w:jc w:val="both"/>
        <w:rPr>
          <w:b/>
          <w:sz w:val="22"/>
          <w:szCs w:val="22"/>
        </w:rPr>
      </w:pPr>
    </w:p>
    <w:p w14:paraId="40E72D77" w14:textId="77777777" w:rsidR="0061079E" w:rsidRDefault="0061079E">
      <w:pPr>
        <w:jc w:val="both"/>
        <w:rPr>
          <w:b/>
          <w:sz w:val="22"/>
          <w:szCs w:val="22"/>
        </w:rPr>
      </w:pPr>
    </w:p>
    <w:p w14:paraId="5D914D81" w14:textId="77777777" w:rsidR="00396E15" w:rsidRDefault="00396E15">
      <w:pPr>
        <w:jc w:val="both"/>
        <w:rPr>
          <w:b/>
          <w:sz w:val="22"/>
          <w:szCs w:val="22"/>
        </w:rPr>
      </w:pPr>
    </w:p>
    <w:p w14:paraId="6FC87176" w14:textId="77777777" w:rsidR="00396E15" w:rsidRDefault="00396E15">
      <w:pPr>
        <w:jc w:val="both"/>
        <w:rPr>
          <w:b/>
          <w:sz w:val="22"/>
          <w:szCs w:val="22"/>
        </w:rPr>
      </w:pPr>
    </w:p>
    <w:p w14:paraId="164B1062" w14:textId="2A573CE9" w:rsidR="007623F0" w:rsidRPr="00753313" w:rsidRDefault="00780D88">
      <w:pPr>
        <w:jc w:val="both"/>
        <w:rPr>
          <w:sz w:val="22"/>
          <w:szCs w:val="22"/>
        </w:rPr>
      </w:pPr>
      <w:r>
        <w:rPr>
          <w:b/>
          <w:sz w:val="22"/>
          <w:szCs w:val="22"/>
        </w:rPr>
        <w:t>1</w:t>
      </w:r>
      <w:r w:rsidR="00574165">
        <w:rPr>
          <w:b/>
          <w:sz w:val="22"/>
          <w:szCs w:val="22"/>
        </w:rPr>
        <w:t>7</w:t>
      </w:r>
      <w:r w:rsidR="007623F0" w:rsidRPr="00753313">
        <w:rPr>
          <w:b/>
          <w:sz w:val="22"/>
          <w:szCs w:val="22"/>
        </w:rPr>
        <w:t>.</w:t>
      </w:r>
      <w:r w:rsidR="007623F0" w:rsidRPr="00753313">
        <w:rPr>
          <w:b/>
          <w:sz w:val="22"/>
          <w:szCs w:val="22"/>
        </w:rPr>
        <w:tab/>
      </w:r>
      <w:r w:rsidR="007623F0" w:rsidRPr="00965FA6">
        <w:rPr>
          <w:b/>
          <w:sz w:val="22"/>
          <w:szCs w:val="22"/>
        </w:rPr>
        <w:t>RELATED PARTY TRANSACTIONS</w:t>
      </w:r>
    </w:p>
    <w:p w14:paraId="58C032C7" w14:textId="77777777" w:rsidR="007623F0" w:rsidRPr="00753313" w:rsidRDefault="007623F0">
      <w:pPr>
        <w:pStyle w:val="BodyText2"/>
        <w:rPr>
          <w:sz w:val="22"/>
          <w:szCs w:val="22"/>
        </w:rPr>
      </w:pPr>
    </w:p>
    <w:p w14:paraId="3E678759" w14:textId="723894F1" w:rsidR="00FD07E3" w:rsidRPr="00753313" w:rsidRDefault="00FD07E3" w:rsidP="00FD07E3">
      <w:pPr>
        <w:jc w:val="both"/>
        <w:rPr>
          <w:sz w:val="22"/>
          <w:szCs w:val="22"/>
        </w:rPr>
      </w:pPr>
      <w:bookmarkStart w:id="29" w:name="DBG2082"/>
      <w:bookmarkEnd w:id="29"/>
      <w:r>
        <w:rPr>
          <w:sz w:val="22"/>
          <w:szCs w:val="22"/>
        </w:rPr>
        <w:t xml:space="preserve">R Gerritsen is a director and shareholder of the Company. During the </w:t>
      </w:r>
      <w:r w:rsidR="00361939">
        <w:rPr>
          <w:sz w:val="22"/>
          <w:szCs w:val="22"/>
        </w:rPr>
        <w:t xml:space="preserve">year </w:t>
      </w:r>
      <w:r>
        <w:rPr>
          <w:sz w:val="22"/>
          <w:szCs w:val="22"/>
        </w:rPr>
        <w:t>he provided consultancy services totalling £</w:t>
      </w:r>
      <w:r w:rsidR="00361939">
        <w:rPr>
          <w:sz w:val="22"/>
          <w:szCs w:val="22"/>
        </w:rPr>
        <w:t>92,270</w:t>
      </w:r>
      <w:r>
        <w:rPr>
          <w:sz w:val="22"/>
          <w:szCs w:val="22"/>
        </w:rPr>
        <w:t xml:space="preserve"> (to </w:t>
      </w:r>
      <w:r w:rsidR="00361939">
        <w:rPr>
          <w:sz w:val="22"/>
          <w:szCs w:val="22"/>
        </w:rPr>
        <w:t>31 December</w:t>
      </w:r>
      <w:r>
        <w:rPr>
          <w:sz w:val="22"/>
          <w:szCs w:val="22"/>
        </w:rPr>
        <w:t xml:space="preserve"> 2019: £</w:t>
      </w:r>
      <w:r w:rsidR="00361939">
        <w:rPr>
          <w:sz w:val="22"/>
          <w:szCs w:val="22"/>
        </w:rPr>
        <w:t>51,670</w:t>
      </w:r>
      <w:r>
        <w:rPr>
          <w:sz w:val="22"/>
          <w:szCs w:val="22"/>
        </w:rPr>
        <w:t xml:space="preserve">) in respect of his fees as a director of the Company. </w:t>
      </w:r>
    </w:p>
    <w:p w14:paraId="24C04164" w14:textId="102B2ED6" w:rsidR="00FD07E3" w:rsidRDefault="00FD07E3" w:rsidP="00FD07E3">
      <w:pPr>
        <w:jc w:val="both"/>
        <w:rPr>
          <w:sz w:val="22"/>
          <w:szCs w:val="22"/>
        </w:rPr>
      </w:pPr>
    </w:p>
    <w:p w14:paraId="63B08DB9" w14:textId="6F5141A3" w:rsidR="00361939" w:rsidRDefault="00361939" w:rsidP="00FD07E3">
      <w:pPr>
        <w:jc w:val="both"/>
        <w:rPr>
          <w:sz w:val="22"/>
          <w:szCs w:val="22"/>
        </w:rPr>
      </w:pPr>
      <w:r>
        <w:rPr>
          <w:sz w:val="22"/>
          <w:szCs w:val="22"/>
        </w:rPr>
        <w:t>P Rocco is a director and shareholder of the Company. During the year he provided consultancy services totalling £44,167 (to 31 December 2019: £24,000) in respect of his fees as a director of the Company.</w:t>
      </w:r>
    </w:p>
    <w:p w14:paraId="1BC4A83B" w14:textId="08FE3E1D" w:rsidR="00E36AB7" w:rsidRDefault="00E36AB7" w:rsidP="00E36AB7">
      <w:pPr>
        <w:jc w:val="both"/>
        <w:rPr>
          <w:sz w:val="22"/>
          <w:szCs w:val="22"/>
        </w:rPr>
      </w:pPr>
    </w:p>
    <w:p w14:paraId="60B7415C" w14:textId="77777777" w:rsidR="00191852" w:rsidRDefault="00BD73A0" w:rsidP="00BD73A0">
      <w:pPr>
        <w:jc w:val="both"/>
        <w:rPr>
          <w:sz w:val="22"/>
          <w:szCs w:val="22"/>
        </w:rPr>
      </w:pPr>
      <w:r>
        <w:rPr>
          <w:sz w:val="22"/>
          <w:szCs w:val="22"/>
        </w:rPr>
        <w:t xml:space="preserve">R Gerritsen </w:t>
      </w:r>
      <w:r w:rsidR="00A8362A">
        <w:rPr>
          <w:sz w:val="22"/>
          <w:szCs w:val="22"/>
        </w:rPr>
        <w:t xml:space="preserve">was </w:t>
      </w:r>
      <w:r>
        <w:rPr>
          <w:sz w:val="22"/>
          <w:szCs w:val="22"/>
        </w:rPr>
        <w:t>a director of London Stock Exchange listed company, Cobra Resources plc (“Cobra”)</w:t>
      </w:r>
      <w:r w:rsidR="00A8362A">
        <w:rPr>
          <w:sz w:val="22"/>
          <w:szCs w:val="22"/>
        </w:rPr>
        <w:t xml:space="preserve"> until 1 May 2020</w:t>
      </w:r>
      <w:r>
        <w:rPr>
          <w:sz w:val="22"/>
          <w:szCs w:val="22"/>
        </w:rPr>
        <w:t xml:space="preserve">. On 10 December 2019 the Company agreed to assist Cobra during its fundraise and invested £25,000 to be satisfied by the issuance of 2,500,000 new ordinary shares in Cobra. On 15 November 2018 the Company entered into an Advisory Service Agreement with Cobra whereby the Company (the “Adviser”) agreed to provide advisory services to Cobra during its admission to the Main Market of the London Stock Exchange. </w:t>
      </w:r>
    </w:p>
    <w:p w14:paraId="1355A05D" w14:textId="77777777" w:rsidR="00191852" w:rsidRDefault="00191852" w:rsidP="00BD73A0">
      <w:pPr>
        <w:jc w:val="both"/>
        <w:rPr>
          <w:sz w:val="22"/>
          <w:szCs w:val="22"/>
        </w:rPr>
      </w:pPr>
    </w:p>
    <w:p w14:paraId="546595A7" w14:textId="66669721" w:rsidR="00BD73A0" w:rsidRDefault="00BD73A0" w:rsidP="00BD73A0">
      <w:pPr>
        <w:jc w:val="both"/>
        <w:rPr>
          <w:sz w:val="22"/>
          <w:szCs w:val="22"/>
          <w:highlight w:val="yellow"/>
          <w:lang w:eastAsia="en-GB"/>
        </w:rPr>
      </w:pPr>
      <w:r>
        <w:rPr>
          <w:sz w:val="22"/>
          <w:szCs w:val="22"/>
        </w:rPr>
        <w:t xml:space="preserve">The Company was entitled to a fee in connection with Admission to be satisfied by the issued of 4,166,666 new ordinary shares in Cobra, amounting to £62,500. </w:t>
      </w:r>
      <w:r w:rsidR="00A8362A">
        <w:rPr>
          <w:sz w:val="22"/>
          <w:szCs w:val="22"/>
        </w:rPr>
        <w:t>During the year the Company disposed of its entire holding of 6,666,666 Cobra shares for net proceeds of £102,467.</w:t>
      </w:r>
    </w:p>
    <w:p w14:paraId="1CA199A8" w14:textId="4BFB9E38" w:rsidR="00BD73A0" w:rsidRDefault="00BD73A0" w:rsidP="00E36AB7">
      <w:pPr>
        <w:jc w:val="both"/>
        <w:rPr>
          <w:sz w:val="22"/>
          <w:szCs w:val="22"/>
        </w:rPr>
      </w:pPr>
    </w:p>
    <w:p w14:paraId="0EF1A443" w14:textId="3BF6FCA5" w:rsidR="000D1C4F" w:rsidRDefault="000D1C4F" w:rsidP="00E36AB7">
      <w:pPr>
        <w:jc w:val="both"/>
        <w:rPr>
          <w:sz w:val="22"/>
          <w:szCs w:val="22"/>
        </w:rPr>
      </w:pPr>
      <w:r>
        <w:rPr>
          <w:sz w:val="22"/>
          <w:szCs w:val="22"/>
        </w:rPr>
        <w:t xml:space="preserve">R Gerritsen </w:t>
      </w:r>
      <w:r w:rsidR="00E87079">
        <w:rPr>
          <w:sz w:val="22"/>
          <w:szCs w:val="22"/>
        </w:rPr>
        <w:t xml:space="preserve">and P Rocco are </w:t>
      </w:r>
      <w:r>
        <w:rPr>
          <w:sz w:val="22"/>
          <w:szCs w:val="22"/>
        </w:rPr>
        <w:t>director</w:t>
      </w:r>
      <w:r w:rsidR="00E87079">
        <w:rPr>
          <w:sz w:val="22"/>
          <w:szCs w:val="22"/>
        </w:rPr>
        <w:t>s</w:t>
      </w:r>
      <w:r>
        <w:rPr>
          <w:sz w:val="22"/>
          <w:szCs w:val="22"/>
        </w:rPr>
        <w:t xml:space="preserve"> of BritNRG Limited, the Company’s special purpose vehicle created for the acquisition of </w:t>
      </w:r>
      <w:proofErr w:type="spellStart"/>
      <w:r>
        <w:rPr>
          <w:sz w:val="22"/>
          <w:szCs w:val="22"/>
        </w:rPr>
        <w:t>Sunswept</w:t>
      </w:r>
      <w:proofErr w:type="spellEnd"/>
      <w:r>
        <w:rPr>
          <w:sz w:val="22"/>
          <w:szCs w:val="22"/>
        </w:rPr>
        <w:t xml:space="preserve"> Enterprise</w:t>
      </w:r>
      <w:r w:rsidR="00854BC7">
        <w:rPr>
          <w:sz w:val="22"/>
          <w:szCs w:val="22"/>
        </w:rPr>
        <w:t>s</w:t>
      </w:r>
      <w:r>
        <w:rPr>
          <w:sz w:val="22"/>
          <w:szCs w:val="22"/>
        </w:rPr>
        <w:t xml:space="preserve"> Limited and associated subsidiaries. A convertible loan note was </w:t>
      </w:r>
      <w:r w:rsidR="005A6664">
        <w:rPr>
          <w:sz w:val="22"/>
          <w:szCs w:val="22"/>
        </w:rPr>
        <w:t xml:space="preserve">entered </w:t>
      </w:r>
      <w:r>
        <w:rPr>
          <w:sz w:val="22"/>
          <w:szCs w:val="22"/>
        </w:rPr>
        <w:t>into by the Company and BritNRG for a total amount of £475,000 payable in 3 tranches. The first tranche of £25,000 was paid upon signing o</w:t>
      </w:r>
      <w:r w:rsidR="005A6664">
        <w:rPr>
          <w:sz w:val="22"/>
          <w:szCs w:val="22"/>
        </w:rPr>
        <w:t>f</w:t>
      </w:r>
      <w:r>
        <w:rPr>
          <w:sz w:val="22"/>
          <w:szCs w:val="22"/>
        </w:rPr>
        <w:t xml:space="preserve"> the heads of terms </w:t>
      </w:r>
      <w:r w:rsidR="005A6664">
        <w:rPr>
          <w:sz w:val="22"/>
          <w:szCs w:val="22"/>
        </w:rPr>
        <w:t>on 10 June 2020. Furthermore, the Company has assisted BritNRG Limited with its legal costs totalling £49,724, of which £37,724 is deemed irrecoverable by MetalNRG and as such have been written off.</w:t>
      </w:r>
      <w:r w:rsidR="00854BC7">
        <w:rPr>
          <w:sz w:val="22"/>
          <w:szCs w:val="22"/>
        </w:rPr>
        <w:t xml:space="preserve"> Since the year end BritNRG Limited (through an associated subsidiary, Blackland Park Exploration Limited) has settled £12,000 in costs.</w:t>
      </w:r>
    </w:p>
    <w:p w14:paraId="7D6F0D0E" w14:textId="77777777" w:rsidR="00191852" w:rsidRDefault="00191852" w:rsidP="00055659">
      <w:pPr>
        <w:jc w:val="both"/>
        <w:rPr>
          <w:b/>
          <w:sz w:val="22"/>
          <w:szCs w:val="22"/>
        </w:rPr>
      </w:pPr>
      <w:bookmarkStart w:id="30" w:name="DBG2079"/>
      <w:bookmarkStart w:id="31" w:name="DBG2083"/>
      <w:bookmarkEnd w:id="30"/>
      <w:bookmarkEnd w:id="31"/>
    </w:p>
    <w:p w14:paraId="09C72F78" w14:textId="36412D2E" w:rsidR="00055659" w:rsidRPr="00A8640A" w:rsidRDefault="00780D88" w:rsidP="00055659">
      <w:pPr>
        <w:jc w:val="both"/>
        <w:rPr>
          <w:b/>
          <w:sz w:val="22"/>
          <w:szCs w:val="22"/>
        </w:rPr>
      </w:pPr>
      <w:r>
        <w:rPr>
          <w:b/>
          <w:sz w:val="22"/>
          <w:szCs w:val="22"/>
        </w:rPr>
        <w:t>1</w:t>
      </w:r>
      <w:r w:rsidR="00574165">
        <w:rPr>
          <w:b/>
          <w:sz w:val="22"/>
          <w:szCs w:val="22"/>
        </w:rPr>
        <w:t>8</w:t>
      </w:r>
      <w:r w:rsidR="00C725DD" w:rsidRPr="00753313">
        <w:rPr>
          <w:b/>
          <w:sz w:val="22"/>
          <w:szCs w:val="22"/>
        </w:rPr>
        <w:t>.</w:t>
      </w:r>
      <w:r w:rsidR="00C725DD" w:rsidRPr="00753313">
        <w:rPr>
          <w:b/>
          <w:sz w:val="22"/>
          <w:szCs w:val="22"/>
        </w:rPr>
        <w:tab/>
      </w:r>
      <w:r w:rsidR="00055659" w:rsidRPr="00055659">
        <w:rPr>
          <w:b/>
          <w:sz w:val="22"/>
          <w:szCs w:val="22"/>
        </w:rPr>
        <w:t xml:space="preserve"> </w:t>
      </w:r>
      <w:r w:rsidR="00EF0818">
        <w:rPr>
          <w:b/>
          <w:sz w:val="22"/>
          <w:szCs w:val="22"/>
        </w:rPr>
        <w:t>EVENTS AFTER THE REPORTING PERIOD</w:t>
      </w:r>
    </w:p>
    <w:p w14:paraId="3974C298" w14:textId="77777777" w:rsidR="00055659" w:rsidRDefault="00055659" w:rsidP="00055659">
      <w:pPr>
        <w:jc w:val="both"/>
        <w:rPr>
          <w:b/>
          <w:sz w:val="22"/>
          <w:szCs w:val="22"/>
        </w:rPr>
      </w:pPr>
    </w:p>
    <w:p w14:paraId="03054D11" w14:textId="212E1ED3" w:rsidR="00CC3E0B" w:rsidRDefault="00CC3E0B" w:rsidP="00055659">
      <w:pPr>
        <w:jc w:val="both"/>
        <w:rPr>
          <w:sz w:val="22"/>
          <w:szCs w:val="22"/>
        </w:rPr>
      </w:pPr>
      <w:r>
        <w:rPr>
          <w:sz w:val="22"/>
          <w:szCs w:val="22"/>
        </w:rPr>
        <w:t>On 13 January 2021</w:t>
      </w:r>
      <w:r w:rsidR="007D061B">
        <w:rPr>
          <w:sz w:val="22"/>
          <w:szCs w:val="22"/>
        </w:rPr>
        <w:t>,</w:t>
      </w:r>
      <w:r>
        <w:rPr>
          <w:sz w:val="22"/>
          <w:szCs w:val="22"/>
        </w:rPr>
        <w:t xml:space="preserve"> the Company announced that it had abandoned its acquisition of Lake Victoria Gold Ltd.</w:t>
      </w:r>
    </w:p>
    <w:p w14:paraId="5879A8B7" w14:textId="77777777" w:rsidR="00FE2F6E" w:rsidRDefault="00FE2F6E" w:rsidP="00055659">
      <w:pPr>
        <w:jc w:val="both"/>
        <w:rPr>
          <w:sz w:val="22"/>
          <w:szCs w:val="22"/>
        </w:rPr>
      </w:pPr>
    </w:p>
    <w:p w14:paraId="7381BB0D" w14:textId="016156C7" w:rsidR="00CC3E0B" w:rsidRDefault="00CC3E0B" w:rsidP="00055659">
      <w:pPr>
        <w:jc w:val="both"/>
        <w:rPr>
          <w:sz w:val="22"/>
          <w:szCs w:val="22"/>
        </w:rPr>
      </w:pPr>
      <w:r>
        <w:rPr>
          <w:sz w:val="22"/>
          <w:szCs w:val="22"/>
        </w:rPr>
        <w:t>On 15 January 2021</w:t>
      </w:r>
      <w:r w:rsidR="007D061B">
        <w:rPr>
          <w:sz w:val="22"/>
          <w:szCs w:val="22"/>
        </w:rPr>
        <w:t>,</w:t>
      </w:r>
      <w:r>
        <w:rPr>
          <w:sz w:val="22"/>
          <w:szCs w:val="22"/>
        </w:rPr>
        <w:t xml:space="preserve"> the Company announced that it had received confirmation from the Oil &amp; Gas Authority that it did not oppose the change of control of </w:t>
      </w:r>
      <w:proofErr w:type="spellStart"/>
      <w:r>
        <w:rPr>
          <w:sz w:val="22"/>
          <w:szCs w:val="22"/>
        </w:rPr>
        <w:t>Sunswept</w:t>
      </w:r>
      <w:proofErr w:type="spellEnd"/>
      <w:r>
        <w:rPr>
          <w:sz w:val="22"/>
          <w:szCs w:val="22"/>
        </w:rPr>
        <w:t xml:space="preserve"> Enterprise Limited and associated subsidiaries to BritNRG Limited, the special purpose vehicle created by the </w:t>
      </w:r>
      <w:r w:rsidR="00A8362A">
        <w:rPr>
          <w:sz w:val="22"/>
          <w:szCs w:val="22"/>
        </w:rPr>
        <w:t>C</w:t>
      </w:r>
      <w:r>
        <w:rPr>
          <w:sz w:val="22"/>
          <w:szCs w:val="22"/>
        </w:rPr>
        <w:t>ompany for the acquisition.</w:t>
      </w:r>
    </w:p>
    <w:p w14:paraId="0754B722" w14:textId="77777777" w:rsidR="000B14F7" w:rsidRDefault="000B14F7" w:rsidP="00055659">
      <w:pPr>
        <w:jc w:val="both"/>
        <w:rPr>
          <w:sz w:val="22"/>
          <w:szCs w:val="22"/>
        </w:rPr>
      </w:pPr>
    </w:p>
    <w:p w14:paraId="7F716CCC" w14:textId="7E94199B" w:rsidR="00CC3E0B" w:rsidRDefault="00CC3E0B" w:rsidP="00055659">
      <w:pPr>
        <w:jc w:val="both"/>
        <w:rPr>
          <w:sz w:val="22"/>
          <w:szCs w:val="22"/>
        </w:rPr>
      </w:pPr>
      <w:r>
        <w:rPr>
          <w:sz w:val="22"/>
          <w:szCs w:val="22"/>
        </w:rPr>
        <w:t>On 21 January 2021</w:t>
      </w:r>
      <w:r w:rsidR="007D061B">
        <w:rPr>
          <w:sz w:val="22"/>
          <w:szCs w:val="22"/>
        </w:rPr>
        <w:t>,</w:t>
      </w:r>
      <w:r>
        <w:rPr>
          <w:sz w:val="22"/>
          <w:szCs w:val="22"/>
        </w:rPr>
        <w:t xml:space="preserve"> the </w:t>
      </w:r>
      <w:r w:rsidR="007D061B">
        <w:rPr>
          <w:sz w:val="22"/>
          <w:szCs w:val="22"/>
        </w:rPr>
        <w:t>C</w:t>
      </w:r>
      <w:r>
        <w:rPr>
          <w:sz w:val="22"/>
          <w:szCs w:val="22"/>
        </w:rPr>
        <w:t>ompany received notification from warrant holders of the conversion of 13,333,332 warrants to new ordinary shares of 0.01p each for total proceeds of £80,000.</w:t>
      </w:r>
    </w:p>
    <w:p w14:paraId="178B24D9" w14:textId="77777777" w:rsidR="00FE2F6E" w:rsidRDefault="00FE2F6E" w:rsidP="00055659">
      <w:pPr>
        <w:jc w:val="both"/>
        <w:rPr>
          <w:sz w:val="22"/>
          <w:szCs w:val="22"/>
        </w:rPr>
      </w:pPr>
    </w:p>
    <w:p w14:paraId="290982B5" w14:textId="2399BABF" w:rsidR="00CC3E0B" w:rsidRDefault="00CC3E0B" w:rsidP="00055659">
      <w:pPr>
        <w:jc w:val="both"/>
        <w:rPr>
          <w:sz w:val="22"/>
          <w:szCs w:val="22"/>
        </w:rPr>
      </w:pPr>
      <w:r>
        <w:rPr>
          <w:sz w:val="22"/>
          <w:szCs w:val="22"/>
        </w:rPr>
        <w:t>On 4 February 2021</w:t>
      </w:r>
      <w:r w:rsidR="007D061B">
        <w:rPr>
          <w:sz w:val="22"/>
          <w:szCs w:val="22"/>
        </w:rPr>
        <w:t>,</w:t>
      </w:r>
      <w:r>
        <w:rPr>
          <w:sz w:val="22"/>
          <w:szCs w:val="22"/>
        </w:rPr>
        <w:t xml:space="preserve"> the Company announced that as a result of the exercise of warrants, the conversion of Directors’ advances and the conversion of convertible loan notes, 50,637,167 new ordinary shares</w:t>
      </w:r>
      <w:r w:rsidR="00FE2F6E">
        <w:rPr>
          <w:sz w:val="22"/>
          <w:szCs w:val="22"/>
        </w:rPr>
        <w:t xml:space="preserve"> were issued to investors including Directors and Officers of the Company.</w:t>
      </w:r>
    </w:p>
    <w:p w14:paraId="510DFD22" w14:textId="689B1D83" w:rsidR="00FE2F6E" w:rsidRDefault="00FE2F6E" w:rsidP="00055659">
      <w:pPr>
        <w:jc w:val="both"/>
        <w:rPr>
          <w:sz w:val="22"/>
          <w:szCs w:val="22"/>
        </w:rPr>
      </w:pPr>
    </w:p>
    <w:p w14:paraId="5893F294" w14:textId="569D9EB6" w:rsidR="00FE2F6E" w:rsidRDefault="00FE2F6E" w:rsidP="00055659">
      <w:pPr>
        <w:jc w:val="both"/>
        <w:rPr>
          <w:sz w:val="22"/>
          <w:szCs w:val="22"/>
        </w:rPr>
      </w:pPr>
      <w:r>
        <w:rPr>
          <w:sz w:val="22"/>
          <w:szCs w:val="22"/>
        </w:rPr>
        <w:t>On 8 February 2021</w:t>
      </w:r>
      <w:r w:rsidR="007D061B">
        <w:rPr>
          <w:sz w:val="22"/>
          <w:szCs w:val="22"/>
        </w:rPr>
        <w:t xml:space="preserve">, </w:t>
      </w:r>
      <w:r>
        <w:rPr>
          <w:sz w:val="22"/>
          <w:szCs w:val="22"/>
        </w:rPr>
        <w:t>the Company received a notice of conversion in respect of £53,500 of an unsecured loan facility (including accrued interest) and as a result 8,663,967 new ordinary shares in the Company were issued.</w:t>
      </w:r>
    </w:p>
    <w:p w14:paraId="3B7A44E4" w14:textId="5CB1BCDD" w:rsidR="00FE2F6E" w:rsidRDefault="00FE2F6E" w:rsidP="00055659">
      <w:pPr>
        <w:jc w:val="both"/>
        <w:rPr>
          <w:sz w:val="22"/>
          <w:szCs w:val="22"/>
        </w:rPr>
      </w:pPr>
    </w:p>
    <w:p w14:paraId="29A7428D" w14:textId="77DE87E7" w:rsidR="00FE2F6E" w:rsidRDefault="00FE2F6E" w:rsidP="00055659">
      <w:pPr>
        <w:jc w:val="both"/>
        <w:rPr>
          <w:sz w:val="22"/>
          <w:szCs w:val="22"/>
        </w:rPr>
      </w:pPr>
      <w:r>
        <w:rPr>
          <w:sz w:val="22"/>
          <w:szCs w:val="22"/>
        </w:rPr>
        <w:t>On 19 February 2021</w:t>
      </w:r>
      <w:r w:rsidR="007D061B">
        <w:rPr>
          <w:sz w:val="22"/>
          <w:szCs w:val="22"/>
        </w:rPr>
        <w:t>,</w:t>
      </w:r>
      <w:r>
        <w:rPr>
          <w:sz w:val="22"/>
          <w:szCs w:val="22"/>
        </w:rPr>
        <w:t xml:space="preserve"> R Gerritsen was due a bonus payment. Mr Gerritsen elected to receive half of this payment in shares in the Company. As a result 1,609,589 ordinary shares of 0.01p each was issued to Mr Gerritsen being equivalent to £11,750.</w:t>
      </w:r>
    </w:p>
    <w:p w14:paraId="423EE928" w14:textId="02837BF3" w:rsidR="00FE2F6E" w:rsidRDefault="00FE2F6E" w:rsidP="00055659">
      <w:pPr>
        <w:jc w:val="both"/>
        <w:rPr>
          <w:sz w:val="22"/>
          <w:szCs w:val="22"/>
        </w:rPr>
      </w:pPr>
    </w:p>
    <w:p w14:paraId="0936D9A5" w14:textId="5D4380BA" w:rsidR="00FE2F6E" w:rsidRDefault="00FE2F6E" w:rsidP="00055659">
      <w:pPr>
        <w:jc w:val="both"/>
        <w:rPr>
          <w:sz w:val="22"/>
          <w:szCs w:val="22"/>
        </w:rPr>
      </w:pPr>
      <w:r>
        <w:rPr>
          <w:sz w:val="22"/>
          <w:szCs w:val="22"/>
        </w:rPr>
        <w:t>On 24 February 2021</w:t>
      </w:r>
      <w:r w:rsidR="007D061B">
        <w:rPr>
          <w:sz w:val="22"/>
          <w:szCs w:val="22"/>
        </w:rPr>
        <w:t>,</w:t>
      </w:r>
      <w:r>
        <w:rPr>
          <w:sz w:val="22"/>
          <w:szCs w:val="22"/>
        </w:rPr>
        <w:t xml:space="preserve"> the Company announced the conversion and repayment of convertible loan notes (CLNs) and the issu</w:t>
      </w:r>
      <w:r w:rsidR="00FC3A04">
        <w:rPr>
          <w:sz w:val="22"/>
          <w:szCs w:val="22"/>
        </w:rPr>
        <w:t>ance</w:t>
      </w:r>
      <w:r>
        <w:rPr>
          <w:sz w:val="22"/>
          <w:szCs w:val="22"/>
        </w:rPr>
        <w:t xml:space="preserve"> of new ordinary shares. £240,000 of CLNs were converted at a conversion price of 0.6 pence per share and 40,000,000 new ordinary shares </w:t>
      </w:r>
      <w:r w:rsidR="007D061B">
        <w:rPr>
          <w:sz w:val="22"/>
          <w:szCs w:val="22"/>
        </w:rPr>
        <w:t xml:space="preserve">were </w:t>
      </w:r>
      <w:r>
        <w:rPr>
          <w:sz w:val="22"/>
          <w:szCs w:val="22"/>
        </w:rPr>
        <w:t>issued as a result of this conversion.</w:t>
      </w:r>
    </w:p>
    <w:p w14:paraId="0180D1BB" w14:textId="4D2ABDFF" w:rsidR="00FE2F6E" w:rsidRDefault="00FE2F6E" w:rsidP="00055659">
      <w:pPr>
        <w:jc w:val="both"/>
        <w:rPr>
          <w:sz w:val="22"/>
          <w:szCs w:val="22"/>
        </w:rPr>
      </w:pPr>
      <w:r>
        <w:rPr>
          <w:sz w:val="22"/>
          <w:szCs w:val="22"/>
        </w:rPr>
        <w:t>£100,000 of CLNs together with accrued interest have been repaid to investors.</w:t>
      </w:r>
    </w:p>
    <w:p w14:paraId="7BC7CC34" w14:textId="3AF1EEA9" w:rsidR="00505F22" w:rsidRDefault="00505F22" w:rsidP="00055659">
      <w:pPr>
        <w:jc w:val="both"/>
        <w:rPr>
          <w:sz w:val="22"/>
          <w:szCs w:val="22"/>
        </w:rPr>
      </w:pPr>
    </w:p>
    <w:p w14:paraId="6E5DA854" w14:textId="77777777" w:rsidR="00505F22" w:rsidRDefault="00505F22" w:rsidP="00055659">
      <w:pPr>
        <w:jc w:val="both"/>
        <w:rPr>
          <w:sz w:val="22"/>
          <w:szCs w:val="22"/>
        </w:rPr>
      </w:pPr>
    </w:p>
    <w:p w14:paraId="2B70545D" w14:textId="0F613520" w:rsidR="00FE2F6E" w:rsidRDefault="00FE2F6E" w:rsidP="00055659">
      <w:pPr>
        <w:jc w:val="both"/>
        <w:rPr>
          <w:sz w:val="22"/>
          <w:szCs w:val="22"/>
        </w:rPr>
      </w:pPr>
    </w:p>
    <w:p w14:paraId="7F774EFE" w14:textId="77777777" w:rsidR="00396E15" w:rsidRPr="00A8640A" w:rsidRDefault="00396E15" w:rsidP="00396E15">
      <w:pPr>
        <w:jc w:val="both"/>
        <w:rPr>
          <w:b/>
          <w:sz w:val="22"/>
          <w:szCs w:val="22"/>
        </w:rPr>
      </w:pPr>
      <w:bookmarkStart w:id="32" w:name="_Hlk68123558"/>
      <w:r>
        <w:rPr>
          <w:b/>
          <w:sz w:val="22"/>
          <w:szCs w:val="22"/>
        </w:rPr>
        <w:t>18</w:t>
      </w:r>
      <w:r w:rsidRPr="00753313">
        <w:rPr>
          <w:b/>
          <w:sz w:val="22"/>
          <w:szCs w:val="22"/>
        </w:rPr>
        <w:t>.</w:t>
      </w:r>
      <w:r w:rsidRPr="00753313">
        <w:rPr>
          <w:b/>
          <w:sz w:val="22"/>
          <w:szCs w:val="22"/>
        </w:rPr>
        <w:tab/>
      </w:r>
      <w:r w:rsidRPr="00055659">
        <w:rPr>
          <w:b/>
          <w:sz w:val="22"/>
          <w:szCs w:val="22"/>
        </w:rPr>
        <w:t xml:space="preserve"> </w:t>
      </w:r>
      <w:r>
        <w:rPr>
          <w:b/>
          <w:sz w:val="22"/>
          <w:szCs w:val="22"/>
        </w:rPr>
        <w:t>EVENTS AFTER THE REPORTING PERIOD, continued</w:t>
      </w:r>
    </w:p>
    <w:p w14:paraId="496D0DB9" w14:textId="77777777" w:rsidR="00396E15" w:rsidRDefault="00396E15" w:rsidP="00055659">
      <w:pPr>
        <w:jc w:val="both"/>
        <w:rPr>
          <w:sz w:val="22"/>
          <w:szCs w:val="22"/>
        </w:rPr>
      </w:pPr>
    </w:p>
    <w:p w14:paraId="1F3FCF17" w14:textId="77B43E7B" w:rsidR="00FE2F6E" w:rsidRDefault="00FE2F6E" w:rsidP="00055659">
      <w:pPr>
        <w:jc w:val="both"/>
        <w:rPr>
          <w:sz w:val="22"/>
          <w:szCs w:val="22"/>
        </w:rPr>
      </w:pPr>
      <w:r>
        <w:rPr>
          <w:sz w:val="22"/>
          <w:szCs w:val="22"/>
        </w:rPr>
        <w:t>On 24 February 2021</w:t>
      </w:r>
      <w:r w:rsidR="007D061B">
        <w:rPr>
          <w:sz w:val="22"/>
          <w:szCs w:val="22"/>
        </w:rPr>
        <w:t xml:space="preserve">, </w:t>
      </w:r>
      <w:r>
        <w:rPr>
          <w:sz w:val="22"/>
          <w:szCs w:val="22"/>
        </w:rPr>
        <w:t>the Company received a notice of conversion in respect of £53,500 of an unsecured loan facility (including accrued interest) and as a result 8,663,967 new ordinary shares in the Company were issued.</w:t>
      </w:r>
    </w:p>
    <w:bookmarkEnd w:id="32"/>
    <w:p w14:paraId="50CF63D3" w14:textId="77777777" w:rsidR="00CC3E0B" w:rsidRDefault="00CC3E0B" w:rsidP="00055659">
      <w:pPr>
        <w:jc w:val="both"/>
        <w:rPr>
          <w:sz w:val="22"/>
          <w:szCs w:val="22"/>
        </w:rPr>
      </w:pPr>
    </w:p>
    <w:p w14:paraId="7F69ADE1" w14:textId="5705F11E" w:rsidR="00887494" w:rsidRPr="004F6F7A" w:rsidRDefault="00111C3E" w:rsidP="00887494">
      <w:pPr>
        <w:jc w:val="both"/>
        <w:rPr>
          <w:sz w:val="22"/>
          <w:szCs w:val="22"/>
        </w:rPr>
      </w:pPr>
      <w:r w:rsidRPr="00111C3E">
        <w:rPr>
          <w:sz w:val="22"/>
          <w:szCs w:val="22"/>
        </w:rPr>
        <w:t xml:space="preserve">On </w:t>
      </w:r>
      <w:r w:rsidR="00230B4D" w:rsidRPr="00111C3E">
        <w:rPr>
          <w:sz w:val="22"/>
          <w:szCs w:val="22"/>
        </w:rPr>
        <w:t>17 March 2021</w:t>
      </w:r>
      <w:r w:rsidR="00887494" w:rsidRPr="00111C3E">
        <w:rPr>
          <w:sz w:val="22"/>
          <w:szCs w:val="22"/>
        </w:rPr>
        <w:t xml:space="preserve"> </w:t>
      </w:r>
      <w:r>
        <w:rPr>
          <w:sz w:val="22"/>
          <w:szCs w:val="22"/>
        </w:rPr>
        <w:t>t</w:t>
      </w:r>
      <w:r w:rsidR="00887494" w:rsidRPr="00111C3E">
        <w:rPr>
          <w:sz w:val="22"/>
          <w:szCs w:val="22"/>
        </w:rPr>
        <w:t xml:space="preserve">he Company </w:t>
      </w:r>
      <w:r w:rsidRPr="00111C3E">
        <w:rPr>
          <w:sz w:val="22"/>
          <w:szCs w:val="22"/>
        </w:rPr>
        <w:t xml:space="preserve">announced that it had </w:t>
      </w:r>
      <w:r w:rsidR="00887494" w:rsidRPr="00111C3E">
        <w:rPr>
          <w:sz w:val="22"/>
          <w:szCs w:val="22"/>
        </w:rPr>
        <w:t xml:space="preserve">raised £2.3 million </w:t>
      </w:r>
      <w:r w:rsidRPr="00111C3E">
        <w:rPr>
          <w:sz w:val="22"/>
          <w:szCs w:val="22"/>
        </w:rPr>
        <w:t>before expenses through a conditional placing of 385,000,000</w:t>
      </w:r>
      <w:r>
        <w:rPr>
          <w:sz w:val="22"/>
          <w:szCs w:val="22"/>
        </w:rPr>
        <w:t xml:space="preserve"> new Ordinary Shares of 0.01p each at a price of £0.006 per share. </w:t>
      </w:r>
      <w:r w:rsidRPr="00111C3E">
        <w:rPr>
          <w:sz w:val="22"/>
          <w:szCs w:val="22"/>
        </w:rPr>
        <w:t>The Placing is conditional upon: (</w:t>
      </w:r>
      <w:proofErr w:type="spellStart"/>
      <w:r w:rsidRPr="00111C3E">
        <w:rPr>
          <w:sz w:val="22"/>
          <w:szCs w:val="22"/>
        </w:rPr>
        <w:t>i</w:t>
      </w:r>
      <w:proofErr w:type="spellEnd"/>
      <w:r w:rsidRPr="00111C3E">
        <w:rPr>
          <w:sz w:val="22"/>
          <w:szCs w:val="22"/>
        </w:rPr>
        <w:t xml:space="preserve">) approval by the FCA, and publication, of a prospectus relating to the Company; and (ii) admission of the Placing Shares to the standard segment of the official list of the FCA and to trading on the main market for listed securities of the London Stock Exchange plc ("Admission"). Admission of the shares is anticipated to be in </w:t>
      </w:r>
      <w:r w:rsidR="00F32FFD">
        <w:rPr>
          <w:sz w:val="22"/>
          <w:szCs w:val="22"/>
        </w:rPr>
        <w:t>May</w:t>
      </w:r>
      <w:r w:rsidR="00F32FFD" w:rsidRPr="00111C3E">
        <w:rPr>
          <w:sz w:val="22"/>
          <w:szCs w:val="22"/>
        </w:rPr>
        <w:t xml:space="preserve"> </w:t>
      </w:r>
      <w:r w:rsidRPr="00111C3E">
        <w:rPr>
          <w:sz w:val="22"/>
          <w:szCs w:val="22"/>
        </w:rPr>
        <w:t>subject to approval of the prospectus.</w:t>
      </w:r>
    </w:p>
    <w:p w14:paraId="2BE93E08" w14:textId="491241F3" w:rsidR="00230B4D" w:rsidRPr="00230B4D" w:rsidRDefault="00230B4D" w:rsidP="00EE20BA">
      <w:pPr>
        <w:jc w:val="both"/>
        <w:rPr>
          <w:sz w:val="22"/>
          <w:szCs w:val="22"/>
          <w:highlight w:val="yellow"/>
        </w:rPr>
      </w:pPr>
    </w:p>
    <w:p w14:paraId="2EBCADBA" w14:textId="00DC91AB" w:rsidR="000C7C05" w:rsidRPr="004F6F7A" w:rsidRDefault="00111C3E" w:rsidP="004F6F7A">
      <w:pPr>
        <w:jc w:val="both"/>
        <w:rPr>
          <w:sz w:val="22"/>
          <w:szCs w:val="22"/>
        </w:rPr>
      </w:pPr>
      <w:r w:rsidRPr="00111C3E">
        <w:rPr>
          <w:sz w:val="22"/>
          <w:szCs w:val="22"/>
        </w:rPr>
        <w:t xml:space="preserve">On </w:t>
      </w:r>
      <w:r w:rsidR="00230B4D" w:rsidRPr="00111C3E">
        <w:rPr>
          <w:sz w:val="22"/>
          <w:szCs w:val="22"/>
        </w:rPr>
        <w:t>22 March 2021</w:t>
      </w:r>
      <w:r w:rsidR="00887494" w:rsidRPr="00111C3E">
        <w:rPr>
          <w:sz w:val="22"/>
          <w:szCs w:val="22"/>
        </w:rPr>
        <w:t xml:space="preserve"> </w:t>
      </w:r>
      <w:r w:rsidRPr="00111C3E">
        <w:rPr>
          <w:sz w:val="22"/>
          <w:szCs w:val="22"/>
        </w:rPr>
        <w:t>the Company</w:t>
      </w:r>
      <w:r>
        <w:rPr>
          <w:sz w:val="22"/>
          <w:szCs w:val="22"/>
        </w:rPr>
        <w:t xml:space="preserve"> </w:t>
      </w:r>
      <w:r w:rsidR="000C7C05" w:rsidRPr="004F6F7A">
        <w:rPr>
          <w:sz w:val="22"/>
          <w:szCs w:val="22"/>
        </w:rPr>
        <w:t xml:space="preserve">announced </w:t>
      </w:r>
      <w:r w:rsidRPr="00111C3E">
        <w:rPr>
          <w:sz w:val="22"/>
          <w:szCs w:val="22"/>
        </w:rPr>
        <w:t>it ha</w:t>
      </w:r>
      <w:r>
        <w:rPr>
          <w:sz w:val="22"/>
          <w:szCs w:val="22"/>
        </w:rPr>
        <w:t>d</w:t>
      </w:r>
      <w:r w:rsidRPr="00111C3E">
        <w:rPr>
          <w:sz w:val="22"/>
          <w:szCs w:val="22"/>
        </w:rPr>
        <w:t xml:space="preserve"> entered into a Framework Partnership Agreement (FPA) to develop sustainable Green Energy projects in partnership with EQTEC plc, a world leading gasification technology solutions company for sustainable waste-to-energy projects</w:t>
      </w:r>
      <w:r w:rsidR="004F0D7A">
        <w:rPr>
          <w:sz w:val="22"/>
          <w:szCs w:val="22"/>
        </w:rPr>
        <w:t xml:space="preserve">, to </w:t>
      </w:r>
      <w:r w:rsidR="000C7C05" w:rsidRPr="004F6F7A">
        <w:rPr>
          <w:sz w:val="22"/>
          <w:szCs w:val="22"/>
        </w:rPr>
        <w:t>be part of the transition to renewable green energy and seeks to invest, develop, and deliver sustainable green energy solutions that help reduce CO2 emissions and contribute to achieve 2050 net zero goals. Working alongside EQTEC the Company will have a technical partner with tremendous technical knowhow that will enable MetalNRG accelerate its route to market and revenues.</w:t>
      </w:r>
    </w:p>
    <w:p w14:paraId="43040A65" w14:textId="77777777" w:rsidR="004F6F7A" w:rsidRDefault="004F6F7A" w:rsidP="004F6F7A">
      <w:pPr>
        <w:jc w:val="both"/>
        <w:rPr>
          <w:sz w:val="22"/>
          <w:szCs w:val="22"/>
        </w:rPr>
      </w:pPr>
    </w:p>
    <w:p w14:paraId="17618CF1" w14:textId="59231D48" w:rsidR="000C7C05" w:rsidRPr="004F6F7A" w:rsidRDefault="000C7C05" w:rsidP="004F6F7A">
      <w:pPr>
        <w:jc w:val="both"/>
        <w:rPr>
          <w:sz w:val="22"/>
          <w:szCs w:val="22"/>
        </w:rPr>
      </w:pPr>
      <w:r w:rsidRPr="004F6F7A">
        <w:rPr>
          <w:sz w:val="22"/>
          <w:szCs w:val="22"/>
        </w:rPr>
        <w:t xml:space="preserve">MetalNRG has set up a Special Purpose Vehicle, MetalNRG ECO limited, to focus exclusively on the development of green energy projects. Over the </w:t>
      </w:r>
      <w:r w:rsidR="0069598A">
        <w:rPr>
          <w:sz w:val="22"/>
          <w:szCs w:val="22"/>
        </w:rPr>
        <w:t xml:space="preserve">coming </w:t>
      </w:r>
      <w:r w:rsidRPr="004F6F7A">
        <w:rPr>
          <w:sz w:val="22"/>
          <w:szCs w:val="22"/>
        </w:rPr>
        <w:t xml:space="preserve">months, we will advance a pipeline of viable projects that meet the Company’s existing investment criteria, and we will be progress a number of investments that can deliver revenues via the application of green energy solutions with specific focus on Biomass projects and waste to energy projects in the UK and Europe. </w:t>
      </w:r>
    </w:p>
    <w:p w14:paraId="2C35F98D" w14:textId="77777777" w:rsidR="004F6F7A" w:rsidRDefault="004F6F7A" w:rsidP="004F6F7A">
      <w:pPr>
        <w:jc w:val="both"/>
        <w:rPr>
          <w:sz w:val="22"/>
          <w:szCs w:val="22"/>
        </w:rPr>
      </w:pPr>
    </w:p>
    <w:p w14:paraId="1468C143" w14:textId="6B314DC7" w:rsidR="000C7C05" w:rsidRDefault="000C7C05" w:rsidP="004F6F7A">
      <w:pPr>
        <w:jc w:val="both"/>
        <w:rPr>
          <w:sz w:val="22"/>
          <w:szCs w:val="22"/>
        </w:rPr>
      </w:pPr>
      <w:r w:rsidRPr="004F6F7A">
        <w:rPr>
          <w:sz w:val="22"/>
          <w:szCs w:val="22"/>
        </w:rPr>
        <w:t>To add substance to the intentions of the Business Development Partnership EQTEC and MetalNRG have agreed that EQTEC will acquire £500,000 of MetalNRG shares when MetalNRG finalises its prospectus. EQTEC will acquire the MetalNRG shares via the allocation of EQTEC shares to MetalNRG.</w:t>
      </w:r>
    </w:p>
    <w:p w14:paraId="5D81CD71" w14:textId="57B35585" w:rsidR="007D061B" w:rsidRDefault="007D061B" w:rsidP="004F6F7A">
      <w:pPr>
        <w:jc w:val="both"/>
        <w:rPr>
          <w:sz w:val="22"/>
          <w:szCs w:val="22"/>
        </w:rPr>
      </w:pPr>
    </w:p>
    <w:p w14:paraId="1C3C0137" w14:textId="4D539B3A" w:rsidR="007D061B" w:rsidRDefault="007D061B" w:rsidP="007D061B">
      <w:pPr>
        <w:jc w:val="both"/>
        <w:rPr>
          <w:sz w:val="22"/>
          <w:szCs w:val="22"/>
        </w:rPr>
      </w:pPr>
      <w:r>
        <w:rPr>
          <w:sz w:val="22"/>
          <w:szCs w:val="22"/>
        </w:rPr>
        <w:t>On 2</w:t>
      </w:r>
      <w:r w:rsidR="004F0D7A">
        <w:rPr>
          <w:sz w:val="22"/>
          <w:szCs w:val="22"/>
        </w:rPr>
        <w:t>4</w:t>
      </w:r>
      <w:r>
        <w:rPr>
          <w:sz w:val="22"/>
          <w:szCs w:val="22"/>
        </w:rPr>
        <w:t xml:space="preserve"> March 2021, the Company received a notice of conversion in respect </w:t>
      </w:r>
      <w:r w:rsidRPr="00B4440A">
        <w:rPr>
          <w:sz w:val="22"/>
          <w:szCs w:val="22"/>
        </w:rPr>
        <w:t>of £85,600 of an</w:t>
      </w:r>
      <w:r>
        <w:rPr>
          <w:sz w:val="22"/>
          <w:szCs w:val="22"/>
        </w:rPr>
        <w:t xml:space="preserve"> unsecured loan facility (including accrued interest) and as a result 13,862,348 new ordinary shares in the Company were issued.</w:t>
      </w:r>
    </w:p>
    <w:p w14:paraId="15E4B79F" w14:textId="45076502" w:rsidR="007D061B" w:rsidRPr="004F6F7A" w:rsidRDefault="007D061B" w:rsidP="004F6F7A">
      <w:pPr>
        <w:jc w:val="both"/>
        <w:rPr>
          <w:sz w:val="22"/>
          <w:szCs w:val="22"/>
        </w:rPr>
      </w:pPr>
    </w:p>
    <w:p w14:paraId="1EDAAD42" w14:textId="4B7B0806" w:rsidR="00505F22" w:rsidRPr="00753313" w:rsidRDefault="00505F22" w:rsidP="00505F22">
      <w:pPr>
        <w:jc w:val="both"/>
        <w:rPr>
          <w:sz w:val="22"/>
          <w:szCs w:val="22"/>
        </w:rPr>
      </w:pPr>
      <w:r>
        <w:rPr>
          <w:b/>
          <w:sz w:val="22"/>
          <w:szCs w:val="22"/>
        </w:rPr>
        <w:t>19</w:t>
      </w:r>
      <w:r w:rsidRPr="00753313">
        <w:rPr>
          <w:b/>
          <w:sz w:val="22"/>
          <w:szCs w:val="22"/>
        </w:rPr>
        <w:t>.</w:t>
      </w:r>
      <w:r w:rsidRPr="00753313">
        <w:rPr>
          <w:b/>
          <w:sz w:val="22"/>
          <w:szCs w:val="22"/>
        </w:rPr>
        <w:tab/>
      </w:r>
      <w:r>
        <w:rPr>
          <w:b/>
          <w:sz w:val="22"/>
          <w:szCs w:val="22"/>
        </w:rPr>
        <w:t>ULTIMATE CONTROLLING PARTY</w:t>
      </w:r>
    </w:p>
    <w:p w14:paraId="46356F67" w14:textId="77777777" w:rsidR="00505F22" w:rsidRPr="00753313" w:rsidRDefault="00505F22" w:rsidP="00505F22">
      <w:pPr>
        <w:pStyle w:val="BodyText2"/>
        <w:rPr>
          <w:sz w:val="22"/>
          <w:szCs w:val="22"/>
        </w:rPr>
      </w:pPr>
    </w:p>
    <w:p w14:paraId="115A5E63" w14:textId="0AFFA5A0" w:rsidR="00F9623A" w:rsidRDefault="00505F22" w:rsidP="00505F22">
      <w:pPr>
        <w:jc w:val="both"/>
        <w:rPr>
          <w:sz w:val="22"/>
          <w:szCs w:val="22"/>
          <w:u w:val="single"/>
        </w:rPr>
      </w:pPr>
      <w:r w:rsidRPr="00E36AB7">
        <w:rPr>
          <w:sz w:val="22"/>
          <w:szCs w:val="22"/>
        </w:rPr>
        <w:t>There is no individual with ultimate overall control of the Company.</w:t>
      </w:r>
    </w:p>
    <w:p w14:paraId="04836B94" w14:textId="77777777" w:rsidR="00F9623A" w:rsidRDefault="00F9623A" w:rsidP="00EE20BA">
      <w:pPr>
        <w:jc w:val="both"/>
        <w:rPr>
          <w:sz w:val="22"/>
          <w:szCs w:val="22"/>
          <w:u w:val="single"/>
        </w:rPr>
      </w:pPr>
    </w:p>
    <w:p w14:paraId="20F687CB" w14:textId="58E8DA0D" w:rsidR="00A71C46" w:rsidRDefault="00A71C46" w:rsidP="00A71C46">
      <w:pPr>
        <w:jc w:val="both"/>
        <w:rPr>
          <w:sz w:val="22"/>
          <w:szCs w:val="22"/>
        </w:rPr>
      </w:pPr>
    </w:p>
    <w:sectPr w:rsidR="00A71C46" w:rsidSect="002E4AA5">
      <w:headerReference w:type="default" r:id="rId32"/>
      <w:headerReference w:type="first" r:id="rId33"/>
      <w:pgSz w:w="11909" w:h="16834" w:code="9"/>
      <w:pgMar w:top="567" w:right="936" w:bottom="720" w:left="936"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916E" w14:textId="77777777" w:rsidR="00D110EB" w:rsidRDefault="00D110EB">
      <w:r>
        <w:separator/>
      </w:r>
    </w:p>
  </w:endnote>
  <w:endnote w:type="continuationSeparator" w:id="0">
    <w:p w14:paraId="1FF72E5D" w14:textId="77777777" w:rsidR="00D110EB" w:rsidRDefault="00D110EB">
      <w:r>
        <w:continuationSeparator/>
      </w:r>
    </w:p>
  </w:endnote>
  <w:endnote w:type="continuationNotice" w:id="1">
    <w:p w14:paraId="52B9B196" w14:textId="77777777" w:rsidR="00D110EB" w:rsidRDefault="00D11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Calibri"/>
    <w:panose1 w:val="00000000000000000000"/>
    <w:charset w:val="00"/>
    <w:family w:val="auto"/>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85BE" w14:textId="77777777" w:rsidR="00877D99" w:rsidRDefault="0087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0DD28C0A" w14:textId="77777777" w:rsidR="00877D99" w:rsidRDefault="00877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D52A" w14:textId="77777777" w:rsidR="00877D99" w:rsidRDefault="0087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A766F" w14:textId="77777777" w:rsidR="00877D99" w:rsidRDefault="00877D99">
    <w:pPr>
      <w:pStyle w:val="Footer"/>
      <w:tabs>
        <w:tab w:val="clear" w:pos="4153"/>
        <w:tab w:val="center" w:pos="4678"/>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D86D" w14:textId="77777777" w:rsidR="00877D99" w:rsidRDefault="00877D9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6DE2" w14:textId="6D3CC0EC" w:rsidR="00877D99" w:rsidRDefault="0087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48226E8" w14:textId="06A56CFF" w:rsidR="00877D99" w:rsidRPr="00465A21" w:rsidRDefault="00877D99" w:rsidP="00222D14">
    <w:pPr>
      <w:pStyle w:val="Footer"/>
      <w:tabs>
        <w:tab w:val="clear" w:pos="4153"/>
        <w:tab w:val="center" w:pos="4678"/>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05E6" w14:textId="55BF6FB3" w:rsidR="00877D99" w:rsidRDefault="00877D9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1A56" w14:textId="77777777" w:rsidR="00D110EB" w:rsidRDefault="00D110EB">
      <w:r>
        <w:separator/>
      </w:r>
    </w:p>
  </w:footnote>
  <w:footnote w:type="continuationSeparator" w:id="0">
    <w:p w14:paraId="04F6A09B" w14:textId="77777777" w:rsidR="00D110EB" w:rsidRDefault="00D110EB">
      <w:r>
        <w:continuationSeparator/>
      </w:r>
    </w:p>
  </w:footnote>
  <w:footnote w:type="continuationNotice" w:id="1">
    <w:p w14:paraId="25C50E38" w14:textId="77777777" w:rsidR="00D110EB" w:rsidRDefault="00D11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3E44" w14:textId="77777777" w:rsidR="00877D99" w:rsidRPr="007E415E" w:rsidRDefault="00877D99" w:rsidP="00B756F1">
    <w:pPr>
      <w:pStyle w:val="BodyTextIndent"/>
      <w:ind w:left="0"/>
      <w:rPr>
        <w:sz w:val="32"/>
      </w:rPr>
    </w:pPr>
    <w:r>
      <w:rPr>
        <w:sz w:val="32"/>
      </w:rPr>
      <w:t>MetalNRG</w:t>
    </w:r>
    <w:r w:rsidRPr="007E415E">
      <w:rPr>
        <w:sz w:val="32"/>
      </w:rPr>
      <w:t xml:space="preserve"> plc</w:t>
    </w:r>
  </w:p>
  <w:p w14:paraId="06EFB7CF" w14:textId="77777777" w:rsidR="00877D99" w:rsidRPr="007E415E" w:rsidRDefault="00877D99" w:rsidP="00B756F1">
    <w:pPr>
      <w:pStyle w:val="BodyTextInden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DDB7" w14:textId="293B394A" w:rsidR="00877D99" w:rsidRDefault="00877D99" w:rsidP="00AB2EA5">
    <w:pPr>
      <w:pStyle w:val="Heading2"/>
    </w:pPr>
    <w:r>
      <w:rPr>
        <w:sz w:val="32"/>
      </w:rPr>
      <w:t>MetalNRG plc</w:t>
    </w:r>
  </w:p>
  <w:p w14:paraId="3F878EB8" w14:textId="77777777" w:rsidR="00877D99" w:rsidRPr="0077396B" w:rsidRDefault="00877D99" w:rsidP="00AB2EA5">
    <w:pPr>
      <w:ind w:left="567"/>
      <w:jc w:val="center"/>
      <w:rPr>
        <w:b/>
        <w:sz w:val="22"/>
        <w:szCs w:val="22"/>
      </w:rPr>
    </w:pPr>
  </w:p>
  <w:p w14:paraId="4E7B0F7F" w14:textId="77777777" w:rsidR="00877D99" w:rsidRPr="0077396B" w:rsidRDefault="00877D99" w:rsidP="00AB2EA5">
    <w:pPr>
      <w:pStyle w:val="Heading2"/>
      <w:rPr>
        <w:sz w:val="22"/>
        <w:szCs w:val="22"/>
      </w:rPr>
    </w:pPr>
    <w:r w:rsidRPr="0077396B">
      <w:rPr>
        <w:sz w:val="22"/>
        <w:szCs w:val="22"/>
      </w:rPr>
      <w:t>CONSOLIDATED INCOME STATEMENT</w:t>
    </w:r>
  </w:p>
  <w:p w14:paraId="620E4F21" w14:textId="77777777" w:rsidR="00877D99" w:rsidRPr="0077396B" w:rsidRDefault="00877D99" w:rsidP="00AB2EA5">
    <w:pPr>
      <w:rPr>
        <w:sz w:val="22"/>
        <w:szCs w:val="22"/>
      </w:rPr>
    </w:pPr>
  </w:p>
  <w:p w14:paraId="59FE9694" w14:textId="5C3FADED" w:rsidR="00877D99" w:rsidRPr="0077396B" w:rsidRDefault="00877D99" w:rsidP="00AB2EA5">
    <w:pPr>
      <w:pStyle w:val="Heading2"/>
      <w:rPr>
        <w:bCs/>
        <w:sz w:val="22"/>
        <w:szCs w:val="22"/>
      </w:rPr>
    </w:pPr>
    <w:r w:rsidRPr="0077396B">
      <w:rPr>
        <w:bCs/>
        <w:sz w:val="22"/>
        <w:szCs w:val="22"/>
      </w:rPr>
      <w:t xml:space="preserve">FOR THE </w:t>
    </w:r>
    <w:r>
      <w:rPr>
        <w:bCs/>
        <w:sz w:val="22"/>
        <w:szCs w:val="22"/>
      </w:rPr>
      <w:t xml:space="preserve">YEAR </w:t>
    </w:r>
    <w:r w:rsidRPr="0077396B">
      <w:rPr>
        <w:bCs/>
        <w:sz w:val="22"/>
        <w:szCs w:val="22"/>
      </w:rPr>
      <w:t xml:space="preserve">ENDED </w:t>
    </w:r>
    <w:r>
      <w:rPr>
        <w:bCs/>
        <w:sz w:val="22"/>
        <w:szCs w:val="22"/>
      </w:rPr>
      <w:t>31 DECEMBER 2020</w:t>
    </w:r>
  </w:p>
  <w:p w14:paraId="6355ADDF" w14:textId="77777777" w:rsidR="00877D99" w:rsidRDefault="00877D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EE73" w14:textId="4592735F" w:rsidR="00877D99" w:rsidRPr="0077396B" w:rsidRDefault="00877D99" w:rsidP="00AB2EA5">
    <w:pPr>
      <w:jc w:val="center"/>
      <w:rPr>
        <w:b/>
        <w:sz w:val="32"/>
        <w:szCs w:val="32"/>
      </w:rPr>
    </w:pPr>
    <w:r>
      <w:rPr>
        <w:b/>
        <w:sz w:val="32"/>
        <w:szCs w:val="32"/>
      </w:rPr>
      <w:t>MetalNRG</w:t>
    </w:r>
    <w:r w:rsidRPr="0077396B">
      <w:rPr>
        <w:b/>
        <w:sz w:val="32"/>
        <w:szCs w:val="32"/>
      </w:rPr>
      <w:t xml:space="preserve"> plc</w:t>
    </w:r>
  </w:p>
  <w:p w14:paraId="4E197450" w14:textId="77777777" w:rsidR="00877D99" w:rsidRPr="0077396B" w:rsidRDefault="00877D99" w:rsidP="00AB2EA5">
    <w:pPr>
      <w:jc w:val="center"/>
      <w:rPr>
        <w:b/>
        <w:sz w:val="22"/>
        <w:szCs w:val="22"/>
      </w:rPr>
    </w:pPr>
  </w:p>
  <w:p w14:paraId="4190064A" w14:textId="77777777" w:rsidR="00877D99" w:rsidRPr="0077396B" w:rsidRDefault="00877D99" w:rsidP="00AB2EA5">
    <w:pPr>
      <w:pStyle w:val="Heading2"/>
      <w:rPr>
        <w:sz w:val="22"/>
        <w:szCs w:val="22"/>
      </w:rPr>
    </w:pPr>
    <w:r w:rsidRPr="0077396B">
      <w:rPr>
        <w:sz w:val="22"/>
        <w:szCs w:val="22"/>
      </w:rPr>
      <w:t>CONSOLIDATED STATEMENT OF COMPREHENSIVE INCOME</w:t>
    </w:r>
  </w:p>
  <w:p w14:paraId="4D4E2DEF" w14:textId="77777777" w:rsidR="00877D99" w:rsidRPr="0077396B" w:rsidRDefault="00877D99" w:rsidP="00AB2EA5">
    <w:pPr>
      <w:jc w:val="center"/>
      <w:rPr>
        <w:b/>
        <w:sz w:val="22"/>
        <w:szCs w:val="22"/>
      </w:rPr>
    </w:pPr>
  </w:p>
  <w:p w14:paraId="4B44F6A0" w14:textId="6CB75BD2" w:rsidR="00877D99" w:rsidRPr="0077396B" w:rsidRDefault="00877D99" w:rsidP="00AB2EA5">
    <w:pPr>
      <w:jc w:val="center"/>
      <w:rPr>
        <w:b/>
        <w:sz w:val="22"/>
        <w:szCs w:val="22"/>
      </w:rPr>
    </w:pPr>
    <w:r w:rsidRPr="0077396B">
      <w:rPr>
        <w:b/>
        <w:sz w:val="22"/>
        <w:szCs w:val="22"/>
      </w:rPr>
      <w:t xml:space="preserve">FOR THE </w:t>
    </w:r>
    <w:r>
      <w:rPr>
        <w:b/>
        <w:sz w:val="22"/>
        <w:szCs w:val="22"/>
      </w:rPr>
      <w:t xml:space="preserve">YEAR </w:t>
    </w:r>
    <w:r w:rsidRPr="0077396B">
      <w:rPr>
        <w:b/>
        <w:sz w:val="22"/>
        <w:szCs w:val="22"/>
      </w:rPr>
      <w:t xml:space="preserve">ENDED </w:t>
    </w:r>
    <w:r>
      <w:rPr>
        <w:b/>
        <w:sz w:val="22"/>
        <w:szCs w:val="22"/>
      </w:rPr>
      <w:t>31 DECEMBER 2020</w:t>
    </w:r>
  </w:p>
  <w:p w14:paraId="3FF0046F" w14:textId="77777777" w:rsidR="00877D99" w:rsidRDefault="00877D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3612" w14:textId="45FD3FD8" w:rsidR="00877D99" w:rsidRPr="0077396B" w:rsidRDefault="00877D99" w:rsidP="00AB2EA5">
    <w:pPr>
      <w:jc w:val="center"/>
      <w:rPr>
        <w:b/>
        <w:sz w:val="32"/>
        <w:szCs w:val="32"/>
      </w:rPr>
    </w:pPr>
    <w:r>
      <w:rPr>
        <w:b/>
        <w:sz w:val="32"/>
        <w:szCs w:val="32"/>
      </w:rPr>
      <w:t>MetalNRG</w:t>
    </w:r>
    <w:r w:rsidRPr="0077396B">
      <w:rPr>
        <w:b/>
        <w:sz w:val="32"/>
        <w:szCs w:val="32"/>
      </w:rPr>
      <w:t xml:space="preserve"> plc</w:t>
    </w:r>
  </w:p>
  <w:p w14:paraId="39032309" w14:textId="77777777" w:rsidR="00877D99" w:rsidRPr="0077396B" w:rsidRDefault="00877D99" w:rsidP="00AB2EA5">
    <w:pPr>
      <w:jc w:val="center"/>
      <w:rPr>
        <w:b/>
        <w:sz w:val="22"/>
        <w:szCs w:val="22"/>
      </w:rPr>
    </w:pPr>
  </w:p>
  <w:p w14:paraId="4863E995" w14:textId="77777777" w:rsidR="00877D99" w:rsidRPr="00C40661" w:rsidRDefault="00877D99" w:rsidP="00AB2EA5">
    <w:pPr>
      <w:pStyle w:val="Heading2"/>
      <w:rPr>
        <w:sz w:val="22"/>
        <w:szCs w:val="22"/>
      </w:rPr>
    </w:pPr>
    <w:r w:rsidRPr="00C40661">
      <w:rPr>
        <w:sz w:val="22"/>
        <w:szCs w:val="22"/>
      </w:rPr>
      <w:t>CONSOLIDATED STATEMENT OF FINANCIAL POSITION</w:t>
    </w:r>
  </w:p>
  <w:p w14:paraId="3C04E6C0" w14:textId="77777777" w:rsidR="00877D99" w:rsidRPr="00C40661" w:rsidRDefault="00877D99" w:rsidP="00AB2EA5">
    <w:pPr>
      <w:jc w:val="center"/>
      <w:rPr>
        <w:b/>
        <w:sz w:val="22"/>
        <w:szCs w:val="22"/>
      </w:rPr>
    </w:pPr>
  </w:p>
  <w:p w14:paraId="231523A0" w14:textId="7EF26813" w:rsidR="00877D99" w:rsidRPr="00C40661" w:rsidRDefault="00877D99" w:rsidP="00AB2EA5">
    <w:pPr>
      <w:jc w:val="center"/>
      <w:rPr>
        <w:b/>
        <w:sz w:val="22"/>
        <w:szCs w:val="22"/>
      </w:rPr>
    </w:pPr>
    <w:r>
      <w:rPr>
        <w:b/>
        <w:sz w:val="22"/>
        <w:szCs w:val="22"/>
      </w:rPr>
      <w:t>31 DECEMBER 2020</w:t>
    </w:r>
  </w:p>
  <w:p w14:paraId="44507A59" w14:textId="77777777" w:rsidR="00877D99" w:rsidRDefault="00877D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E22B" w14:textId="2AF7C348" w:rsidR="00877D99" w:rsidRPr="0077396B" w:rsidRDefault="00877D99" w:rsidP="00AB2EA5">
    <w:pPr>
      <w:jc w:val="center"/>
      <w:rPr>
        <w:b/>
        <w:sz w:val="32"/>
        <w:szCs w:val="32"/>
      </w:rPr>
    </w:pPr>
    <w:r>
      <w:rPr>
        <w:b/>
        <w:sz w:val="32"/>
        <w:szCs w:val="32"/>
      </w:rPr>
      <w:t>MetalNRG</w:t>
    </w:r>
    <w:r w:rsidRPr="0077396B">
      <w:rPr>
        <w:b/>
        <w:sz w:val="32"/>
        <w:szCs w:val="32"/>
      </w:rPr>
      <w:t xml:space="preserve"> plc</w:t>
    </w:r>
  </w:p>
  <w:p w14:paraId="38324CCF" w14:textId="77777777" w:rsidR="00877D99" w:rsidRPr="0077396B" w:rsidRDefault="00877D99" w:rsidP="00AB2EA5">
    <w:pPr>
      <w:jc w:val="center"/>
      <w:rPr>
        <w:b/>
        <w:sz w:val="22"/>
        <w:szCs w:val="22"/>
      </w:rPr>
    </w:pPr>
  </w:p>
  <w:p w14:paraId="7CB97C15" w14:textId="77777777" w:rsidR="00877D99" w:rsidRPr="00C40661" w:rsidRDefault="00877D99" w:rsidP="00AB2EA5">
    <w:pPr>
      <w:pStyle w:val="Heading2"/>
      <w:rPr>
        <w:sz w:val="22"/>
        <w:szCs w:val="22"/>
      </w:rPr>
    </w:pPr>
    <w:r w:rsidRPr="00C40661">
      <w:rPr>
        <w:sz w:val="22"/>
        <w:szCs w:val="22"/>
      </w:rPr>
      <w:t>CO</w:t>
    </w:r>
    <w:r>
      <w:rPr>
        <w:sz w:val="22"/>
        <w:szCs w:val="22"/>
      </w:rPr>
      <w:t>MPANY</w:t>
    </w:r>
    <w:r w:rsidRPr="00C40661">
      <w:rPr>
        <w:sz w:val="22"/>
        <w:szCs w:val="22"/>
      </w:rPr>
      <w:t xml:space="preserve"> STATEMENT OF FINANCIAL POSITION</w:t>
    </w:r>
  </w:p>
  <w:p w14:paraId="72DA3E7E" w14:textId="77777777" w:rsidR="00877D99" w:rsidRPr="00C40661" w:rsidRDefault="00877D99" w:rsidP="00AB2EA5">
    <w:pPr>
      <w:jc w:val="center"/>
      <w:rPr>
        <w:b/>
        <w:sz w:val="22"/>
        <w:szCs w:val="22"/>
      </w:rPr>
    </w:pPr>
  </w:p>
  <w:p w14:paraId="399C5432" w14:textId="3E278AA4" w:rsidR="00877D99" w:rsidRPr="00C40661" w:rsidRDefault="00877D99" w:rsidP="00AB2EA5">
    <w:pPr>
      <w:jc w:val="center"/>
      <w:rPr>
        <w:b/>
        <w:sz w:val="22"/>
        <w:szCs w:val="22"/>
      </w:rPr>
    </w:pPr>
    <w:r>
      <w:rPr>
        <w:b/>
        <w:sz w:val="22"/>
        <w:szCs w:val="22"/>
      </w:rPr>
      <w:t>31 DECEMBER 2020</w:t>
    </w:r>
  </w:p>
  <w:p w14:paraId="198DCA83" w14:textId="77777777" w:rsidR="00877D99" w:rsidRDefault="00877D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E685" w14:textId="77777777" w:rsidR="00877D99" w:rsidRDefault="00877D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7031" w14:textId="77777777" w:rsidR="00877D99" w:rsidRDefault="00877D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9B32" w14:textId="4F1291DC" w:rsidR="00877D99" w:rsidRDefault="00877D99" w:rsidP="00AB2EA5">
    <w:pPr>
      <w:jc w:val="center"/>
      <w:rPr>
        <w:b/>
        <w:sz w:val="24"/>
      </w:rPr>
    </w:pPr>
    <w:r>
      <w:rPr>
        <w:b/>
        <w:sz w:val="32"/>
      </w:rPr>
      <w:t>MetalNRG plc</w:t>
    </w:r>
  </w:p>
  <w:p w14:paraId="31CBADBF" w14:textId="77777777" w:rsidR="00877D99" w:rsidRPr="00C40661" w:rsidRDefault="00877D99" w:rsidP="00AB2EA5">
    <w:pPr>
      <w:jc w:val="center"/>
      <w:rPr>
        <w:b/>
        <w:sz w:val="22"/>
        <w:szCs w:val="22"/>
      </w:rPr>
    </w:pPr>
  </w:p>
  <w:p w14:paraId="6DD55778" w14:textId="77777777" w:rsidR="00877D99" w:rsidRPr="00C40661" w:rsidRDefault="00877D99" w:rsidP="00AB2EA5">
    <w:pPr>
      <w:pStyle w:val="Heading2"/>
      <w:rPr>
        <w:sz w:val="22"/>
        <w:szCs w:val="22"/>
      </w:rPr>
    </w:pPr>
    <w:r w:rsidRPr="00C40661">
      <w:rPr>
        <w:sz w:val="22"/>
        <w:szCs w:val="22"/>
      </w:rPr>
      <w:t>CONSOLIDATED CASH FLOW STATEMENT</w:t>
    </w:r>
  </w:p>
  <w:p w14:paraId="2C8983B1" w14:textId="77777777" w:rsidR="00877D99" w:rsidRPr="00C40661" w:rsidRDefault="00877D99" w:rsidP="00AB2EA5">
    <w:pPr>
      <w:jc w:val="center"/>
      <w:rPr>
        <w:b/>
        <w:sz w:val="22"/>
        <w:szCs w:val="22"/>
      </w:rPr>
    </w:pPr>
  </w:p>
  <w:p w14:paraId="57D300BC" w14:textId="6110B742" w:rsidR="00877D99" w:rsidRPr="00C40661" w:rsidRDefault="00877D99" w:rsidP="00091784">
    <w:pPr>
      <w:jc w:val="center"/>
      <w:rPr>
        <w:b/>
        <w:sz w:val="22"/>
        <w:szCs w:val="22"/>
      </w:rPr>
    </w:pPr>
    <w:r w:rsidRPr="00C40661">
      <w:rPr>
        <w:b/>
        <w:sz w:val="22"/>
        <w:szCs w:val="22"/>
      </w:rPr>
      <w:t xml:space="preserve">FOR THE </w:t>
    </w:r>
    <w:r>
      <w:rPr>
        <w:b/>
        <w:sz w:val="22"/>
        <w:szCs w:val="22"/>
      </w:rPr>
      <w:t>YEAR</w:t>
    </w:r>
    <w:r w:rsidRPr="00C40661">
      <w:rPr>
        <w:b/>
        <w:sz w:val="22"/>
        <w:szCs w:val="22"/>
      </w:rPr>
      <w:t xml:space="preserve"> ENDED </w:t>
    </w:r>
    <w:r>
      <w:rPr>
        <w:b/>
        <w:sz w:val="22"/>
        <w:szCs w:val="22"/>
      </w:rPr>
      <w:t>31 DECEMBER 2020</w:t>
    </w:r>
  </w:p>
  <w:p w14:paraId="352D81E8" w14:textId="77777777" w:rsidR="00877D99" w:rsidRDefault="00877D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DDD2" w14:textId="1D0BF56A" w:rsidR="00877D99" w:rsidRPr="00D565F2" w:rsidRDefault="00877D99" w:rsidP="00AB2EA5">
    <w:pPr>
      <w:pStyle w:val="Heading2"/>
      <w:rPr>
        <w:sz w:val="32"/>
        <w:szCs w:val="32"/>
      </w:rPr>
    </w:pPr>
    <w:r>
      <w:rPr>
        <w:sz w:val="32"/>
        <w:szCs w:val="32"/>
      </w:rPr>
      <w:t>MetalNRG</w:t>
    </w:r>
    <w:r w:rsidRPr="00D565F2">
      <w:rPr>
        <w:sz w:val="32"/>
        <w:szCs w:val="32"/>
      </w:rPr>
      <w:t xml:space="preserve"> plc</w:t>
    </w:r>
  </w:p>
  <w:p w14:paraId="6653AC36" w14:textId="77777777" w:rsidR="00877D99" w:rsidRDefault="00877D99" w:rsidP="00AB2EA5">
    <w:pPr>
      <w:pStyle w:val="Heading2"/>
      <w:rPr>
        <w:sz w:val="22"/>
        <w:szCs w:val="22"/>
      </w:rPr>
    </w:pPr>
  </w:p>
  <w:p w14:paraId="33027540" w14:textId="77777777" w:rsidR="00877D99" w:rsidRPr="00C40661" w:rsidRDefault="00877D99" w:rsidP="00AB2EA5">
    <w:pPr>
      <w:pStyle w:val="Heading2"/>
      <w:rPr>
        <w:sz w:val="22"/>
        <w:szCs w:val="22"/>
      </w:rPr>
    </w:pPr>
    <w:r w:rsidRPr="00C40661">
      <w:rPr>
        <w:sz w:val="22"/>
        <w:szCs w:val="22"/>
      </w:rPr>
      <w:t>CO</w:t>
    </w:r>
    <w:r>
      <w:rPr>
        <w:sz w:val="22"/>
        <w:szCs w:val="22"/>
      </w:rPr>
      <w:t>MPANY</w:t>
    </w:r>
    <w:r w:rsidRPr="00C40661">
      <w:rPr>
        <w:sz w:val="22"/>
        <w:szCs w:val="22"/>
      </w:rPr>
      <w:t xml:space="preserve"> CASH FLOW STATEMENT</w:t>
    </w:r>
  </w:p>
  <w:p w14:paraId="0058E5BB" w14:textId="77777777" w:rsidR="00877D99" w:rsidRPr="00C40661" w:rsidRDefault="00877D99" w:rsidP="00AB2EA5">
    <w:pPr>
      <w:jc w:val="center"/>
      <w:rPr>
        <w:b/>
        <w:sz w:val="22"/>
        <w:szCs w:val="22"/>
      </w:rPr>
    </w:pPr>
  </w:p>
  <w:p w14:paraId="206274CC" w14:textId="27241600" w:rsidR="00877D99" w:rsidRPr="00C40661" w:rsidRDefault="00877D99" w:rsidP="00C04DFC">
    <w:pPr>
      <w:jc w:val="center"/>
      <w:rPr>
        <w:b/>
        <w:sz w:val="22"/>
        <w:szCs w:val="22"/>
      </w:rPr>
    </w:pPr>
    <w:r w:rsidRPr="00C40661">
      <w:rPr>
        <w:b/>
        <w:sz w:val="22"/>
        <w:szCs w:val="22"/>
      </w:rPr>
      <w:t xml:space="preserve">FOR THE </w:t>
    </w:r>
    <w:r>
      <w:rPr>
        <w:b/>
        <w:sz w:val="22"/>
        <w:szCs w:val="22"/>
      </w:rPr>
      <w:t>YEAR</w:t>
    </w:r>
    <w:r w:rsidRPr="00C40661">
      <w:rPr>
        <w:b/>
        <w:sz w:val="22"/>
        <w:szCs w:val="22"/>
      </w:rPr>
      <w:t xml:space="preserve"> ENDED </w:t>
    </w:r>
    <w:r>
      <w:rPr>
        <w:b/>
        <w:sz w:val="22"/>
        <w:szCs w:val="22"/>
      </w:rPr>
      <w:t>31 DECEMBER 2020</w:t>
    </w:r>
  </w:p>
  <w:p w14:paraId="01E7ECC7" w14:textId="77777777" w:rsidR="00877D99" w:rsidRDefault="00877D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609C" w14:textId="18E82233" w:rsidR="00877D99" w:rsidRDefault="00877D99" w:rsidP="007E415E">
    <w:pPr>
      <w:ind w:left="567"/>
      <w:jc w:val="center"/>
      <w:rPr>
        <w:b/>
        <w:sz w:val="24"/>
      </w:rPr>
    </w:pPr>
    <w:r>
      <w:rPr>
        <w:b/>
        <w:sz w:val="32"/>
        <w:szCs w:val="32"/>
      </w:rPr>
      <w:t>MetalNRG</w:t>
    </w:r>
    <w:r w:rsidRPr="00C40661">
      <w:rPr>
        <w:b/>
        <w:sz w:val="32"/>
        <w:szCs w:val="32"/>
      </w:rPr>
      <w:t xml:space="preserve"> p</w:t>
    </w:r>
    <w:r w:rsidRPr="00C40661">
      <w:rPr>
        <w:b/>
        <w:sz w:val="32"/>
      </w:rPr>
      <w:t>lc</w:t>
    </w:r>
  </w:p>
  <w:p w14:paraId="5A7D1989" w14:textId="77777777" w:rsidR="00877D99" w:rsidRDefault="00877D99" w:rsidP="007E415E">
    <w:pPr>
      <w:ind w:left="90"/>
      <w:jc w:val="center"/>
      <w:rPr>
        <w:b/>
        <w:sz w:val="22"/>
        <w:szCs w:val="22"/>
      </w:rPr>
    </w:pPr>
  </w:p>
  <w:p w14:paraId="0C4986F2" w14:textId="2A6E0586" w:rsidR="00877D99" w:rsidRPr="00C40661" w:rsidRDefault="00877D99" w:rsidP="007E415E">
    <w:pPr>
      <w:ind w:left="90"/>
      <w:jc w:val="center"/>
      <w:rPr>
        <w:b/>
        <w:sz w:val="22"/>
        <w:szCs w:val="22"/>
      </w:rPr>
    </w:pPr>
    <w:r w:rsidRPr="00C40661">
      <w:rPr>
        <w:b/>
        <w:sz w:val="22"/>
        <w:szCs w:val="22"/>
      </w:rPr>
      <w:t>NOTES TO THE FINANCIAL STATEMENTS</w:t>
    </w:r>
    <w:r>
      <w:rPr>
        <w:b/>
        <w:sz w:val="22"/>
        <w:szCs w:val="22"/>
      </w:rPr>
      <w:t xml:space="preserve"> (continued)</w:t>
    </w:r>
  </w:p>
  <w:p w14:paraId="11296C81" w14:textId="77777777" w:rsidR="00877D99" w:rsidRDefault="00877D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9754" w14:textId="485F5211" w:rsidR="00877D99" w:rsidRDefault="00877D99" w:rsidP="007E415E">
    <w:pPr>
      <w:ind w:left="567"/>
      <w:jc w:val="center"/>
      <w:rPr>
        <w:b/>
        <w:sz w:val="24"/>
      </w:rPr>
    </w:pPr>
    <w:r>
      <w:rPr>
        <w:b/>
        <w:sz w:val="32"/>
        <w:szCs w:val="32"/>
      </w:rPr>
      <w:t>MetalNRG</w:t>
    </w:r>
    <w:r w:rsidRPr="00C40661">
      <w:rPr>
        <w:b/>
        <w:sz w:val="32"/>
        <w:szCs w:val="32"/>
      </w:rPr>
      <w:t xml:space="preserve"> p</w:t>
    </w:r>
    <w:r w:rsidRPr="00C40661">
      <w:rPr>
        <w:b/>
        <w:sz w:val="32"/>
      </w:rPr>
      <w:t>lc</w:t>
    </w:r>
  </w:p>
  <w:p w14:paraId="72561913" w14:textId="77777777" w:rsidR="00877D99" w:rsidRDefault="00877D99" w:rsidP="007E415E">
    <w:pPr>
      <w:ind w:left="90"/>
      <w:jc w:val="center"/>
      <w:rPr>
        <w:b/>
        <w:sz w:val="22"/>
        <w:szCs w:val="22"/>
      </w:rPr>
    </w:pPr>
  </w:p>
  <w:p w14:paraId="6C0CEA82" w14:textId="21C90551" w:rsidR="00877D99" w:rsidRPr="00C40661" w:rsidRDefault="00877D99" w:rsidP="007E415E">
    <w:pPr>
      <w:ind w:left="90"/>
      <w:jc w:val="center"/>
      <w:rPr>
        <w:b/>
        <w:sz w:val="22"/>
        <w:szCs w:val="22"/>
      </w:rPr>
    </w:pPr>
    <w:r w:rsidRPr="00C40661">
      <w:rPr>
        <w:b/>
        <w:sz w:val="22"/>
        <w:szCs w:val="22"/>
      </w:rPr>
      <w:t>NOTES TO THE FINANCIAL STATEMENTS</w:t>
    </w:r>
    <w:r>
      <w:rPr>
        <w:b/>
        <w:sz w:val="22"/>
        <w:szCs w:val="22"/>
      </w:rPr>
      <w:t xml:space="preserve"> (continued)</w:t>
    </w:r>
  </w:p>
  <w:p w14:paraId="0E44721B" w14:textId="77777777" w:rsidR="00877D99" w:rsidRDefault="0087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1CA7" w14:textId="50F042C6" w:rsidR="00877D99" w:rsidRPr="00232C91" w:rsidRDefault="00877D99" w:rsidP="007E415E">
    <w:pPr>
      <w:pStyle w:val="BodyTextIndent"/>
      <w:ind w:left="0"/>
      <w:rPr>
        <w:sz w:val="32"/>
        <w:lang w:val="fr-FR"/>
      </w:rPr>
    </w:pPr>
    <w:r>
      <w:rPr>
        <w:sz w:val="32"/>
        <w:lang w:val="fr-FR"/>
      </w:rPr>
      <w:t>MetalNRG</w:t>
    </w:r>
    <w:r w:rsidRPr="00232C91">
      <w:rPr>
        <w:sz w:val="32"/>
        <w:lang w:val="fr-FR"/>
      </w:rPr>
      <w:t xml:space="preserve"> </w:t>
    </w:r>
    <w:r w:rsidRPr="00232C91">
      <w:rPr>
        <w:sz w:val="32"/>
        <w:lang w:val="fr-FR"/>
      </w:rPr>
      <w:t>plc</w:t>
    </w:r>
  </w:p>
  <w:p w14:paraId="443F19FF" w14:textId="77777777" w:rsidR="00877D99" w:rsidRDefault="00877D99" w:rsidP="007E415E">
    <w:pPr>
      <w:pStyle w:val="BodyTextIndent"/>
      <w:rPr>
        <w:lang w:val="fr-FR"/>
      </w:rPr>
    </w:pPr>
  </w:p>
  <w:p w14:paraId="43D5119F" w14:textId="77777777" w:rsidR="00877D99" w:rsidRPr="000230EA" w:rsidRDefault="00877D99" w:rsidP="007E415E">
    <w:pPr>
      <w:pStyle w:val="BodyTextIndent"/>
      <w:ind w:left="0"/>
      <w:rPr>
        <w:sz w:val="22"/>
        <w:szCs w:val="22"/>
        <w:lang w:val="fr-FR"/>
      </w:rPr>
    </w:pPr>
    <w:r w:rsidRPr="000230EA">
      <w:rPr>
        <w:sz w:val="22"/>
        <w:szCs w:val="22"/>
        <w:lang w:val="fr-FR"/>
      </w:rPr>
      <w:t>CONTENTS</w:t>
    </w:r>
  </w:p>
  <w:p w14:paraId="124FC009" w14:textId="77777777" w:rsidR="00877D99" w:rsidRPr="007E415E" w:rsidRDefault="00877D99">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CD43" w14:textId="467CFACC" w:rsidR="00877D99" w:rsidRPr="007E415E" w:rsidRDefault="00877D99" w:rsidP="007E415E">
    <w:pPr>
      <w:pStyle w:val="BodyTextIndent"/>
      <w:ind w:left="0"/>
      <w:rPr>
        <w:sz w:val="32"/>
      </w:rPr>
    </w:pPr>
    <w:r>
      <w:rPr>
        <w:sz w:val="32"/>
      </w:rPr>
      <w:t>MetalNRG</w:t>
    </w:r>
    <w:r w:rsidRPr="007E415E">
      <w:rPr>
        <w:sz w:val="32"/>
      </w:rPr>
      <w:t xml:space="preserve"> plc</w:t>
    </w:r>
  </w:p>
  <w:p w14:paraId="25FC6EA4" w14:textId="77777777" w:rsidR="00877D99" w:rsidRPr="007E415E" w:rsidRDefault="00877D99" w:rsidP="007E415E">
    <w:pPr>
      <w:pStyle w:val="BodyTextIndent"/>
    </w:pPr>
  </w:p>
  <w:p w14:paraId="602D4140" w14:textId="41133C3F" w:rsidR="00877D99" w:rsidRPr="007E415E" w:rsidRDefault="00877D99" w:rsidP="007E415E">
    <w:pPr>
      <w:pStyle w:val="BodyTextIndent"/>
      <w:ind w:left="0"/>
      <w:rPr>
        <w:sz w:val="22"/>
        <w:szCs w:val="22"/>
      </w:rPr>
    </w:pPr>
    <w:r>
      <w:rPr>
        <w:sz w:val="22"/>
        <w:szCs w:val="22"/>
      </w:rPr>
      <w:t xml:space="preserve">DIRECTORS, </w:t>
    </w:r>
    <w:r w:rsidRPr="007E415E">
      <w:rPr>
        <w:sz w:val="22"/>
        <w:szCs w:val="22"/>
      </w:rPr>
      <w:t>OFFICERS AND PROFESSIONAL ADVISERS</w:t>
    </w:r>
  </w:p>
  <w:p w14:paraId="7EA99D94" w14:textId="77777777" w:rsidR="00877D99" w:rsidRDefault="00877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3B81" w14:textId="633D4E17" w:rsidR="00877D99" w:rsidRPr="007E415E" w:rsidRDefault="00877D99" w:rsidP="007E415E">
    <w:pPr>
      <w:pStyle w:val="BodyTextIndent"/>
      <w:ind w:left="0"/>
      <w:rPr>
        <w:sz w:val="32"/>
      </w:rPr>
    </w:pPr>
    <w:r>
      <w:rPr>
        <w:sz w:val="32"/>
      </w:rPr>
      <w:t>METALNRG</w:t>
    </w:r>
    <w:r w:rsidRPr="007E415E">
      <w:rPr>
        <w:sz w:val="32"/>
      </w:rPr>
      <w:t xml:space="preserve"> plc</w:t>
    </w:r>
  </w:p>
  <w:p w14:paraId="0708B529" w14:textId="77777777" w:rsidR="00877D99" w:rsidRPr="007E415E" w:rsidRDefault="00877D99" w:rsidP="007E415E">
    <w:pPr>
      <w:pStyle w:val="BodyTextIndent"/>
    </w:pPr>
  </w:p>
  <w:p w14:paraId="741A8B95" w14:textId="693100E5" w:rsidR="00877D99" w:rsidRPr="007E415E" w:rsidRDefault="00877D99" w:rsidP="007E415E">
    <w:pPr>
      <w:pStyle w:val="BodyTextIndent"/>
      <w:ind w:left="0"/>
      <w:rPr>
        <w:sz w:val="22"/>
        <w:szCs w:val="22"/>
      </w:rPr>
    </w:pPr>
    <w:r>
      <w:rPr>
        <w:sz w:val="22"/>
        <w:szCs w:val="22"/>
      </w:rPr>
      <w:t xml:space="preserve">STRATEGIC REPORT (continued) </w:t>
    </w:r>
  </w:p>
  <w:p w14:paraId="3969BAFB" w14:textId="77777777" w:rsidR="00877D99" w:rsidRDefault="00877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E24C" w14:textId="27D6AA3E" w:rsidR="00877D99" w:rsidRPr="007E415E" w:rsidRDefault="00877D99" w:rsidP="007E415E">
    <w:pPr>
      <w:pStyle w:val="BodyTextIndent"/>
      <w:ind w:left="0"/>
      <w:rPr>
        <w:sz w:val="32"/>
      </w:rPr>
    </w:pPr>
    <w:r>
      <w:rPr>
        <w:sz w:val="32"/>
      </w:rPr>
      <w:t>MetalNRG</w:t>
    </w:r>
    <w:r w:rsidRPr="007E415E">
      <w:rPr>
        <w:sz w:val="32"/>
      </w:rPr>
      <w:t xml:space="preserve"> plc</w:t>
    </w:r>
  </w:p>
  <w:p w14:paraId="6D507F62" w14:textId="77777777" w:rsidR="00877D99" w:rsidRPr="007E415E" w:rsidRDefault="00877D99" w:rsidP="007E415E">
    <w:pPr>
      <w:pStyle w:val="BodyTextIndent"/>
    </w:pPr>
  </w:p>
  <w:p w14:paraId="4433C385" w14:textId="7454FBCD" w:rsidR="00877D99" w:rsidRPr="007E415E" w:rsidRDefault="00877D99" w:rsidP="007E415E">
    <w:pPr>
      <w:pStyle w:val="BodyTextIndent"/>
      <w:ind w:left="0"/>
      <w:rPr>
        <w:sz w:val="22"/>
        <w:szCs w:val="22"/>
      </w:rPr>
    </w:pPr>
    <w:r>
      <w:rPr>
        <w:sz w:val="22"/>
        <w:szCs w:val="22"/>
      </w:rPr>
      <w:t>STRATEGIC REPORT</w:t>
    </w:r>
  </w:p>
  <w:p w14:paraId="303EDE55" w14:textId="2866504A" w:rsidR="00877D99" w:rsidRPr="007E415E" w:rsidRDefault="00877D99" w:rsidP="007E41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DC6F" w14:textId="32B31E1A" w:rsidR="00877D99" w:rsidRPr="00A06465" w:rsidRDefault="00877D99" w:rsidP="00A06465">
    <w:pPr>
      <w:pStyle w:val="BodyTextIndent"/>
      <w:ind w:left="0"/>
      <w:rPr>
        <w:sz w:val="32"/>
      </w:rPr>
    </w:pPr>
    <w:r w:rsidRPr="00A06465">
      <w:rPr>
        <w:sz w:val="32"/>
      </w:rPr>
      <w:t>METALNRG plc</w:t>
    </w:r>
  </w:p>
  <w:p w14:paraId="21E2EDEA" w14:textId="77777777" w:rsidR="00877D99" w:rsidRDefault="00877D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C20C" w14:textId="2ABC02FA" w:rsidR="00877D99" w:rsidRPr="007E415E" w:rsidRDefault="00877D99" w:rsidP="00AB2EA5">
    <w:pPr>
      <w:pStyle w:val="BodyTextIndent"/>
      <w:ind w:left="0"/>
      <w:rPr>
        <w:sz w:val="32"/>
      </w:rPr>
    </w:pPr>
    <w:r>
      <w:rPr>
        <w:sz w:val="32"/>
      </w:rPr>
      <w:t>MetalNRG</w:t>
    </w:r>
    <w:r w:rsidRPr="007E415E">
      <w:rPr>
        <w:sz w:val="32"/>
      </w:rPr>
      <w:t xml:space="preserve"> plc</w:t>
    </w:r>
  </w:p>
  <w:p w14:paraId="492E0A8B" w14:textId="77777777" w:rsidR="00877D99" w:rsidRPr="007E415E" w:rsidRDefault="00877D99" w:rsidP="00AB2EA5">
    <w:pPr>
      <w:pStyle w:val="BodyTextInden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6A29" w14:textId="77777777" w:rsidR="00877D99" w:rsidRPr="00D565F2" w:rsidRDefault="00877D99" w:rsidP="00DD39A0">
    <w:pPr>
      <w:pStyle w:val="Heading2"/>
      <w:rPr>
        <w:sz w:val="32"/>
        <w:szCs w:val="32"/>
      </w:rPr>
    </w:pPr>
    <w:r>
      <w:rPr>
        <w:sz w:val="32"/>
        <w:szCs w:val="32"/>
      </w:rPr>
      <w:t>MetalNRG</w:t>
    </w:r>
    <w:r w:rsidRPr="00D565F2">
      <w:rPr>
        <w:sz w:val="32"/>
        <w:szCs w:val="32"/>
      </w:rPr>
      <w:t xml:space="preserve"> plc</w:t>
    </w:r>
  </w:p>
  <w:p w14:paraId="097ED3F2" w14:textId="77777777" w:rsidR="00877D99" w:rsidRDefault="00877D99" w:rsidP="006A198A">
    <w:pPr>
      <w:ind w:left="567"/>
      <w:jc w:val="center"/>
      <w:rPr>
        <w:b/>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0423" w14:textId="77777777" w:rsidR="00877D99" w:rsidRPr="00D565F2" w:rsidRDefault="00877D99" w:rsidP="009E5B23">
    <w:pPr>
      <w:pStyle w:val="Heading2"/>
      <w:rPr>
        <w:sz w:val="32"/>
        <w:szCs w:val="32"/>
      </w:rPr>
    </w:pPr>
    <w:r>
      <w:rPr>
        <w:sz w:val="32"/>
        <w:szCs w:val="32"/>
      </w:rPr>
      <w:t>MetalNRG</w:t>
    </w:r>
    <w:r w:rsidRPr="00D565F2">
      <w:rPr>
        <w:sz w:val="32"/>
        <w:szCs w:val="32"/>
      </w:rPr>
      <w:t xml:space="preserve"> plc</w:t>
    </w:r>
  </w:p>
  <w:p w14:paraId="5E8EE161" w14:textId="77777777" w:rsidR="00877D99" w:rsidRDefault="00877D99" w:rsidP="009F326C">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6648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92989"/>
    <w:multiLevelType w:val="hybridMultilevel"/>
    <w:tmpl w:val="7FD20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A3D7C"/>
    <w:multiLevelType w:val="hybridMultilevel"/>
    <w:tmpl w:val="FF66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14DA6"/>
    <w:multiLevelType w:val="multilevel"/>
    <w:tmpl w:val="39D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3709A"/>
    <w:multiLevelType w:val="hybridMultilevel"/>
    <w:tmpl w:val="AA0AF51C"/>
    <w:lvl w:ilvl="0" w:tplc="8A7061A6">
      <w:start w:val="1"/>
      <w:numFmt w:val="lowerRoman"/>
      <w:lvlText w:val="(%1)"/>
      <w:lvlJc w:val="left"/>
      <w:pPr>
        <w:ind w:left="724" w:hanging="567"/>
      </w:pPr>
      <w:rPr>
        <w:rFonts w:ascii="Arial" w:eastAsia="Arial" w:hAnsi="Arial" w:cs="Times New Roman" w:hint="default"/>
        <w:color w:val="231F20"/>
        <w:sz w:val="21"/>
        <w:szCs w:val="21"/>
      </w:rPr>
    </w:lvl>
    <w:lvl w:ilvl="1" w:tplc="A8EE203E">
      <w:start w:val="1"/>
      <w:numFmt w:val="bullet"/>
      <w:lvlText w:val="•"/>
      <w:lvlJc w:val="left"/>
      <w:pPr>
        <w:ind w:left="1574" w:hanging="567"/>
      </w:pPr>
    </w:lvl>
    <w:lvl w:ilvl="2" w:tplc="5B4618D4">
      <w:start w:val="1"/>
      <w:numFmt w:val="bullet"/>
      <w:lvlText w:val="•"/>
      <w:lvlJc w:val="left"/>
      <w:pPr>
        <w:ind w:left="2425" w:hanging="567"/>
      </w:pPr>
    </w:lvl>
    <w:lvl w:ilvl="3" w:tplc="C644CE9C">
      <w:start w:val="1"/>
      <w:numFmt w:val="bullet"/>
      <w:lvlText w:val="•"/>
      <w:lvlJc w:val="left"/>
      <w:pPr>
        <w:ind w:left="3275" w:hanging="567"/>
      </w:pPr>
    </w:lvl>
    <w:lvl w:ilvl="4" w:tplc="ACB29312">
      <w:start w:val="1"/>
      <w:numFmt w:val="bullet"/>
      <w:lvlText w:val="•"/>
      <w:lvlJc w:val="left"/>
      <w:pPr>
        <w:ind w:left="4126" w:hanging="567"/>
      </w:pPr>
    </w:lvl>
    <w:lvl w:ilvl="5" w:tplc="C038972C">
      <w:start w:val="1"/>
      <w:numFmt w:val="bullet"/>
      <w:lvlText w:val="•"/>
      <w:lvlJc w:val="left"/>
      <w:pPr>
        <w:ind w:left="4976" w:hanging="567"/>
      </w:pPr>
    </w:lvl>
    <w:lvl w:ilvl="6" w:tplc="1E66A376">
      <w:start w:val="1"/>
      <w:numFmt w:val="bullet"/>
      <w:lvlText w:val="•"/>
      <w:lvlJc w:val="left"/>
      <w:pPr>
        <w:ind w:left="5827" w:hanging="567"/>
      </w:pPr>
    </w:lvl>
    <w:lvl w:ilvl="7" w:tplc="7EF88BB2">
      <w:start w:val="1"/>
      <w:numFmt w:val="bullet"/>
      <w:lvlText w:val="•"/>
      <w:lvlJc w:val="left"/>
      <w:pPr>
        <w:ind w:left="6677" w:hanging="567"/>
      </w:pPr>
    </w:lvl>
    <w:lvl w:ilvl="8" w:tplc="A62ED77A">
      <w:start w:val="1"/>
      <w:numFmt w:val="bullet"/>
      <w:lvlText w:val="•"/>
      <w:lvlJc w:val="left"/>
      <w:pPr>
        <w:ind w:left="7528" w:hanging="567"/>
      </w:pPr>
    </w:lvl>
  </w:abstractNum>
  <w:abstractNum w:abstractNumId="5" w15:restartNumberingAfterBreak="0">
    <w:nsid w:val="0F112A29"/>
    <w:multiLevelType w:val="hybridMultilevel"/>
    <w:tmpl w:val="F5CE6CAC"/>
    <w:lvl w:ilvl="0" w:tplc="0646F8BC">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581183F"/>
    <w:multiLevelType w:val="hybridMultilevel"/>
    <w:tmpl w:val="E0745C20"/>
    <w:lvl w:ilvl="0" w:tplc="EFEA85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90E27"/>
    <w:multiLevelType w:val="multilevel"/>
    <w:tmpl w:val="437EB9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A1D20"/>
    <w:multiLevelType w:val="hybridMultilevel"/>
    <w:tmpl w:val="06BA4816"/>
    <w:lvl w:ilvl="0" w:tplc="EFEA85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243BA"/>
    <w:multiLevelType w:val="hybridMultilevel"/>
    <w:tmpl w:val="D44AD184"/>
    <w:lvl w:ilvl="0" w:tplc="2B06E1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06143"/>
    <w:multiLevelType w:val="hybridMultilevel"/>
    <w:tmpl w:val="3800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C2B71"/>
    <w:multiLevelType w:val="hybridMultilevel"/>
    <w:tmpl w:val="6FA80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07672"/>
    <w:multiLevelType w:val="hybridMultilevel"/>
    <w:tmpl w:val="A07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14FFB"/>
    <w:multiLevelType w:val="hybridMultilevel"/>
    <w:tmpl w:val="9C0AA60C"/>
    <w:lvl w:ilvl="0" w:tplc="128A743C">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72C3460"/>
    <w:multiLevelType w:val="hybridMultilevel"/>
    <w:tmpl w:val="211ED40C"/>
    <w:lvl w:ilvl="0" w:tplc="FCE688E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D4445"/>
    <w:multiLevelType w:val="hybridMultilevel"/>
    <w:tmpl w:val="BED4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044"/>
    <w:multiLevelType w:val="multilevel"/>
    <w:tmpl w:val="4F389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34541A"/>
    <w:multiLevelType w:val="hybridMultilevel"/>
    <w:tmpl w:val="5276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D59D7"/>
    <w:multiLevelType w:val="multilevel"/>
    <w:tmpl w:val="ABD6AC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4A54DF"/>
    <w:multiLevelType w:val="hybridMultilevel"/>
    <w:tmpl w:val="8A4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87AEF"/>
    <w:multiLevelType w:val="hybridMultilevel"/>
    <w:tmpl w:val="DFD0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405FD"/>
    <w:multiLevelType w:val="hybridMultilevel"/>
    <w:tmpl w:val="7FFA193A"/>
    <w:lvl w:ilvl="0" w:tplc="5FF492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76115A0"/>
    <w:multiLevelType w:val="multilevel"/>
    <w:tmpl w:val="AEE6585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14"/>
  </w:num>
  <w:num w:numId="4">
    <w:abstractNumId w:val="9"/>
  </w:num>
  <w:num w:numId="5">
    <w:abstractNumId w:val="0"/>
  </w:num>
  <w:num w:numId="6">
    <w:abstractNumId w:val="4"/>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num>
  <w:num w:numId="14">
    <w:abstractNumId w:val="7"/>
  </w:num>
  <w:num w:numId="15">
    <w:abstractNumId w:val="5"/>
  </w:num>
  <w:num w:numId="16">
    <w:abstractNumId w:val="13"/>
  </w:num>
  <w:num w:numId="17">
    <w:abstractNumId w:val="18"/>
  </w:num>
  <w:num w:numId="18">
    <w:abstractNumId w:val="21"/>
  </w:num>
  <w:num w:numId="19">
    <w:abstractNumId w:val="3"/>
  </w:num>
  <w:num w:numId="20">
    <w:abstractNumId w:val="20"/>
  </w:num>
  <w:num w:numId="21">
    <w:abstractNumId w:val="19"/>
  </w:num>
  <w:num w:numId="22">
    <w:abstractNumId w:val="2"/>
  </w:num>
  <w:num w:numId="23">
    <w:abstractNumId w:val="17"/>
  </w:num>
  <w:num w:numId="24">
    <w:abstractNumId w:val="10"/>
  </w:num>
  <w:num w:numId="25">
    <w:abstractNumId w:val="15"/>
  </w:num>
  <w:num w:numId="26">
    <w:abstractNumId w:val="12"/>
  </w:num>
  <w:num w:numId="27">
    <w:abstractNumId w:val="1"/>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0A"/>
    <w:rsid w:val="00000A9F"/>
    <w:rsid w:val="00000D30"/>
    <w:rsid w:val="00001019"/>
    <w:rsid w:val="000019C8"/>
    <w:rsid w:val="00002D5D"/>
    <w:rsid w:val="000033AF"/>
    <w:rsid w:val="000059C1"/>
    <w:rsid w:val="00007A7F"/>
    <w:rsid w:val="0001038B"/>
    <w:rsid w:val="000132B6"/>
    <w:rsid w:val="00013AF9"/>
    <w:rsid w:val="000151C0"/>
    <w:rsid w:val="00015442"/>
    <w:rsid w:val="000159E8"/>
    <w:rsid w:val="000164BB"/>
    <w:rsid w:val="00016B0D"/>
    <w:rsid w:val="0002030A"/>
    <w:rsid w:val="000212F8"/>
    <w:rsid w:val="000217D8"/>
    <w:rsid w:val="000225DA"/>
    <w:rsid w:val="00022B60"/>
    <w:rsid w:val="00022B80"/>
    <w:rsid w:val="0002301A"/>
    <w:rsid w:val="000230EA"/>
    <w:rsid w:val="00023A06"/>
    <w:rsid w:val="00025FF3"/>
    <w:rsid w:val="00026250"/>
    <w:rsid w:val="00026A77"/>
    <w:rsid w:val="000309B3"/>
    <w:rsid w:val="00030B89"/>
    <w:rsid w:val="0003272D"/>
    <w:rsid w:val="00032949"/>
    <w:rsid w:val="0003624D"/>
    <w:rsid w:val="00036E14"/>
    <w:rsid w:val="00040487"/>
    <w:rsid w:val="00042860"/>
    <w:rsid w:val="00043F1A"/>
    <w:rsid w:val="00045110"/>
    <w:rsid w:val="00046A51"/>
    <w:rsid w:val="000473AC"/>
    <w:rsid w:val="00047CF5"/>
    <w:rsid w:val="000507DE"/>
    <w:rsid w:val="0005123D"/>
    <w:rsid w:val="00051E21"/>
    <w:rsid w:val="000528E3"/>
    <w:rsid w:val="00055659"/>
    <w:rsid w:val="00055C70"/>
    <w:rsid w:val="0005619A"/>
    <w:rsid w:val="0006206E"/>
    <w:rsid w:val="00062ABC"/>
    <w:rsid w:val="00063338"/>
    <w:rsid w:val="00070529"/>
    <w:rsid w:val="000709E6"/>
    <w:rsid w:val="00072D73"/>
    <w:rsid w:val="0007382B"/>
    <w:rsid w:val="0007536F"/>
    <w:rsid w:val="000802AB"/>
    <w:rsid w:val="00081BD9"/>
    <w:rsid w:val="00082A29"/>
    <w:rsid w:val="00082E49"/>
    <w:rsid w:val="00083A95"/>
    <w:rsid w:val="0008448B"/>
    <w:rsid w:val="00085E6A"/>
    <w:rsid w:val="00085F73"/>
    <w:rsid w:val="0008621D"/>
    <w:rsid w:val="0008717D"/>
    <w:rsid w:val="00087819"/>
    <w:rsid w:val="00087B43"/>
    <w:rsid w:val="00091784"/>
    <w:rsid w:val="000938A3"/>
    <w:rsid w:val="0009396D"/>
    <w:rsid w:val="00093E5B"/>
    <w:rsid w:val="000976ED"/>
    <w:rsid w:val="000A0EA8"/>
    <w:rsid w:val="000A24A7"/>
    <w:rsid w:val="000A2B6C"/>
    <w:rsid w:val="000A354B"/>
    <w:rsid w:val="000A4764"/>
    <w:rsid w:val="000A54DC"/>
    <w:rsid w:val="000A5A3F"/>
    <w:rsid w:val="000A5E95"/>
    <w:rsid w:val="000A70DA"/>
    <w:rsid w:val="000B03C1"/>
    <w:rsid w:val="000B10C7"/>
    <w:rsid w:val="000B12E7"/>
    <w:rsid w:val="000B14F7"/>
    <w:rsid w:val="000B23EA"/>
    <w:rsid w:val="000B3761"/>
    <w:rsid w:val="000B450B"/>
    <w:rsid w:val="000B5A50"/>
    <w:rsid w:val="000B6A48"/>
    <w:rsid w:val="000B7395"/>
    <w:rsid w:val="000B7AC2"/>
    <w:rsid w:val="000C10A8"/>
    <w:rsid w:val="000C3707"/>
    <w:rsid w:val="000C39C8"/>
    <w:rsid w:val="000C5039"/>
    <w:rsid w:val="000C54B9"/>
    <w:rsid w:val="000C558D"/>
    <w:rsid w:val="000C5651"/>
    <w:rsid w:val="000C5766"/>
    <w:rsid w:val="000C7869"/>
    <w:rsid w:val="000C7C05"/>
    <w:rsid w:val="000D052F"/>
    <w:rsid w:val="000D1C4F"/>
    <w:rsid w:val="000D28CE"/>
    <w:rsid w:val="000D2933"/>
    <w:rsid w:val="000D3DBE"/>
    <w:rsid w:val="000D4173"/>
    <w:rsid w:val="000D4188"/>
    <w:rsid w:val="000D6BA5"/>
    <w:rsid w:val="000D6EF2"/>
    <w:rsid w:val="000E0746"/>
    <w:rsid w:val="000E0CC5"/>
    <w:rsid w:val="000E1520"/>
    <w:rsid w:val="000E3F06"/>
    <w:rsid w:val="000E5C36"/>
    <w:rsid w:val="000E5C87"/>
    <w:rsid w:val="000E784C"/>
    <w:rsid w:val="000F0E9E"/>
    <w:rsid w:val="000F1059"/>
    <w:rsid w:val="000F2F41"/>
    <w:rsid w:val="000F3686"/>
    <w:rsid w:val="000F37CA"/>
    <w:rsid w:val="000F53F7"/>
    <w:rsid w:val="000F6220"/>
    <w:rsid w:val="000F6977"/>
    <w:rsid w:val="000F6B5F"/>
    <w:rsid w:val="000F6CE5"/>
    <w:rsid w:val="000F7559"/>
    <w:rsid w:val="000F7CE3"/>
    <w:rsid w:val="001035F2"/>
    <w:rsid w:val="001041EE"/>
    <w:rsid w:val="00105884"/>
    <w:rsid w:val="00105A90"/>
    <w:rsid w:val="00105F96"/>
    <w:rsid w:val="00106C90"/>
    <w:rsid w:val="00106C9C"/>
    <w:rsid w:val="001075A5"/>
    <w:rsid w:val="00110540"/>
    <w:rsid w:val="00111BAB"/>
    <w:rsid w:val="00111C3E"/>
    <w:rsid w:val="00111CE7"/>
    <w:rsid w:val="00112788"/>
    <w:rsid w:val="00113FBA"/>
    <w:rsid w:val="00115967"/>
    <w:rsid w:val="0012082B"/>
    <w:rsid w:val="001219B5"/>
    <w:rsid w:val="00123625"/>
    <w:rsid w:val="001237B3"/>
    <w:rsid w:val="00124476"/>
    <w:rsid w:val="001256C3"/>
    <w:rsid w:val="00130075"/>
    <w:rsid w:val="00132C04"/>
    <w:rsid w:val="00133123"/>
    <w:rsid w:val="00135FCF"/>
    <w:rsid w:val="00136F3D"/>
    <w:rsid w:val="001438C3"/>
    <w:rsid w:val="00144CB1"/>
    <w:rsid w:val="0014535E"/>
    <w:rsid w:val="001457C3"/>
    <w:rsid w:val="001473BB"/>
    <w:rsid w:val="00150384"/>
    <w:rsid w:val="0015040A"/>
    <w:rsid w:val="00151DB8"/>
    <w:rsid w:val="001521BF"/>
    <w:rsid w:val="001523A3"/>
    <w:rsid w:val="00153A31"/>
    <w:rsid w:val="00155A20"/>
    <w:rsid w:val="00155B7E"/>
    <w:rsid w:val="001563AC"/>
    <w:rsid w:val="00156AC7"/>
    <w:rsid w:val="00156B35"/>
    <w:rsid w:val="00156B9A"/>
    <w:rsid w:val="001575C3"/>
    <w:rsid w:val="0016014D"/>
    <w:rsid w:val="001606F8"/>
    <w:rsid w:val="00161512"/>
    <w:rsid w:val="0016241C"/>
    <w:rsid w:val="0016264F"/>
    <w:rsid w:val="001627A4"/>
    <w:rsid w:val="00164C7B"/>
    <w:rsid w:val="001664DF"/>
    <w:rsid w:val="00166A97"/>
    <w:rsid w:val="00166E79"/>
    <w:rsid w:val="00167AA8"/>
    <w:rsid w:val="00171E12"/>
    <w:rsid w:val="00174682"/>
    <w:rsid w:val="00174B32"/>
    <w:rsid w:val="00181E1D"/>
    <w:rsid w:val="0018272F"/>
    <w:rsid w:val="00182AB8"/>
    <w:rsid w:val="0018434D"/>
    <w:rsid w:val="00186740"/>
    <w:rsid w:val="00190F18"/>
    <w:rsid w:val="00191852"/>
    <w:rsid w:val="001941AC"/>
    <w:rsid w:val="00195517"/>
    <w:rsid w:val="0019593F"/>
    <w:rsid w:val="00197FA0"/>
    <w:rsid w:val="001A0408"/>
    <w:rsid w:val="001A291D"/>
    <w:rsid w:val="001A3398"/>
    <w:rsid w:val="001A39F9"/>
    <w:rsid w:val="001A42B8"/>
    <w:rsid w:val="001A4A7B"/>
    <w:rsid w:val="001A6843"/>
    <w:rsid w:val="001A71D0"/>
    <w:rsid w:val="001A75DA"/>
    <w:rsid w:val="001A7F42"/>
    <w:rsid w:val="001B0161"/>
    <w:rsid w:val="001B0572"/>
    <w:rsid w:val="001B2A3C"/>
    <w:rsid w:val="001B368D"/>
    <w:rsid w:val="001B6E09"/>
    <w:rsid w:val="001B7259"/>
    <w:rsid w:val="001C0F08"/>
    <w:rsid w:val="001C10F8"/>
    <w:rsid w:val="001C2786"/>
    <w:rsid w:val="001C2A2F"/>
    <w:rsid w:val="001C3526"/>
    <w:rsid w:val="001C41D3"/>
    <w:rsid w:val="001C6027"/>
    <w:rsid w:val="001C64DC"/>
    <w:rsid w:val="001C6909"/>
    <w:rsid w:val="001C7907"/>
    <w:rsid w:val="001C7B7E"/>
    <w:rsid w:val="001D0113"/>
    <w:rsid w:val="001D0CE7"/>
    <w:rsid w:val="001D19B0"/>
    <w:rsid w:val="001D21D0"/>
    <w:rsid w:val="001D23AF"/>
    <w:rsid w:val="001D5783"/>
    <w:rsid w:val="001D6144"/>
    <w:rsid w:val="001D6482"/>
    <w:rsid w:val="001E0F4F"/>
    <w:rsid w:val="001E25DE"/>
    <w:rsid w:val="001E25F4"/>
    <w:rsid w:val="001E3BD1"/>
    <w:rsid w:val="001E446A"/>
    <w:rsid w:val="001E44CA"/>
    <w:rsid w:val="001E569C"/>
    <w:rsid w:val="001F00EC"/>
    <w:rsid w:val="001F08EF"/>
    <w:rsid w:val="001F3535"/>
    <w:rsid w:val="001F57F5"/>
    <w:rsid w:val="001F650C"/>
    <w:rsid w:val="001F700D"/>
    <w:rsid w:val="001F7AEE"/>
    <w:rsid w:val="00201024"/>
    <w:rsid w:val="00202338"/>
    <w:rsid w:val="00203634"/>
    <w:rsid w:val="00203C24"/>
    <w:rsid w:val="00203CCD"/>
    <w:rsid w:val="00204DDF"/>
    <w:rsid w:val="00204FDA"/>
    <w:rsid w:val="00206ED4"/>
    <w:rsid w:val="00207FB1"/>
    <w:rsid w:val="00210205"/>
    <w:rsid w:val="00210576"/>
    <w:rsid w:val="0021174F"/>
    <w:rsid w:val="002117E6"/>
    <w:rsid w:val="0021259D"/>
    <w:rsid w:val="002126D5"/>
    <w:rsid w:val="002132A5"/>
    <w:rsid w:val="00217B4B"/>
    <w:rsid w:val="00217B90"/>
    <w:rsid w:val="002200D4"/>
    <w:rsid w:val="00220529"/>
    <w:rsid w:val="00220FEF"/>
    <w:rsid w:val="00221579"/>
    <w:rsid w:val="0022194C"/>
    <w:rsid w:val="00222D14"/>
    <w:rsid w:val="00222DA8"/>
    <w:rsid w:val="0022492B"/>
    <w:rsid w:val="00226255"/>
    <w:rsid w:val="00226BAA"/>
    <w:rsid w:val="00230644"/>
    <w:rsid w:val="00230B4D"/>
    <w:rsid w:val="002328A5"/>
    <w:rsid w:val="00232C91"/>
    <w:rsid w:val="0023306D"/>
    <w:rsid w:val="00235E00"/>
    <w:rsid w:val="00242EF4"/>
    <w:rsid w:val="00243610"/>
    <w:rsid w:val="00243F22"/>
    <w:rsid w:val="00245B09"/>
    <w:rsid w:val="00246561"/>
    <w:rsid w:val="002467B9"/>
    <w:rsid w:val="00246D1A"/>
    <w:rsid w:val="0024717E"/>
    <w:rsid w:val="00247F3C"/>
    <w:rsid w:val="0025001E"/>
    <w:rsid w:val="00256B62"/>
    <w:rsid w:val="00257400"/>
    <w:rsid w:val="002613AA"/>
    <w:rsid w:val="002624EA"/>
    <w:rsid w:val="00262BB9"/>
    <w:rsid w:val="002639E1"/>
    <w:rsid w:val="00264146"/>
    <w:rsid w:val="00264492"/>
    <w:rsid w:val="00265860"/>
    <w:rsid w:val="00266BC2"/>
    <w:rsid w:val="00267504"/>
    <w:rsid w:val="00267F0E"/>
    <w:rsid w:val="00270824"/>
    <w:rsid w:val="002717E3"/>
    <w:rsid w:val="00273544"/>
    <w:rsid w:val="00274983"/>
    <w:rsid w:val="0027500F"/>
    <w:rsid w:val="00275562"/>
    <w:rsid w:val="002758B5"/>
    <w:rsid w:val="002766F3"/>
    <w:rsid w:val="002812C8"/>
    <w:rsid w:val="0028268B"/>
    <w:rsid w:val="00285E6C"/>
    <w:rsid w:val="0028658B"/>
    <w:rsid w:val="002868BB"/>
    <w:rsid w:val="00290567"/>
    <w:rsid w:val="00292E93"/>
    <w:rsid w:val="00293F62"/>
    <w:rsid w:val="00294781"/>
    <w:rsid w:val="0029482F"/>
    <w:rsid w:val="00294E59"/>
    <w:rsid w:val="0029699C"/>
    <w:rsid w:val="00297A3E"/>
    <w:rsid w:val="00297FBF"/>
    <w:rsid w:val="002A0713"/>
    <w:rsid w:val="002A0E4A"/>
    <w:rsid w:val="002A129A"/>
    <w:rsid w:val="002A227F"/>
    <w:rsid w:val="002A2D94"/>
    <w:rsid w:val="002A2E09"/>
    <w:rsid w:val="002A31BA"/>
    <w:rsid w:val="002A4A81"/>
    <w:rsid w:val="002A509B"/>
    <w:rsid w:val="002A52A2"/>
    <w:rsid w:val="002A5D11"/>
    <w:rsid w:val="002B369C"/>
    <w:rsid w:val="002B512D"/>
    <w:rsid w:val="002B5376"/>
    <w:rsid w:val="002B61AB"/>
    <w:rsid w:val="002B7884"/>
    <w:rsid w:val="002C1C70"/>
    <w:rsid w:val="002C1DF5"/>
    <w:rsid w:val="002C4E66"/>
    <w:rsid w:val="002C6538"/>
    <w:rsid w:val="002C67F8"/>
    <w:rsid w:val="002C7EA4"/>
    <w:rsid w:val="002C7F3F"/>
    <w:rsid w:val="002D1228"/>
    <w:rsid w:val="002D1FC7"/>
    <w:rsid w:val="002D22AA"/>
    <w:rsid w:val="002D2CC2"/>
    <w:rsid w:val="002D3C48"/>
    <w:rsid w:val="002D41BB"/>
    <w:rsid w:val="002D4A29"/>
    <w:rsid w:val="002D6DB8"/>
    <w:rsid w:val="002E0C9D"/>
    <w:rsid w:val="002E181C"/>
    <w:rsid w:val="002E21AE"/>
    <w:rsid w:val="002E2FAA"/>
    <w:rsid w:val="002E3591"/>
    <w:rsid w:val="002E3B83"/>
    <w:rsid w:val="002E3D84"/>
    <w:rsid w:val="002E40EE"/>
    <w:rsid w:val="002E4AA5"/>
    <w:rsid w:val="002E63EC"/>
    <w:rsid w:val="002F2AD7"/>
    <w:rsid w:val="002F3BA7"/>
    <w:rsid w:val="002F5216"/>
    <w:rsid w:val="002F62EA"/>
    <w:rsid w:val="002F6E92"/>
    <w:rsid w:val="002F76A8"/>
    <w:rsid w:val="003001B0"/>
    <w:rsid w:val="00301668"/>
    <w:rsid w:val="0030512B"/>
    <w:rsid w:val="00305D9C"/>
    <w:rsid w:val="003068BE"/>
    <w:rsid w:val="00307078"/>
    <w:rsid w:val="003103D0"/>
    <w:rsid w:val="0031081D"/>
    <w:rsid w:val="00311851"/>
    <w:rsid w:val="003118A7"/>
    <w:rsid w:val="00311C01"/>
    <w:rsid w:val="00313CEA"/>
    <w:rsid w:val="00315A68"/>
    <w:rsid w:val="00315DD7"/>
    <w:rsid w:val="003209B5"/>
    <w:rsid w:val="0032381D"/>
    <w:rsid w:val="00323D84"/>
    <w:rsid w:val="00327609"/>
    <w:rsid w:val="00331179"/>
    <w:rsid w:val="00331CAD"/>
    <w:rsid w:val="00334D4F"/>
    <w:rsid w:val="00335006"/>
    <w:rsid w:val="003354D1"/>
    <w:rsid w:val="003355AE"/>
    <w:rsid w:val="00336960"/>
    <w:rsid w:val="003372AF"/>
    <w:rsid w:val="003402C5"/>
    <w:rsid w:val="00340D85"/>
    <w:rsid w:val="003417E8"/>
    <w:rsid w:val="00342846"/>
    <w:rsid w:val="00343ABD"/>
    <w:rsid w:val="003444D9"/>
    <w:rsid w:val="00344B2F"/>
    <w:rsid w:val="0034520D"/>
    <w:rsid w:val="00345329"/>
    <w:rsid w:val="00346F33"/>
    <w:rsid w:val="00350C73"/>
    <w:rsid w:val="00353470"/>
    <w:rsid w:val="003546D5"/>
    <w:rsid w:val="00354BCE"/>
    <w:rsid w:val="003553A6"/>
    <w:rsid w:val="00361205"/>
    <w:rsid w:val="003616E9"/>
    <w:rsid w:val="00361939"/>
    <w:rsid w:val="00361CA3"/>
    <w:rsid w:val="003621E2"/>
    <w:rsid w:val="00364307"/>
    <w:rsid w:val="00364F89"/>
    <w:rsid w:val="003661CF"/>
    <w:rsid w:val="00366B2C"/>
    <w:rsid w:val="00371AF9"/>
    <w:rsid w:val="00371BC6"/>
    <w:rsid w:val="00375C7C"/>
    <w:rsid w:val="003761FE"/>
    <w:rsid w:val="00377562"/>
    <w:rsid w:val="003777AC"/>
    <w:rsid w:val="00380AEE"/>
    <w:rsid w:val="00381766"/>
    <w:rsid w:val="00382C20"/>
    <w:rsid w:val="00382F9A"/>
    <w:rsid w:val="00383C48"/>
    <w:rsid w:val="003859F0"/>
    <w:rsid w:val="00386052"/>
    <w:rsid w:val="00391C0C"/>
    <w:rsid w:val="00391EEE"/>
    <w:rsid w:val="0039208A"/>
    <w:rsid w:val="0039415F"/>
    <w:rsid w:val="00394DC7"/>
    <w:rsid w:val="00396E15"/>
    <w:rsid w:val="00396E55"/>
    <w:rsid w:val="003970F3"/>
    <w:rsid w:val="00397A87"/>
    <w:rsid w:val="003A0318"/>
    <w:rsid w:val="003A040B"/>
    <w:rsid w:val="003A18DF"/>
    <w:rsid w:val="003A19B0"/>
    <w:rsid w:val="003A3A10"/>
    <w:rsid w:val="003A6E53"/>
    <w:rsid w:val="003A793E"/>
    <w:rsid w:val="003A7DE9"/>
    <w:rsid w:val="003B1A9B"/>
    <w:rsid w:val="003B3679"/>
    <w:rsid w:val="003B4084"/>
    <w:rsid w:val="003B7066"/>
    <w:rsid w:val="003C0612"/>
    <w:rsid w:val="003C0DBC"/>
    <w:rsid w:val="003C16B9"/>
    <w:rsid w:val="003C18F5"/>
    <w:rsid w:val="003C2081"/>
    <w:rsid w:val="003C52B4"/>
    <w:rsid w:val="003C71C4"/>
    <w:rsid w:val="003D07BC"/>
    <w:rsid w:val="003D10E6"/>
    <w:rsid w:val="003D1C0B"/>
    <w:rsid w:val="003D27EC"/>
    <w:rsid w:val="003D40D4"/>
    <w:rsid w:val="003D509A"/>
    <w:rsid w:val="003D69AC"/>
    <w:rsid w:val="003D7385"/>
    <w:rsid w:val="003D7ABE"/>
    <w:rsid w:val="003E146D"/>
    <w:rsid w:val="003E1C58"/>
    <w:rsid w:val="003E244F"/>
    <w:rsid w:val="003E2A3C"/>
    <w:rsid w:val="003E5CBA"/>
    <w:rsid w:val="003E5CD6"/>
    <w:rsid w:val="003E6ECE"/>
    <w:rsid w:val="003E7221"/>
    <w:rsid w:val="003F039C"/>
    <w:rsid w:val="003F04C5"/>
    <w:rsid w:val="003F2293"/>
    <w:rsid w:val="004029CF"/>
    <w:rsid w:val="00403656"/>
    <w:rsid w:val="00403DD4"/>
    <w:rsid w:val="00405A7E"/>
    <w:rsid w:val="00405F7F"/>
    <w:rsid w:val="00410563"/>
    <w:rsid w:val="00410D4A"/>
    <w:rsid w:val="004126AF"/>
    <w:rsid w:val="004132CB"/>
    <w:rsid w:val="00413A2D"/>
    <w:rsid w:val="004141BF"/>
    <w:rsid w:val="00415F6A"/>
    <w:rsid w:val="004171C1"/>
    <w:rsid w:val="0041720E"/>
    <w:rsid w:val="00417BAB"/>
    <w:rsid w:val="00420155"/>
    <w:rsid w:val="00421CF9"/>
    <w:rsid w:val="004226EA"/>
    <w:rsid w:val="00422ECE"/>
    <w:rsid w:val="004248E6"/>
    <w:rsid w:val="00424ED9"/>
    <w:rsid w:val="00426321"/>
    <w:rsid w:val="00426971"/>
    <w:rsid w:val="00430353"/>
    <w:rsid w:val="00431CD7"/>
    <w:rsid w:val="00432684"/>
    <w:rsid w:val="00434CEB"/>
    <w:rsid w:val="00435B98"/>
    <w:rsid w:val="004362A2"/>
    <w:rsid w:val="00436DAA"/>
    <w:rsid w:val="00440174"/>
    <w:rsid w:val="0044373C"/>
    <w:rsid w:val="0044415C"/>
    <w:rsid w:val="00444663"/>
    <w:rsid w:val="00445899"/>
    <w:rsid w:val="00447507"/>
    <w:rsid w:val="00451BAB"/>
    <w:rsid w:val="004523C8"/>
    <w:rsid w:val="00453A72"/>
    <w:rsid w:val="0045410C"/>
    <w:rsid w:val="004600AB"/>
    <w:rsid w:val="00460894"/>
    <w:rsid w:val="00460D05"/>
    <w:rsid w:val="00460E9A"/>
    <w:rsid w:val="00462768"/>
    <w:rsid w:val="004642AD"/>
    <w:rsid w:val="00464D90"/>
    <w:rsid w:val="00464EA6"/>
    <w:rsid w:val="00465A21"/>
    <w:rsid w:val="00465CAD"/>
    <w:rsid w:val="004660FF"/>
    <w:rsid w:val="0046637C"/>
    <w:rsid w:val="004667A4"/>
    <w:rsid w:val="0047046D"/>
    <w:rsid w:val="00473F00"/>
    <w:rsid w:val="004745DA"/>
    <w:rsid w:val="00477F3A"/>
    <w:rsid w:val="004818A3"/>
    <w:rsid w:val="00481CB5"/>
    <w:rsid w:val="00481F93"/>
    <w:rsid w:val="004828E2"/>
    <w:rsid w:val="00484262"/>
    <w:rsid w:val="00484283"/>
    <w:rsid w:val="00485BA2"/>
    <w:rsid w:val="00485C40"/>
    <w:rsid w:val="004867F3"/>
    <w:rsid w:val="00487D4F"/>
    <w:rsid w:val="00487DF5"/>
    <w:rsid w:val="00491DC5"/>
    <w:rsid w:val="00493535"/>
    <w:rsid w:val="004963B0"/>
    <w:rsid w:val="00496481"/>
    <w:rsid w:val="004A01BE"/>
    <w:rsid w:val="004A02F7"/>
    <w:rsid w:val="004A0989"/>
    <w:rsid w:val="004A11E4"/>
    <w:rsid w:val="004A2D50"/>
    <w:rsid w:val="004A5D1C"/>
    <w:rsid w:val="004A74F8"/>
    <w:rsid w:val="004B1253"/>
    <w:rsid w:val="004B3CAF"/>
    <w:rsid w:val="004B4A3E"/>
    <w:rsid w:val="004B4C49"/>
    <w:rsid w:val="004B51A7"/>
    <w:rsid w:val="004B5F44"/>
    <w:rsid w:val="004B6CF2"/>
    <w:rsid w:val="004C06C0"/>
    <w:rsid w:val="004C0B2B"/>
    <w:rsid w:val="004C0DFE"/>
    <w:rsid w:val="004C206D"/>
    <w:rsid w:val="004C5768"/>
    <w:rsid w:val="004C6A15"/>
    <w:rsid w:val="004C6D6A"/>
    <w:rsid w:val="004D1064"/>
    <w:rsid w:val="004D1963"/>
    <w:rsid w:val="004D19B2"/>
    <w:rsid w:val="004D219B"/>
    <w:rsid w:val="004D314E"/>
    <w:rsid w:val="004D31F7"/>
    <w:rsid w:val="004D31FE"/>
    <w:rsid w:val="004D3CAB"/>
    <w:rsid w:val="004E1045"/>
    <w:rsid w:val="004E1872"/>
    <w:rsid w:val="004E33AE"/>
    <w:rsid w:val="004E4391"/>
    <w:rsid w:val="004E5D86"/>
    <w:rsid w:val="004E6310"/>
    <w:rsid w:val="004E7E79"/>
    <w:rsid w:val="004F07C8"/>
    <w:rsid w:val="004F0D7A"/>
    <w:rsid w:val="004F2AA2"/>
    <w:rsid w:val="004F6F7A"/>
    <w:rsid w:val="00501934"/>
    <w:rsid w:val="005031D8"/>
    <w:rsid w:val="00503751"/>
    <w:rsid w:val="0050377A"/>
    <w:rsid w:val="005041EF"/>
    <w:rsid w:val="00504F4B"/>
    <w:rsid w:val="005059CB"/>
    <w:rsid w:val="00505F22"/>
    <w:rsid w:val="005063C3"/>
    <w:rsid w:val="00506EFA"/>
    <w:rsid w:val="00507581"/>
    <w:rsid w:val="00511F15"/>
    <w:rsid w:val="005125E4"/>
    <w:rsid w:val="0051313C"/>
    <w:rsid w:val="005135DE"/>
    <w:rsid w:val="005146A2"/>
    <w:rsid w:val="00514ABD"/>
    <w:rsid w:val="00517573"/>
    <w:rsid w:val="005177E6"/>
    <w:rsid w:val="00517ABE"/>
    <w:rsid w:val="005203AB"/>
    <w:rsid w:val="00520DF8"/>
    <w:rsid w:val="005231F5"/>
    <w:rsid w:val="00523E2C"/>
    <w:rsid w:val="005240D9"/>
    <w:rsid w:val="00525092"/>
    <w:rsid w:val="00526A74"/>
    <w:rsid w:val="00527D44"/>
    <w:rsid w:val="005321EB"/>
    <w:rsid w:val="00532E5E"/>
    <w:rsid w:val="00533238"/>
    <w:rsid w:val="00533364"/>
    <w:rsid w:val="005353EA"/>
    <w:rsid w:val="005356C2"/>
    <w:rsid w:val="005362E9"/>
    <w:rsid w:val="00540F36"/>
    <w:rsid w:val="00540FC9"/>
    <w:rsid w:val="00541226"/>
    <w:rsid w:val="00542965"/>
    <w:rsid w:val="00542FFD"/>
    <w:rsid w:val="00544F00"/>
    <w:rsid w:val="00546BDB"/>
    <w:rsid w:val="00547BF7"/>
    <w:rsid w:val="00547C36"/>
    <w:rsid w:val="005528D8"/>
    <w:rsid w:val="00554B2F"/>
    <w:rsid w:val="0055593B"/>
    <w:rsid w:val="005574B0"/>
    <w:rsid w:val="00560A28"/>
    <w:rsid w:val="00561544"/>
    <w:rsid w:val="00562262"/>
    <w:rsid w:val="005643A4"/>
    <w:rsid w:val="00565ABB"/>
    <w:rsid w:val="00566450"/>
    <w:rsid w:val="00566831"/>
    <w:rsid w:val="00566F63"/>
    <w:rsid w:val="00574165"/>
    <w:rsid w:val="00574B8E"/>
    <w:rsid w:val="00574E6F"/>
    <w:rsid w:val="00575FE8"/>
    <w:rsid w:val="00577468"/>
    <w:rsid w:val="00577955"/>
    <w:rsid w:val="00580D88"/>
    <w:rsid w:val="005817CF"/>
    <w:rsid w:val="005819C5"/>
    <w:rsid w:val="00585094"/>
    <w:rsid w:val="005854E5"/>
    <w:rsid w:val="00585673"/>
    <w:rsid w:val="00586ADD"/>
    <w:rsid w:val="00590A7B"/>
    <w:rsid w:val="00591F8D"/>
    <w:rsid w:val="00593BF7"/>
    <w:rsid w:val="005951EB"/>
    <w:rsid w:val="00595FFE"/>
    <w:rsid w:val="0059671C"/>
    <w:rsid w:val="005A11D1"/>
    <w:rsid w:val="005A3369"/>
    <w:rsid w:val="005A455B"/>
    <w:rsid w:val="005A5093"/>
    <w:rsid w:val="005A6664"/>
    <w:rsid w:val="005B040C"/>
    <w:rsid w:val="005B0D5B"/>
    <w:rsid w:val="005B1529"/>
    <w:rsid w:val="005B2D14"/>
    <w:rsid w:val="005B34B0"/>
    <w:rsid w:val="005B4274"/>
    <w:rsid w:val="005B56E9"/>
    <w:rsid w:val="005B5D07"/>
    <w:rsid w:val="005B667C"/>
    <w:rsid w:val="005B669A"/>
    <w:rsid w:val="005B7EF8"/>
    <w:rsid w:val="005C0D6D"/>
    <w:rsid w:val="005C19E3"/>
    <w:rsid w:val="005C2A26"/>
    <w:rsid w:val="005C2BFD"/>
    <w:rsid w:val="005C2CCE"/>
    <w:rsid w:val="005C55CA"/>
    <w:rsid w:val="005D058E"/>
    <w:rsid w:val="005D1629"/>
    <w:rsid w:val="005D1B07"/>
    <w:rsid w:val="005D23CD"/>
    <w:rsid w:val="005D3652"/>
    <w:rsid w:val="005D37D1"/>
    <w:rsid w:val="005D44C9"/>
    <w:rsid w:val="005D58A8"/>
    <w:rsid w:val="005D5F0D"/>
    <w:rsid w:val="005D698A"/>
    <w:rsid w:val="005E1439"/>
    <w:rsid w:val="005E172B"/>
    <w:rsid w:val="005E1810"/>
    <w:rsid w:val="005E1D48"/>
    <w:rsid w:val="005E4DAF"/>
    <w:rsid w:val="005E5EB6"/>
    <w:rsid w:val="005E696B"/>
    <w:rsid w:val="005F1572"/>
    <w:rsid w:val="005F203D"/>
    <w:rsid w:val="005F2717"/>
    <w:rsid w:val="005F2F51"/>
    <w:rsid w:val="005F3508"/>
    <w:rsid w:val="00602CCC"/>
    <w:rsid w:val="006033E7"/>
    <w:rsid w:val="00604820"/>
    <w:rsid w:val="006056A4"/>
    <w:rsid w:val="006074C8"/>
    <w:rsid w:val="0060790A"/>
    <w:rsid w:val="00610147"/>
    <w:rsid w:val="0061079E"/>
    <w:rsid w:val="00613836"/>
    <w:rsid w:val="0061644E"/>
    <w:rsid w:val="00617B34"/>
    <w:rsid w:val="00620156"/>
    <w:rsid w:val="0062030A"/>
    <w:rsid w:val="00621906"/>
    <w:rsid w:val="006219DC"/>
    <w:rsid w:val="00622A46"/>
    <w:rsid w:val="00622DCD"/>
    <w:rsid w:val="0062719F"/>
    <w:rsid w:val="00630165"/>
    <w:rsid w:val="00631450"/>
    <w:rsid w:val="006318D3"/>
    <w:rsid w:val="00631B92"/>
    <w:rsid w:val="00635E77"/>
    <w:rsid w:val="0064027C"/>
    <w:rsid w:val="006406CF"/>
    <w:rsid w:val="00640BA1"/>
    <w:rsid w:val="006419E8"/>
    <w:rsid w:val="006432CB"/>
    <w:rsid w:val="00644D74"/>
    <w:rsid w:val="00646EEF"/>
    <w:rsid w:val="0064704F"/>
    <w:rsid w:val="00651300"/>
    <w:rsid w:val="00651451"/>
    <w:rsid w:val="006526F6"/>
    <w:rsid w:val="006529AB"/>
    <w:rsid w:val="00652CBB"/>
    <w:rsid w:val="00655FE7"/>
    <w:rsid w:val="00656716"/>
    <w:rsid w:val="00660C52"/>
    <w:rsid w:val="00661079"/>
    <w:rsid w:val="00664F2D"/>
    <w:rsid w:val="006715E8"/>
    <w:rsid w:val="006721FB"/>
    <w:rsid w:val="00673702"/>
    <w:rsid w:val="006740CD"/>
    <w:rsid w:val="0067565C"/>
    <w:rsid w:val="0067589B"/>
    <w:rsid w:val="0068080D"/>
    <w:rsid w:val="0068280E"/>
    <w:rsid w:val="00684328"/>
    <w:rsid w:val="006845FB"/>
    <w:rsid w:val="00684AFF"/>
    <w:rsid w:val="00685929"/>
    <w:rsid w:val="00691C03"/>
    <w:rsid w:val="0069211C"/>
    <w:rsid w:val="006935FD"/>
    <w:rsid w:val="00693984"/>
    <w:rsid w:val="00693AF9"/>
    <w:rsid w:val="006944AD"/>
    <w:rsid w:val="00695358"/>
    <w:rsid w:val="0069598A"/>
    <w:rsid w:val="00696BCB"/>
    <w:rsid w:val="00696D85"/>
    <w:rsid w:val="006A06BB"/>
    <w:rsid w:val="006A17C4"/>
    <w:rsid w:val="006A198A"/>
    <w:rsid w:val="006A1BBA"/>
    <w:rsid w:val="006A1E5D"/>
    <w:rsid w:val="006A5375"/>
    <w:rsid w:val="006B0623"/>
    <w:rsid w:val="006B0807"/>
    <w:rsid w:val="006B18A8"/>
    <w:rsid w:val="006B2A61"/>
    <w:rsid w:val="006B50B1"/>
    <w:rsid w:val="006B5F4F"/>
    <w:rsid w:val="006B62CD"/>
    <w:rsid w:val="006B6A5A"/>
    <w:rsid w:val="006B7436"/>
    <w:rsid w:val="006B7D04"/>
    <w:rsid w:val="006B7FE6"/>
    <w:rsid w:val="006C0424"/>
    <w:rsid w:val="006C0565"/>
    <w:rsid w:val="006C06D7"/>
    <w:rsid w:val="006C0773"/>
    <w:rsid w:val="006C1114"/>
    <w:rsid w:val="006C1BC6"/>
    <w:rsid w:val="006C3CA3"/>
    <w:rsid w:val="006C4582"/>
    <w:rsid w:val="006C50DE"/>
    <w:rsid w:val="006C5E61"/>
    <w:rsid w:val="006C7AF0"/>
    <w:rsid w:val="006C7E72"/>
    <w:rsid w:val="006D0FAA"/>
    <w:rsid w:val="006D1632"/>
    <w:rsid w:val="006D2D82"/>
    <w:rsid w:val="006D354A"/>
    <w:rsid w:val="006D39C0"/>
    <w:rsid w:val="006D56BD"/>
    <w:rsid w:val="006E08F2"/>
    <w:rsid w:val="006E0DAB"/>
    <w:rsid w:val="006E34F4"/>
    <w:rsid w:val="006F0891"/>
    <w:rsid w:val="006F12FD"/>
    <w:rsid w:val="006F1F0C"/>
    <w:rsid w:val="006F5DF1"/>
    <w:rsid w:val="006F6143"/>
    <w:rsid w:val="006F786D"/>
    <w:rsid w:val="006F7D8F"/>
    <w:rsid w:val="0070059F"/>
    <w:rsid w:val="00700F86"/>
    <w:rsid w:val="007012C8"/>
    <w:rsid w:val="0070147A"/>
    <w:rsid w:val="00701D75"/>
    <w:rsid w:val="00703C4B"/>
    <w:rsid w:val="00704458"/>
    <w:rsid w:val="00704EF8"/>
    <w:rsid w:val="0070568C"/>
    <w:rsid w:val="0070595A"/>
    <w:rsid w:val="0070598D"/>
    <w:rsid w:val="007114BA"/>
    <w:rsid w:val="00712D2F"/>
    <w:rsid w:val="00713A11"/>
    <w:rsid w:val="0071652E"/>
    <w:rsid w:val="0071666E"/>
    <w:rsid w:val="00716B13"/>
    <w:rsid w:val="007210E7"/>
    <w:rsid w:val="0072125A"/>
    <w:rsid w:val="007229AF"/>
    <w:rsid w:val="00723433"/>
    <w:rsid w:val="00724436"/>
    <w:rsid w:val="007262AA"/>
    <w:rsid w:val="00735DE3"/>
    <w:rsid w:val="00736192"/>
    <w:rsid w:val="00737440"/>
    <w:rsid w:val="00740AD1"/>
    <w:rsid w:val="00740DB9"/>
    <w:rsid w:val="0074122A"/>
    <w:rsid w:val="00743328"/>
    <w:rsid w:val="007434E3"/>
    <w:rsid w:val="00744595"/>
    <w:rsid w:val="00745822"/>
    <w:rsid w:val="0074591A"/>
    <w:rsid w:val="0074653E"/>
    <w:rsid w:val="0074754D"/>
    <w:rsid w:val="007479EF"/>
    <w:rsid w:val="00750DF0"/>
    <w:rsid w:val="00752D19"/>
    <w:rsid w:val="00753313"/>
    <w:rsid w:val="00754973"/>
    <w:rsid w:val="00754CA8"/>
    <w:rsid w:val="00755826"/>
    <w:rsid w:val="00756A27"/>
    <w:rsid w:val="00761EFB"/>
    <w:rsid w:val="007623F0"/>
    <w:rsid w:val="00762F1E"/>
    <w:rsid w:val="0076446C"/>
    <w:rsid w:val="00764F55"/>
    <w:rsid w:val="007659EB"/>
    <w:rsid w:val="00765A1F"/>
    <w:rsid w:val="007663B3"/>
    <w:rsid w:val="0076674C"/>
    <w:rsid w:val="00770DB0"/>
    <w:rsid w:val="00771916"/>
    <w:rsid w:val="00772EF8"/>
    <w:rsid w:val="0077396B"/>
    <w:rsid w:val="00773B63"/>
    <w:rsid w:val="00774AF0"/>
    <w:rsid w:val="007752DC"/>
    <w:rsid w:val="007756FE"/>
    <w:rsid w:val="00776555"/>
    <w:rsid w:val="007767E7"/>
    <w:rsid w:val="00777E73"/>
    <w:rsid w:val="00780D88"/>
    <w:rsid w:val="007815DF"/>
    <w:rsid w:val="00782734"/>
    <w:rsid w:val="0078399E"/>
    <w:rsid w:val="00787234"/>
    <w:rsid w:val="00787828"/>
    <w:rsid w:val="00790F32"/>
    <w:rsid w:val="00791349"/>
    <w:rsid w:val="0079350B"/>
    <w:rsid w:val="007935C0"/>
    <w:rsid w:val="007951A2"/>
    <w:rsid w:val="00795E46"/>
    <w:rsid w:val="00796134"/>
    <w:rsid w:val="00796B15"/>
    <w:rsid w:val="007A083E"/>
    <w:rsid w:val="007A2598"/>
    <w:rsid w:val="007A437E"/>
    <w:rsid w:val="007A60A5"/>
    <w:rsid w:val="007A6C8E"/>
    <w:rsid w:val="007A74D2"/>
    <w:rsid w:val="007B0B5D"/>
    <w:rsid w:val="007B0E56"/>
    <w:rsid w:val="007B1513"/>
    <w:rsid w:val="007B1CF8"/>
    <w:rsid w:val="007B4A48"/>
    <w:rsid w:val="007B5847"/>
    <w:rsid w:val="007B6CF3"/>
    <w:rsid w:val="007B6E88"/>
    <w:rsid w:val="007B7336"/>
    <w:rsid w:val="007B74C6"/>
    <w:rsid w:val="007B7C7A"/>
    <w:rsid w:val="007C1C90"/>
    <w:rsid w:val="007C2BDF"/>
    <w:rsid w:val="007C489F"/>
    <w:rsid w:val="007C5FBD"/>
    <w:rsid w:val="007C6A14"/>
    <w:rsid w:val="007D0070"/>
    <w:rsid w:val="007D061B"/>
    <w:rsid w:val="007D0CF7"/>
    <w:rsid w:val="007D15C4"/>
    <w:rsid w:val="007D730A"/>
    <w:rsid w:val="007E00C9"/>
    <w:rsid w:val="007E1F87"/>
    <w:rsid w:val="007E411E"/>
    <w:rsid w:val="007E415E"/>
    <w:rsid w:val="007E7237"/>
    <w:rsid w:val="007E7886"/>
    <w:rsid w:val="007F01AC"/>
    <w:rsid w:val="007F14AF"/>
    <w:rsid w:val="007F380D"/>
    <w:rsid w:val="007F4AD5"/>
    <w:rsid w:val="007F61B1"/>
    <w:rsid w:val="0080146C"/>
    <w:rsid w:val="0080599F"/>
    <w:rsid w:val="00807067"/>
    <w:rsid w:val="008073CB"/>
    <w:rsid w:val="00810419"/>
    <w:rsid w:val="00810588"/>
    <w:rsid w:val="00810BEB"/>
    <w:rsid w:val="0081100D"/>
    <w:rsid w:val="0081446B"/>
    <w:rsid w:val="008154F8"/>
    <w:rsid w:val="00815A0B"/>
    <w:rsid w:val="00815EEF"/>
    <w:rsid w:val="008173E0"/>
    <w:rsid w:val="0081764D"/>
    <w:rsid w:val="008204EC"/>
    <w:rsid w:val="00820DBE"/>
    <w:rsid w:val="008214CC"/>
    <w:rsid w:val="00822390"/>
    <w:rsid w:val="00823808"/>
    <w:rsid w:val="00823BF3"/>
    <w:rsid w:val="00823E41"/>
    <w:rsid w:val="00824E7D"/>
    <w:rsid w:val="008250AE"/>
    <w:rsid w:val="00825567"/>
    <w:rsid w:val="00825DEF"/>
    <w:rsid w:val="00826D44"/>
    <w:rsid w:val="00830B96"/>
    <w:rsid w:val="00834D5F"/>
    <w:rsid w:val="008353CF"/>
    <w:rsid w:val="008364A8"/>
    <w:rsid w:val="008370EF"/>
    <w:rsid w:val="00841DFB"/>
    <w:rsid w:val="0084367B"/>
    <w:rsid w:val="00845941"/>
    <w:rsid w:val="00847CD4"/>
    <w:rsid w:val="00850C63"/>
    <w:rsid w:val="008518AD"/>
    <w:rsid w:val="00852051"/>
    <w:rsid w:val="0085261D"/>
    <w:rsid w:val="00854BC7"/>
    <w:rsid w:val="008565FF"/>
    <w:rsid w:val="00857693"/>
    <w:rsid w:val="00857EDF"/>
    <w:rsid w:val="0086108A"/>
    <w:rsid w:val="0086166C"/>
    <w:rsid w:val="00861C3E"/>
    <w:rsid w:val="00862439"/>
    <w:rsid w:val="00864A21"/>
    <w:rsid w:val="008653E0"/>
    <w:rsid w:val="00865B54"/>
    <w:rsid w:val="00865FBB"/>
    <w:rsid w:val="0086640A"/>
    <w:rsid w:val="00866A90"/>
    <w:rsid w:val="0086715F"/>
    <w:rsid w:val="008701DE"/>
    <w:rsid w:val="00872147"/>
    <w:rsid w:val="00873D98"/>
    <w:rsid w:val="008756DA"/>
    <w:rsid w:val="00877D99"/>
    <w:rsid w:val="00880D49"/>
    <w:rsid w:val="00880E25"/>
    <w:rsid w:val="008813F2"/>
    <w:rsid w:val="00882B6A"/>
    <w:rsid w:val="00882E7D"/>
    <w:rsid w:val="008833E4"/>
    <w:rsid w:val="008838E3"/>
    <w:rsid w:val="0088485F"/>
    <w:rsid w:val="00884D78"/>
    <w:rsid w:val="00887494"/>
    <w:rsid w:val="0088781C"/>
    <w:rsid w:val="00890093"/>
    <w:rsid w:val="008905F3"/>
    <w:rsid w:val="0089105C"/>
    <w:rsid w:val="00893AA1"/>
    <w:rsid w:val="0089435B"/>
    <w:rsid w:val="008946D4"/>
    <w:rsid w:val="008A193D"/>
    <w:rsid w:val="008A1F46"/>
    <w:rsid w:val="008B0B97"/>
    <w:rsid w:val="008B153E"/>
    <w:rsid w:val="008B37F8"/>
    <w:rsid w:val="008B4536"/>
    <w:rsid w:val="008B4AFC"/>
    <w:rsid w:val="008B4F2D"/>
    <w:rsid w:val="008B4FFD"/>
    <w:rsid w:val="008B7705"/>
    <w:rsid w:val="008C002F"/>
    <w:rsid w:val="008C0F4C"/>
    <w:rsid w:val="008C2B46"/>
    <w:rsid w:val="008C4D91"/>
    <w:rsid w:val="008C57B9"/>
    <w:rsid w:val="008C6FCC"/>
    <w:rsid w:val="008C7087"/>
    <w:rsid w:val="008C770F"/>
    <w:rsid w:val="008D1B64"/>
    <w:rsid w:val="008D30FC"/>
    <w:rsid w:val="008D3C36"/>
    <w:rsid w:val="008D4E5A"/>
    <w:rsid w:val="008E0CEC"/>
    <w:rsid w:val="008E1328"/>
    <w:rsid w:val="008E1886"/>
    <w:rsid w:val="008E23E6"/>
    <w:rsid w:val="008E2FDF"/>
    <w:rsid w:val="008E3E7F"/>
    <w:rsid w:val="008F03B4"/>
    <w:rsid w:val="008F16FB"/>
    <w:rsid w:val="008F1718"/>
    <w:rsid w:val="008F202D"/>
    <w:rsid w:val="008F36EF"/>
    <w:rsid w:val="00900235"/>
    <w:rsid w:val="00900D8F"/>
    <w:rsid w:val="009014C6"/>
    <w:rsid w:val="0090348D"/>
    <w:rsid w:val="009034B0"/>
    <w:rsid w:val="00904645"/>
    <w:rsid w:val="009058B3"/>
    <w:rsid w:val="009073DC"/>
    <w:rsid w:val="0091156D"/>
    <w:rsid w:val="0091343F"/>
    <w:rsid w:val="0091358B"/>
    <w:rsid w:val="00913E5F"/>
    <w:rsid w:val="009141CC"/>
    <w:rsid w:val="00914DC4"/>
    <w:rsid w:val="00915576"/>
    <w:rsid w:val="00916D4B"/>
    <w:rsid w:val="00916D64"/>
    <w:rsid w:val="00916E27"/>
    <w:rsid w:val="00916FF9"/>
    <w:rsid w:val="00920804"/>
    <w:rsid w:val="00920DB6"/>
    <w:rsid w:val="00921AAD"/>
    <w:rsid w:val="00921B16"/>
    <w:rsid w:val="00921D0D"/>
    <w:rsid w:val="00922624"/>
    <w:rsid w:val="00925925"/>
    <w:rsid w:val="00925AF4"/>
    <w:rsid w:val="00925D1E"/>
    <w:rsid w:val="00927E4A"/>
    <w:rsid w:val="00932BA5"/>
    <w:rsid w:val="009346A6"/>
    <w:rsid w:val="00941126"/>
    <w:rsid w:val="009413B0"/>
    <w:rsid w:val="00941B01"/>
    <w:rsid w:val="00941C4D"/>
    <w:rsid w:val="009444FF"/>
    <w:rsid w:val="009463C3"/>
    <w:rsid w:val="009474EA"/>
    <w:rsid w:val="0095124A"/>
    <w:rsid w:val="009512FE"/>
    <w:rsid w:val="00951D97"/>
    <w:rsid w:val="00952B55"/>
    <w:rsid w:val="00953020"/>
    <w:rsid w:val="009533FE"/>
    <w:rsid w:val="00953A3D"/>
    <w:rsid w:val="009549DE"/>
    <w:rsid w:val="00955156"/>
    <w:rsid w:val="00955687"/>
    <w:rsid w:val="00956580"/>
    <w:rsid w:val="0095775C"/>
    <w:rsid w:val="00961D5E"/>
    <w:rsid w:val="00961F0F"/>
    <w:rsid w:val="00962212"/>
    <w:rsid w:val="009630FD"/>
    <w:rsid w:val="009631C7"/>
    <w:rsid w:val="009635B1"/>
    <w:rsid w:val="00965FA6"/>
    <w:rsid w:val="00970BBC"/>
    <w:rsid w:val="00971338"/>
    <w:rsid w:val="00971A02"/>
    <w:rsid w:val="00972A18"/>
    <w:rsid w:val="00975BE0"/>
    <w:rsid w:val="00982341"/>
    <w:rsid w:val="0098293E"/>
    <w:rsid w:val="00982B33"/>
    <w:rsid w:val="00983054"/>
    <w:rsid w:val="00985E57"/>
    <w:rsid w:val="0098632C"/>
    <w:rsid w:val="00987AEC"/>
    <w:rsid w:val="009915E5"/>
    <w:rsid w:val="00992355"/>
    <w:rsid w:val="00992A22"/>
    <w:rsid w:val="00992C16"/>
    <w:rsid w:val="00996917"/>
    <w:rsid w:val="009A00F8"/>
    <w:rsid w:val="009A085B"/>
    <w:rsid w:val="009A0A06"/>
    <w:rsid w:val="009A1EF7"/>
    <w:rsid w:val="009A21E8"/>
    <w:rsid w:val="009A28FB"/>
    <w:rsid w:val="009A2D0E"/>
    <w:rsid w:val="009A3D6D"/>
    <w:rsid w:val="009A6620"/>
    <w:rsid w:val="009A6642"/>
    <w:rsid w:val="009A77CC"/>
    <w:rsid w:val="009B12F3"/>
    <w:rsid w:val="009B5057"/>
    <w:rsid w:val="009B533C"/>
    <w:rsid w:val="009C0464"/>
    <w:rsid w:val="009C0722"/>
    <w:rsid w:val="009C703C"/>
    <w:rsid w:val="009C79A9"/>
    <w:rsid w:val="009D24AF"/>
    <w:rsid w:val="009D252E"/>
    <w:rsid w:val="009D256C"/>
    <w:rsid w:val="009D25B8"/>
    <w:rsid w:val="009D4E3E"/>
    <w:rsid w:val="009D769C"/>
    <w:rsid w:val="009D7A11"/>
    <w:rsid w:val="009E5B23"/>
    <w:rsid w:val="009E5C05"/>
    <w:rsid w:val="009F076F"/>
    <w:rsid w:val="009F26C5"/>
    <w:rsid w:val="009F326C"/>
    <w:rsid w:val="009F3737"/>
    <w:rsid w:val="00A022A8"/>
    <w:rsid w:val="00A0559C"/>
    <w:rsid w:val="00A06465"/>
    <w:rsid w:val="00A10F47"/>
    <w:rsid w:val="00A128AC"/>
    <w:rsid w:val="00A12B6A"/>
    <w:rsid w:val="00A12D62"/>
    <w:rsid w:val="00A14850"/>
    <w:rsid w:val="00A15BF7"/>
    <w:rsid w:val="00A1696D"/>
    <w:rsid w:val="00A179FB"/>
    <w:rsid w:val="00A20802"/>
    <w:rsid w:val="00A21A66"/>
    <w:rsid w:val="00A23583"/>
    <w:rsid w:val="00A2371D"/>
    <w:rsid w:val="00A24082"/>
    <w:rsid w:val="00A24F45"/>
    <w:rsid w:val="00A322F1"/>
    <w:rsid w:val="00A35E77"/>
    <w:rsid w:val="00A35EEA"/>
    <w:rsid w:val="00A40CC1"/>
    <w:rsid w:val="00A4151B"/>
    <w:rsid w:val="00A42254"/>
    <w:rsid w:val="00A423D8"/>
    <w:rsid w:val="00A433A1"/>
    <w:rsid w:val="00A45707"/>
    <w:rsid w:val="00A45E39"/>
    <w:rsid w:val="00A467BA"/>
    <w:rsid w:val="00A47A25"/>
    <w:rsid w:val="00A52BF8"/>
    <w:rsid w:val="00A53229"/>
    <w:rsid w:val="00A5669B"/>
    <w:rsid w:val="00A5767A"/>
    <w:rsid w:val="00A610E2"/>
    <w:rsid w:val="00A61AF0"/>
    <w:rsid w:val="00A62498"/>
    <w:rsid w:val="00A6293D"/>
    <w:rsid w:val="00A638C2"/>
    <w:rsid w:val="00A6483E"/>
    <w:rsid w:val="00A679BF"/>
    <w:rsid w:val="00A67FBB"/>
    <w:rsid w:val="00A70FA3"/>
    <w:rsid w:val="00A71C23"/>
    <w:rsid w:val="00A71C46"/>
    <w:rsid w:val="00A72336"/>
    <w:rsid w:val="00A75E93"/>
    <w:rsid w:val="00A806B9"/>
    <w:rsid w:val="00A830D2"/>
    <w:rsid w:val="00A8362A"/>
    <w:rsid w:val="00A836E0"/>
    <w:rsid w:val="00A84AF9"/>
    <w:rsid w:val="00A857F5"/>
    <w:rsid w:val="00A85DE1"/>
    <w:rsid w:val="00A8640A"/>
    <w:rsid w:val="00A86600"/>
    <w:rsid w:val="00A8740D"/>
    <w:rsid w:val="00A922F4"/>
    <w:rsid w:val="00A92C6A"/>
    <w:rsid w:val="00A9320C"/>
    <w:rsid w:val="00A934A3"/>
    <w:rsid w:val="00A93B74"/>
    <w:rsid w:val="00A942C6"/>
    <w:rsid w:val="00A94AC9"/>
    <w:rsid w:val="00A95406"/>
    <w:rsid w:val="00A95FC6"/>
    <w:rsid w:val="00A961DE"/>
    <w:rsid w:val="00A96356"/>
    <w:rsid w:val="00A96F4A"/>
    <w:rsid w:val="00A976BF"/>
    <w:rsid w:val="00AA12F3"/>
    <w:rsid w:val="00AA24B1"/>
    <w:rsid w:val="00AA2565"/>
    <w:rsid w:val="00AA39A9"/>
    <w:rsid w:val="00AA3D1C"/>
    <w:rsid w:val="00AA513F"/>
    <w:rsid w:val="00AA57E3"/>
    <w:rsid w:val="00AA67B6"/>
    <w:rsid w:val="00AA6F85"/>
    <w:rsid w:val="00AA7658"/>
    <w:rsid w:val="00AB192C"/>
    <w:rsid w:val="00AB1FDA"/>
    <w:rsid w:val="00AB2EA5"/>
    <w:rsid w:val="00AB4E8B"/>
    <w:rsid w:val="00AC01EA"/>
    <w:rsid w:val="00AC147A"/>
    <w:rsid w:val="00AC2BBB"/>
    <w:rsid w:val="00AC2DE9"/>
    <w:rsid w:val="00AC3978"/>
    <w:rsid w:val="00AC76D7"/>
    <w:rsid w:val="00AD1C40"/>
    <w:rsid w:val="00AD2B63"/>
    <w:rsid w:val="00AD2BA3"/>
    <w:rsid w:val="00AD3F4E"/>
    <w:rsid w:val="00AD67FF"/>
    <w:rsid w:val="00AD6C2C"/>
    <w:rsid w:val="00AD79CB"/>
    <w:rsid w:val="00AE0161"/>
    <w:rsid w:val="00AE092A"/>
    <w:rsid w:val="00AE1078"/>
    <w:rsid w:val="00AE1A26"/>
    <w:rsid w:val="00AE2009"/>
    <w:rsid w:val="00AE296A"/>
    <w:rsid w:val="00AE3524"/>
    <w:rsid w:val="00AE6F2C"/>
    <w:rsid w:val="00AE731D"/>
    <w:rsid w:val="00AF088D"/>
    <w:rsid w:val="00AF240B"/>
    <w:rsid w:val="00AF2966"/>
    <w:rsid w:val="00AF316F"/>
    <w:rsid w:val="00AF3283"/>
    <w:rsid w:val="00AF33CC"/>
    <w:rsid w:val="00AF3A8B"/>
    <w:rsid w:val="00AF3BF6"/>
    <w:rsid w:val="00AF3E08"/>
    <w:rsid w:val="00AF47D2"/>
    <w:rsid w:val="00B0215D"/>
    <w:rsid w:val="00B0469B"/>
    <w:rsid w:val="00B049CA"/>
    <w:rsid w:val="00B05B0B"/>
    <w:rsid w:val="00B05FBB"/>
    <w:rsid w:val="00B07C37"/>
    <w:rsid w:val="00B10E97"/>
    <w:rsid w:val="00B11414"/>
    <w:rsid w:val="00B11436"/>
    <w:rsid w:val="00B122FF"/>
    <w:rsid w:val="00B12AEA"/>
    <w:rsid w:val="00B12D89"/>
    <w:rsid w:val="00B136A7"/>
    <w:rsid w:val="00B138A6"/>
    <w:rsid w:val="00B149F3"/>
    <w:rsid w:val="00B15D76"/>
    <w:rsid w:val="00B15E11"/>
    <w:rsid w:val="00B208D4"/>
    <w:rsid w:val="00B20A83"/>
    <w:rsid w:val="00B2194C"/>
    <w:rsid w:val="00B21E55"/>
    <w:rsid w:val="00B22F9C"/>
    <w:rsid w:val="00B2331E"/>
    <w:rsid w:val="00B24905"/>
    <w:rsid w:val="00B260B8"/>
    <w:rsid w:val="00B269D4"/>
    <w:rsid w:val="00B27EBB"/>
    <w:rsid w:val="00B3082E"/>
    <w:rsid w:val="00B31BAF"/>
    <w:rsid w:val="00B321AA"/>
    <w:rsid w:val="00B32301"/>
    <w:rsid w:val="00B33AFD"/>
    <w:rsid w:val="00B34433"/>
    <w:rsid w:val="00B35B78"/>
    <w:rsid w:val="00B37904"/>
    <w:rsid w:val="00B42613"/>
    <w:rsid w:val="00B4440A"/>
    <w:rsid w:val="00B45112"/>
    <w:rsid w:val="00B470C3"/>
    <w:rsid w:val="00B47851"/>
    <w:rsid w:val="00B47A77"/>
    <w:rsid w:val="00B508B3"/>
    <w:rsid w:val="00B529FB"/>
    <w:rsid w:val="00B52FDE"/>
    <w:rsid w:val="00B548F4"/>
    <w:rsid w:val="00B552B8"/>
    <w:rsid w:val="00B55B6B"/>
    <w:rsid w:val="00B56B61"/>
    <w:rsid w:val="00B56E1E"/>
    <w:rsid w:val="00B57E24"/>
    <w:rsid w:val="00B602D4"/>
    <w:rsid w:val="00B63D8A"/>
    <w:rsid w:val="00B649D0"/>
    <w:rsid w:val="00B65159"/>
    <w:rsid w:val="00B6563D"/>
    <w:rsid w:val="00B65A13"/>
    <w:rsid w:val="00B66BD9"/>
    <w:rsid w:val="00B70184"/>
    <w:rsid w:val="00B7027A"/>
    <w:rsid w:val="00B73108"/>
    <w:rsid w:val="00B73587"/>
    <w:rsid w:val="00B744C1"/>
    <w:rsid w:val="00B756F1"/>
    <w:rsid w:val="00B77491"/>
    <w:rsid w:val="00B77B57"/>
    <w:rsid w:val="00B8037B"/>
    <w:rsid w:val="00B80FAC"/>
    <w:rsid w:val="00B81280"/>
    <w:rsid w:val="00B82F02"/>
    <w:rsid w:val="00B8394C"/>
    <w:rsid w:val="00B8431F"/>
    <w:rsid w:val="00B84545"/>
    <w:rsid w:val="00B84636"/>
    <w:rsid w:val="00B87031"/>
    <w:rsid w:val="00B906B1"/>
    <w:rsid w:val="00B90F78"/>
    <w:rsid w:val="00B9158A"/>
    <w:rsid w:val="00B925D0"/>
    <w:rsid w:val="00B93676"/>
    <w:rsid w:val="00B93DD0"/>
    <w:rsid w:val="00B94296"/>
    <w:rsid w:val="00B95011"/>
    <w:rsid w:val="00B975AD"/>
    <w:rsid w:val="00BA00F8"/>
    <w:rsid w:val="00BA0768"/>
    <w:rsid w:val="00BA0A95"/>
    <w:rsid w:val="00BB0A40"/>
    <w:rsid w:val="00BB1855"/>
    <w:rsid w:val="00BB2BB2"/>
    <w:rsid w:val="00BB2D6D"/>
    <w:rsid w:val="00BB362E"/>
    <w:rsid w:val="00BB77AF"/>
    <w:rsid w:val="00BC0FDF"/>
    <w:rsid w:val="00BC3A5E"/>
    <w:rsid w:val="00BC46DA"/>
    <w:rsid w:val="00BC4974"/>
    <w:rsid w:val="00BC598A"/>
    <w:rsid w:val="00BC5E00"/>
    <w:rsid w:val="00BC7AB8"/>
    <w:rsid w:val="00BD34C2"/>
    <w:rsid w:val="00BD464E"/>
    <w:rsid w:val="00BD4DEB"/>
    <w:rsid w:val="00BD6265"/>
    <w:rsid w:val="00BD73A0"/>
    <w:rsid w:val="00BE2650"/>
    <w:rsid w:val="00BE5BE8"/>
    <w:rsid w:val="00BF1381"/>
    <w:rsid w:val="00BF14E5"/>
    <w:rsid w:val="00BF1C6D"/>
    <w:rsid w:val="00BF4238"/>
    <w:rsid w:val="00BF4B9F"/>
    <w:rsid w:val="00BF4D94"/>
    <w:rsid w:val="00BF56B7"/>
    <w:rsid w:val="00BF675C"/>
    <w:rsid w:val="00BF6C68"/>
    <w:rsid w:val="00C03D1F"/>
    <w:rsid w:val="00C04C69"/>
    <w:rsid w:val="00C04DFC"/>
    <w:rsid w:val="00C05451"/>
    <w:rsid w:val="00C10145"/>
    <w:rsid w:val="00C10E82"/>
    <w:rsid w:val="00C13B25"/>
    <w:rsid w:val="00C16107"/>
    <w:rsid w:val="00C16588"/>
    <w:rsid w:val="00C20479"/>
    <w:rsid w:val="00C21AC8"/>
    <w:rsid w:val="00C21B5D"/>
    <w:rsid w:val="00C239AA"/>
    <w:rsid w:val="00C23AAB"/>
    <w:rsid w:val="00C24C58"/>
    <w:rsid w:val="00C26DAF"/>
    <w:rsid w:val="00C306FE"/>
    <w:rsid w:val="00C30A4F"/>
    <w:rsid w:val="00C334D6"/>
    <w:rsid w:val="00C33DC3"/>
    <w:rsid w:val="00C34BF6"/>
    <w:rsid w:val="00C35821"/>
    <w:rsid w:val="00C37AC8"/>
    <w:rsid w:val="00C40661"/>
    <w:rsid w:val="00C407CD"/>
    <w:rsid w:val="00C40E7E"/>
    <w:rsid w:val="00C41DF0"/>
    <w:rsid w:val="00C42B28"/>
    <w:rsid w:val="00C434A6"/>
    <w:rsid w:val="00C448C1"/>
    <w:rsid w:val="00C46BA9"/>
    <w:rsid w:val="00C47EBB"/>
    <w:rsid w:val="00C51220"/>
    <w:rsid w:val="00C52721"/>
    <w:rsid w:val="00C52D88"/>
    <w:rsid w:val="00C5400C"/>
    <w:rsid w:val="00C5552A"/>
    <w:rsid w:val="00C5614F"/>
    <w:rsid w:val="00C57C9F"/>
    <w:rsid w:val="00C620F0"/>
    <w:rsid w:val="00C621A0"/>
    <w:rsid w:val="00C63F6C"/>
    <w:rsid w:val="00C6499C"/>
    <w:rsid w:val="00C64BB6"/>
    <w:rsid w:val="00C65E06"/>
    <w:rsid w:val="00C66118"/>
    <w:rsid w:val="00C67BE6"/>
    <w:rsid w:val="00C725DD"/>
    <w:rsid w:val="00C7352A"/>
    <w:rsid w:val="00C74502"/>
    <w:rsid w:val="00C74A84"/>
    <w:rsid w:val="00C74C4C"/>
    <w:rsid w:val="00C74F7B"/>
    <w:rsid w:val="00C76EF7"/>
    <w:rsid w:val="00C80963"/>
    <w:rsid w:val="00C814F8"/>
    <w:rsid w:val="00C818AE"/>
    <w:rsid w:val="00C81C20"/>
    <w:rsid w:val="00C83563"/>
    <w:rsid w:val="00C84D7D"/>
    <w:rsid w:val="00C86939"/>
    <w:rsid w:val="00C86BE6"/>
    <w:rsid w:val="00C9132B"/>
    <w:rsid w:val="00C9334C"/>
    <w:rsid w:val="00C96619"/>
    <w:rsid w:val="00CA0D7C"/>
    <w:rsid w:val="00CA0D90"/>
    <w:rsid w:val="00CA3396"/>
    <w:rsid w:val="00CA75F3"/>
    <w:rsid w:val="00CB130F"/>
    <w:rsid w:val="00CB1B7E"/>
    <w:rsid w:val="00CB3DF2"/>
    <w:rsid w:val="00CB420C"/>
    <w:rsid w:val="00CB5671"/>
    <w:rsid w:val="00CB56DF"/>
    <w:rsid w:val="00CB58EB"/>
    <w:rsid w:val="00CC1B34"/>
    <w:rsid w:val="00CC3E0B"/>
    <w:rsid w:val="00CC6107"/>
    <w:rsid w:val="00CD105C"/>
    <w:rsid w:val="00CD1376"/>
    <w:rsid w:val="00CD1EFF"/>
    <w:rsid w:val="00CD4579"/>
    <w:rsid w:val="00CD6C5A"/>
    <w:rsid w:val="00CD7A44"/>
    <w:rsid w:val="00CD7F7D"/>
    <w:rsid w:val="00CE01CA"/>
    <w:rsid w:val="00CE0A65"/>
    <w:rsid w:val="00CE0EC8"/>
    <w:rsid w:val="00CE11C1"/>
    <w:rsid w:val="00CE2676"/>
    <w:rsid w:val="00CE2BC3"/>
    <w:rsid w:val="00CE2E74"/>
    <w:rsid w:val="00CE3CB3"/>
    <w:rsid w:val="00CE5CCC"/>
    <w:rsid w:val="00CE7259"/>
    <w:rsid w:val="00CE7E2D"/>
    <w:rsid w:val="00CF0BB8"/>
    <w:rsid w:val="00CF3C8B"/>
    <w:rsid w:val="00CF539F"/>
    <w:rsid w:val="00D00513"/>
    <w:rsid w:val="00D007B6"/>
    <w:rsid w:val="00D02117"/>
    <w:rsid w:val="00D03E6D"/>
    <w:rsid w:val="00D040D5"/>
    <w:rsid w:val="00D05E45"/>
    <w:rsid w:val="00D0709B"/>
    <w:rsid w:val="00D10D98"/>
    <w:rsid w:val="00D110EB"/>
    <w:rsid w:val="00D11760"/>
    <w:rsid w:val="00D13EE2"/>
    <w:rsid w:val="00D1581D"/>
    <w:rsid w:val="00D163DA"/>
    <w:rsid w:val="00D164E1"/>
    <w:rsid w:val="00D166AE"/>
    <w:rsid w:val="00D22127"/>
    <w:rsid w:val="00D22CF4"/>
    <w:rsid w:val="00D26300"/>
    <w:rsid w:val="00D27020"/>
    <w:rsid w:val="00D32A09"/>
    <w:rsid w:val="00D32E3F"/>
    <w:rsid w:val="00D32F25"/>
    <w:rsid w:val="00D33100"/>
    <w:rsid w:val="00D33C96"/>
    <w:rsid w:val="00D36053"/>
    <w:rsid w:val="00D37AA7"/>
    <w:rsid w:val="00D412BA"/>
    <w:rsid w:val="00D42214"/>
    <w:rsid w:val="00D448CA"/>
    <w:rsid w:val="00D45799"/>
    <w:rsid w:val="00D45A8D"/>
    <w:rsid w:val="00D469EB"/>
    <w:rsid w:val="00D47AB9"/>
    <w:rsid w:val="00D507A5"/>
    <w:rsid w:val="00D52B12"/>
    <w:rsid w:val="00D54156"/>
    <w:rsid w:val="00D565F2"/>
    <w:rsid w:val="00D572ED"/>
    <w:rsid w:val="00D575D4"/>
    <w:rsid w:val="00D6057E"/>
    <w:rsid w:val="00D609CD"/>
    <w:rsid w:val="00D61499"/>
    <w:rsid w:val="00D632C0"/>
    <w:rsid w:val="00D6346C"/>
    <w:rsid w:val="00D65F46"/>
    <w:rsid w:val="00D6745F"/>
    <w:rsid w:val="00D67545"/>
    <w:rsid w:val="00D67FFD"/>
    <w:rsid w:val="00D71220"/>
    <w:rsid w:val="00D72D53"/>
    <w:rsid w:val="00D7408A"/>
    <w:rsid w:val="00D74391"/>
    <w:rsid w:val="00D75868"/>
    <w:rsid w:val="00D75F30"/>
    <w:rsid w:val="00D76B62"/>
    <w:rsid w:val="00D80E25"/>
    <w:rsid w:val="00D8170A"/>
    <w:rsid w:val="00D821C2"/>
    <w:rsid w:val="00D82B7D"/>
    <w:rsid w:val="00D836B9"/>
    <w:rsid w:val="00D85FDB"/>
    <w:rsid w:val="00D902DE"/>
    <w:rsid w:val="00D90306"/>
    <w:rsid w:val="00D90B95"/>
    <w:rsid w:val="00D91A89"/>
    <w:rsid w:val="00D91B97"/>
    <w:rsid w:val="00D92364"/>
    <w:rsid w:val="00D94C84"/>
    <w:rsid w:val="00D95A19"/>
    <w:rsid w:val="00D97A32"/>
    <w:rsid w:val="00DA0288"/>
    <w:rsid w:val="00DA05EF"/>
    <w:rsid w:val="00DA0EAD"/>
    <w:rsid w:val="00DA2B97"/>
    <w:rsid w:val="00DA57F1"/>
    <w:rsid w:val="00DA5D91"/>
    <w:rsid w:val="00DA782F"/>
    <w:rsid w:val="00DB1818"/>
    <w:rsid w:val="00DB3D10"/>
    <w:rsid w:val="00DB3DAE"/>
    <w:rsid w:val="00DB4422"/>
    <w:rsid w:val="00DB49DF"/>
    <w:rsid w:val="00DB6B73"/>
    <w:rsid w:val="00DB6C5A"/>
    <w:rsid w:val="00DB6D2F"/>
    <w:rsid w:val="00DB7A25"/>
    <w:rsid w:val="00DC1D82"/>
    <w:rsid w:val="00DC2A6D"/>
    <w:rsid w:val="00DC5C86"/>
    <w:rsid w:val="00DC63C8"/>
    <w:rsid w:val="00DC727C"/>
    <w:rsid w:val="00DC749F"/>
    <w:rsid w:val="00DD0868"/>
    <w:rsid w:val="00DD3902"/>
    <w:rsid w:val="00DD39A0"/>
    <w:rsid w:val="00DD3E39"/>
    <w:rsid w:val="00DD42D2"/>
    <w:rsid w:val="00DD518C"/>
    <w:rsid w:val="00DD62C6"/>
    <w:rsid w:val="00DD6E83"/>
    <w:rsid w:val="00DD71EE"/>
    <w:rsid w:val="00DD7324"/>
    <w:rsid w:val="00DD7591"/>
    <w:rsid w:val="00DE44E3"/>
    <w:rsid w:val="00DE6BF3"/>
    <w:rsid w:val="00DE6D1C"/>
    <w:rsid w:val="00DE7385"/>
    <w:rsid w:val="00DE78A0"/>
    <w:rsid w:val="00DE7F89"/>
    <w:rsid w:val="00DF1821"/>
    <w:rsid w:val="00DF1C8B"/>
    <w:rsid w:val="00DF3FC7"/>
    <w:rsid w:val="00DF4601"/>
    <w:rsid w:val="00DF4C5E"/>
    <w:rsid w:val="00DF5325"/>
    <w:rsid w:val="00DF6073"/>
    <w:rsid w:val="00E002F5"/>
    <w:rsid w:val="00E00EA4"/>
    <w:rsid w:val="00E0603D"/>
    <w:rsid w:val="00E12425"/>
    <w:rsid w:val="00E12AD5"/>
    <w:rsid w:val="00E12FD7"/>
    <w:rsid w:val="00E17230"/>
    <w:rsid w:val="00E176DE"/>
    <w:rsid w:val="00E201D6"/>
    <w:rsid w:val="00E209CF"/>
    <w:rsid w:val="00E20EB0"/>
    <w:rsid w:val="00E221C0"/>
    <w:rsid w:val="00E23107"/>
    <w:rsid w:val="00E231DB"/>
    <w:rsid w:val="00E24D37"/>
    <w:rsid w:val="00E263E4"/>
    <w:rsid w:val="00E30E02"/>
    <w:rsid w:val="00E34C09"/>
    <w:rsid w:val="00E34DF9"/>
    <w:rsid w:val="00E36AB7"/>
    <w:rsid w:val="00E36B81"/>
    <w:rsid w:val="00E4071E"/>
    <w:rsid w:val="00E4137C"/>
    <w:rsid w:val="00E43CAC"/>
    <w:rsid w:val="00E43ECC"/>
    <w:rsid w:val="00E44331"/>
    <w:rsid w:val="00E444B6"/>
    <w:rsid w:val="00E45398"/>
    <w:rsid w:val="00E4569F"/>
    <w:rsid w:val="00E5175F"/>
    <w:rsid w:val="00E51970"/>
    <w:rsid w:val="00E56BDB"/>
    <w:rsid w:val="00E61FB7"/>
    <w:rsid w:val="00E62B11"/>
    <w:rsid w:val="00E70667"/>
    <w:rsid w:val="00E7179E"/>
    <w:rsid w:val="00E72D6E"/>
    <w:rsid w:val="00E75A49"/>
    <w:rsid w:val="00E7643A"/>
    <w:rsid w:val="00E7711B"/>
    <w:rsid w:val="00E80E73"/>
    <w:rsid w:val="00E81424"/>
    <w:rsid w:val="00E82610"/>
    <w:rsid w:val="00E82DFC"/>
    <w:rsid w:val="00E849A8"/>
    <w:rsid w:val="00E84ECF"/>
    <w:rsid w:val="00E850BE"/>
    <w:rsid w:val="00E87079"/>
    <w:rsid w:val="00E87F64"/>
    <w:rsid w:val="00E9246C"/>
    <w:rsid w:val="00E931DC"/>
    <w:rsid w:val="00E95BAD"/>
    <w:rsid w:val="00E96564"/>
    <w:rsid w:val="00EA23FE"/>
    <w:rsid w:val="00EA295F"/>
    <w:rsid w:val="00EA320B"/>
    <w:rsid w:val="00EA37DE"/>
    <w:rsid w:val="00EA4FD2"/>
    <w:rsid w:val="00EA5D40"/>
    <w:rsid w:val="00EA6131"/>
    <w:rsid w:val="00EB0838"/>
    <w:rsid w:val="00EB2C1A"/>
    <w:rsid w:val="00EB3E5B"/>
    <w:rsid w:val="00EB4F86"/>
    <w:rsid w:val="00EB5550"/>
    <w:rsid w:val="00EB5826"/>
    <w:rsid w:val="00EB6872"/>
    <w:rsid w:val="00EC052E"/>
    <w:rsid w:val="00EC065D"/>
    <w:rsid w:val="00EC225E"/>
    <w:rsid w:val="00EC241B"/>
    <w:rsid w:val="00EC3006"/>
    <w:rsid w:val="00EC3926"/>
    <w:rsid w:val="00EC5897"/>
    <w:rsid w:val="00ED0714"/>
    <w:rsid w:val="00ED0857"/>
    <w:rsid w:val="00ED0A3E"/>
    <w:rsid w:val="00ED0E30"/>
    <w:rsid w:val="00ED26F8"/>
    <w:rsid w:val="00ED2DE6"/>
    <w:rsid w:val="00ED2E0D"/>
    <w:rsid w:val="00ED5811"/>
    <w:rsid w:val="00ED5FBE"/>
    <w:rsid w:val="00ED67F5"/>
    <w:rsid w:val="00ED69BB"/>
    <w:rsid w:val="00ED7624"/>
    <w:rsid w:val="00EE093D"/>
    <w:rsid w:val="00EE1E81"/>
    <w:rsid w:val="00EE20BA"/>
    <w:rsid w:val="00EE346F"/>
    <w:rsid w:val="00EE4512"/>
    <w:rsid w:val="00EE6536"/>
    <w:rsid w:val="00EE6545"/>
    <w:rsid w:val="00EE67E9"/>
    <w:rsid w:val="00EE7126"/>
    <w:rsid w:val="00EF00A5"/>
    <w:rsid w:val="00EF01B9"/>
    <w:rsid w:val="00EF0818"/>
    <w:rsid w:val="00EF1FE4"/>
    <w:rsid w:val="00EF34B7"/>
    <w:rsid w:val="00EF3C75"/>
    <w:rsid w:val="00F0015A"/>
    <w:rsid w:val="00F00251"/>
    <w:rsid w:val="00F02713"/>
    <w:rsid w:val="00F10439"/>
    <w:rsid w:val="00F11A7C"/>
    <w:rsid w:val="00F146CC"/>
    <w:rsid w:val="00F17D04"/>
    <w:rsid w:val="00F17F14"/>
    <w:rsid w:val="00F21A42"/>
    <w:rsid w:val="00F22ADC"/>
    <w:rsid w:val="00F23157"/>
    <w:rsid w:val="00F236CE"/>
    <w:rsid w:val="00F2519A"/>
    <w:rsid w:val="00F2531E"/>
    <w:rsid w:val="00F261DD"/>
    <w:rsid w:val="00F27183"/>
    <w:rsid w:val="00F2796C"/>
    <w:rsid w:val="00F311C5"/>
    <w:rsid w:val="00F3184F"/>
    <w:rsid w:val="00F31BBF"/>
    <w:rsid w:val="00F3222B"/>
    <w:rsid w:val="00F324D6"/>
    <w:rsid w:val="00F32EA5"/>
    <w:rsid w:val="00F32FFD"/>
    <w:rsid w:val="00F33E26"/>
    <w:rsid w:val="00F35855"/>
    <w:rsid w:val="00F35A00"/>
    <w:rsid w:val="00F365CD"/>
    <w:rsid w:val="00F367F0"/>
    <w:rsid w:val="00F36E96"/>
    <w:rsid w:val="00F37531"/>
    <w:rsid w:val="00F379A8"/>
    <w:rsid w:val="00F40384"/>
    <w:rsid w:val="00F4208B"/>
    <w:rsid w:val="00F42246"/>
    <w:rsid w:val="00F4257D"/>
    <w:rsid w:val="00F42CF0"/>
    <w:rsid w:val="00F445A0"/>
    <w:rsid w:val="00F44A88"/>
    <w:rsid w:val="00F45DD1"/>
    <w:rsid w:val="00F45E0B"/>
    <w:rsid w:val="00F45F2E"/>
    <w:rsid w:val="00F50CC1"/>
    <w:rsid w:val="00F52FE2"/>
    <w:rsid w:val="00F53A6A"/>
    <w:rsid w:val="00F53B21"/>
    <w:rsid w:val="00F54521"/>
    <w:rsid w:val="00F54810"/>
    <w:rsid w:val="00F55674"/>
    <w:rsid w:val="00F55F6F"/>
    <w:rsid w:val="00F563F5"/>
    <w:rsid w:val="00F5690C"/>
    <w:rsid w:val="00F57225"/>
    <w:rsid w:val="00F61037"/>
    <w:rsid w:val="00F636DF"/>
    <w:rsid w:val="00F641CE"/>
    <w:rsid w:val="00F6618F"/>
    <w:rsid w:val="00F671A0"/>
    <w:rsid w:val="00F67215"/>
    <w:rsid w:val="00F678D7"/>
    <w:rsid w:val="00F735F2"/>
    <w:rsid w:val="00F7382E"/>
    <w:rsid w:val="00F754A9"/>
    <w:rsid w:val="00F757BF"/>
    <w:rsid w:val="00F75FF6"/>
    <w:rsid w:val="00F76A95"/>
    <w:rsid w:val="00F777CB"/>
    <w:rsid w:val="00F80DC7"/>
    <w:rsid w:val="00F812B7"/>
    <w:rsid w:val="00F81A0D"/>
    <w:rsid w:val="00F81A4F"/>
    <w:rsid w:val="00F821AC"/>
    <w:rsid w:val="00F82ACF"/>
    <w:rsid w:val="00F83AED"/>
    <w:rsid w:val="00F84B20"/>
    <w:rsid w:val="00F85F68"/>
    <w:rsid w:val="00F860EA"/>
    <w:rsid w:val="00F872F9"/>
    <w:rsid w:val="00F87965"/>
    <w:rsid w:val="00F915DF"/>
    <w:rsid w:val="00F915F0"/>
    <w:rsid w:val="00F91D3C"/>
    <w:rsid w:val="00F924AF"/>
    <w:rsid w:val="00F925E9"/>
    <w:rsid w:val="00F92FAA"/>
    <w:rsid w:val="00F9322B"/>
    <w:rsid w:val="00F955A0"/>
    <w:rsid w:val="00F95C79"/>
    <w:rsid w:val="00F9623A"/>
    <w:rsid w:val="00F964F8"/>
    <w:rsid w:val="00F97020"/>
    <w:rsid w:val="00F9704A"/>
    <w:rsid w:val="00FA128B"/>
    <w:rsid w:val="00FA343E"/>
    <w:rsid w:val="00FA4086"/>
    <w:rsid w:val="00FA4937"/>
    <w:rsid w:val="00FA55FE"/>
    <w:rsid w:val="00FA5A9F"/>
    <w:rsid w:val="00FA5BE2"/>
    <w:rsid w:val="00FA65B4"/>
    <w:rsid w:val="00FA6AAB"/>
    <w:rsid w:val="00FB0BB5"/>
    <w:rsid w:val="00FB11CA"/>
    <w:rsid w:val="00FB36D9"/>
    <w:rsid w:val="00FB47A9"/>
    <w:rsid w:val="00FB4916"/>
    <w:rsid w:val="00FB6854"/>
    <w:rsid w:val="00FC046F"/>
    <w:rsid w:val="00FC3418"/>
    <w:rsid w:val="00FC3A04"/>
    <w:rsid w:val="00FC4811"/>
    <w:rsid w:val="00FC4E3F"/>
    <w:rsid w:val="00FC5D53"/>
    <w:rsid w:val="00FC6752"/>
    <w:rsid w:val="00FC67BC"/>
    <w:rsid w:val="00FC6C1B"/>
    <w:rsid w:val="00FD0218"/>
    <w:rsid w:val="00FD07E3"/>
    <w:rsid w:val="00FD0D7E"/>
    <w:rsid w:val="00FD2E94"/>
    <w:rsid w:val="00FD3732"/>
    <w:rsid w:val="00FD3741"/>
    <w:rsid w:val="00FD569D"/>
    <w:rsid w:val="00FD61A6"/>
    <w:rsid w:val="00FD6B72"/>
    <w:rsid w:val="00FD6E7C"/>
    <w:rsid w:val="00FE2F6E"/>
    <w:rsid w:val="00FE3452"/>
    <w:rsid w:val="00FE5C47"/>
    <w:rsid w:val="00FE701F"/>
    <w:rsid w:val="00FE71BD"/>
    <w:rsid w:val="00FE7C9D"/>
    <w:rsid w:val="00FF2068"/>
    <w:rsid w:val="00FF4BA9"/>
    <w:rsid w:val="00FF4FA1"/>
    <w:rsid w:val="00FF5C4F"/>
    <w:rsid w:val="00FF5F33"/>
    <w:rsid w:val="00FF652A"/>
    <w:rsid w:val="00FF6806"/>
    <w:rsid w:val="00FF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2D6097"/>
  <w15:docId w15:val="{5CB75086-6A26-47B1-B386-BDC9D603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47"/>
    <w:pPr>
      <w:overflowPunct w:val="0"/>
      <w:autoSpaceDE w:val="0"/>
      <w:autoSpaceDN w:val="0"/>
      <w:adjustRightInd w:val="0"/>
      <w:textAlignment w:val="baseline"/>
    </w:pPr>
    <w:rPr>
      <w:lang w:eastAsia="en-US"/>
    </w:rPr>
  </w:style>
  <w:style w:type="paragraph" w:styleId="Heading1">
    <w:name w:val="heading 1"/>
    <w:basedOn w:val="Normal"/>
    <w:next w:val="Normal"/>
    <w:link w:val="Heading1Char"/>
    <w:uiPriority w:val="9"/>
    <w:qFormat/>
    <w:pPr>
      <w:keepNext/>
      <w:ind w:left="1440"/>
      <w:jc w:val="both"/>
      <w:outlineLvl w:val="0"/>
    </w:pPr>
    <w:rPr>
      <w:sz w:val="24"/>
    </w:rPr>
  </w:style>
  <w:style w:type="paragraph" w:styleId="Heading2">
    <w:name w:val="heading 2"/>
    <w:basedOn w:val="Normal"/>
    <w:next w:val="Normal"/>
    <w:link w:val="Heading2Char"/>
    <w:uiPriority w:val="9"/>
    <w:qFormat/>
    <w:pPr>
      <w:keepNext/>
      <w:jc w:val="center"/>
      <w:outlineLvl w:val="1"/>
    </w:pPr>
    <w:rPr>
      <w:b/>
      <w:sz w:val="24"/>
    </w:rPr>
  </w:style>
  <w:style w:type="paragraph" w:styleId="Heading3">
    <w:name w:val="heading 3"/>
    <w:basedOn w:val="Normal"/>
    <w:next w:val="Normal"/>
    <w:link w:val="Heading3Char"/>
    <w:uiPriority w:val="9"/>
    <w:qFormat/>
    <w:pPr>
      <w:keepNext/>
      <w:jc w:val="center"/>
      <w:outlineLvl w:val="2"/>
    </w:pPr>
    <w:rPr>
      <w:b/>
      <w:sz w:val="24"/>
      <w:u w:val="single"/>
    </w:rPr>
  </w:style>
  <w:style w:type="paragraph" w:styleId="Heading4">
    <w:name w:val="heading 4"/>
    <w:basedOn w:val="Normal"/>
    <w:next w:val="Normal"/>
    <w:link w:val="Heading4Char"/>
    <w:uiPriority w:val="9"/>
    <w:qFormat/>
    <w:pPr>
      <w:keepNext/>
      <w:ind w:left="1440"/>
      <w:outlineLvl w:val="3"/>
    </w:pPr>
    <w:rPr>
      <w:sz w:val="24"/>
    </w:rPr>
  </w:style>
  <w:style w:type="paragraph" w:styleId="Heading5">
    <w:name w:val="heading 5"/>
    <w:basedOn w:val="Normal"/>
    <w:next w:val="Normal"/>
    <w:link w:val="Heading5Char"/>
    <w:uiPriority w:val="9"/>
    <w:qFormat/>
    <w:pPr>
      <w:keepNext/>
      <w:outlineLvl w:val="4"/>
    </w:pPr>
    <w:rPr>
      <w:sz w:val="24"/>
    </w:rPr>
  </w:style>
  <w:style w:type="paragraph" w:styleId="Heading6">
    <w:name w:val="heading 6"/>
    <w:basedOn w:val="Normal"/>
    <w:next w:val="Normal"/>
    <w:link w:val="Heading6Char"/>
    <w:uiPriority w:val="9"/>
    <w:qFormat/>
    <w:pPr>
      <w:keepNext/>
      <w:ind w:right="29"/>
      <w:jc w:val="center"/>
      <w:outlineLvl w:val="5"/>
    </w:pPr>
    <w:rPr>
      <w:b/>
      <w:sz w:val="24"/>
    </w:rPr>
  </w:style>
  <w:style w:type="paragraph" w:styleId="Heading7">
    <w:name w:val="heading 7"/>
    <w:basedOn w:val="Normal"/>
    <w:next w:val="Normal"/>
    <w:link w:val="Heading7Char"/>
    <w:uiPriority w:val="1"/>
    <w:qFormat/>
    <w:pPr>
      <w:keepNext/>
      <w:jc w:val="both"/>
      <w:outlineLvl w:val="6"/>
    </w:pPr>
    <w:rPr>
      <w:b/>
      <w:bCs/>
      <w:sz w:val="24"/>
    </w:rPr>
  </w:style>
  <w:style w:type="paragraph" w:styleId="Heading8">
    <w:name w:val="heading 8"/>
    <w:basedOn w:val="Normal"/>
    <w:next w:val="Normal"/>
    <w:link w:val="Heading8Char"/>
    <w:uiPriority w:val="1"/>
    <w:qFormat/>
    <w:pPr>
      <w:keepNext/>
      <w:outlineLvl w:val="7"/>
    </w:pPr>
    <w:rPr>
      <w:b/>
      <w:bCs/>
      <w:sz w:val="24"/>
    </w:rPr>
  </w:style>
  <w:style w:type="paragraph" w:styleId="Heading9">
    <w:name w:val="heading 9"/>
    <w:basedOn w:val="Normal"/>
    <w:next w:val="Normal"/>
    <w:link w:val="Heading9Char"/>
    <w:uiPriority w:val="1"/>
    <w:qFormat/>
    <w:pPr>
      <w:keepNext/>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link w:val="FooterChar"/>
    <w:uiPriority w:val="99"/>
    <w:semiHidden/>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pPr>
      <w:jc w:val="center"/>
    </w:pPr>
    <w:rPr>
      <w:b/>
      <w:sz w:val="24"/>
    </w:rPr>
  </w:style>
  <w:style w:type="paragraph" w:styleId="BodyText">
    <w:name w:val="Body Text"/>
    <w:basedOn w:val="Normal"/>
    <w:link w:val="BodyTextChar"/>
    <w:uiPriority w:val="1"/>
    <w:semiHidden/>
    <w:qFormat/>
    <w:rPr>
      <w:bCs/>
      <w:sz w:val="24"/>
    </w:rPr>
  </w:style>
  <w:style w:type="paragraph" w:styleId="BodyText2">
    <w:name w:val="Body Text 2"/>
    <w:basedOn w:val="Normal"/>
    <w:link w:val="BodyText2Char"/>
    <w:uiPriority w:val="99"/>
    <w:semiHidden/>
    <w:pPr>
      <w:jc w:val="both"/>
    </w:pPr>
    <w:rPr>
      <w:sz w:val="24"/>
    </w:rPr>
  </w:style>
  <w:style w:type="paragraph" w:styleId="BodyTextIndent">
    <w:name w:val="Body Text Indent"/>
    <w:basedOn w:val="Normal"/>
    <w:semiHidden/>
    <w:pPr>
      <w:ind w:left="567"/>
      <w:jc w:val="center"/>
    </w:pPr>
    <w:rPr>
      <w:b/>
      <w:sz w:val="24"/>
    </w:rPr>
  </w:style>
  <w:style w:type="paragraph" w:styleId="BodyTextIndent2">
    <w:name w:val="Body Text Indent 2"/>
    <w:basedOn w:val="Normal"/>
    <w:semiHidden/>
    <w:pPr>
      <w:ind w:left="567"/>
    </w:pPr>
    <w:rPr>
      <w:bCs/>
      <w:color w:val="FF0000"/>
      <w:sz w:val="24"/>
    </w:rPr>
  </w:style>
  <w:style w:type="paragraph" w:styleId="BodyTextIndent3">
    <w:name w:val="Body Text Indent 3"/>
    <w:basedOn w:val="Normal"/>
    <w:semiHidden/>
    <w:pPr>
      <w:ind w:left="567"/>
    </w:pPr>
    <w:rPr>
      <w:bCs/>
      <w:sz w:val="24"/>
    </w:rPr>
  </w:style>
  <w:style w:type="paragraph" w:styleId="BodyText3">
    <w:name w:val="Body Text 3"/>
    <w:basedOn w:val="Normal"/>
    <w:semiHidden/>
    <w:pPr>
      <w:jc w:val="both"/>
    </w:pPr>
    <w:rPr>
      <w:b/>
      <w:sz w:val="24"/>
    </w:rPr>
  </w:style>
  <w:style w:type="paragraph" w:customStyle="1" w:styleId="xl24">
    <w:name w:val="xl24"/>
    <w:basedOn w:val="Normal"/>
    <w:pPr>
      <w:overflowPunct/>
      <w:autoSpaceDE/>
      <w:autoSpaceDN/>
      <w:adjustRightInd/>
      <w:spacing w:before="100" w:beforeAutospacing="1" w:after="100" w:afterAutospacing="1"/>
      <w:textAlignment w:val="auto"/>
    </w:pPr>
    <w:rPr>
      <w:rFonts w:eastAsia="Arial Unicode MS"/>
      <w:sz w:val="24"/>
      <w:szCs w:val="24"/>
      <w:lang w:val="en-US"/>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eastAsia="Arial Unicode MS"/>
      <w:b/>
      <w:bCs/>
      <w:sz w:val="24"/>
      <w:szCs w:val="24"/>
      <w:lang w:val="en-US"/>
    </w:rPr>
  </w:style>
  <w:style w:type="paragraph" w:customStyle="1" w:styleId="xl26">
    <w:name w:val="xl26"/>
    <w:basedOn w:val="Normal"/>
    <w:pPr>
      <w:overflowPunct/>
      <w:autoSpaceDE/>
      <w:autoSpaceDN/>
      <w:adjustRightInd/>
      <w:spacing w:before="100" w:beforeAutospacing="1" w:after="100" w:afterAutospacing="1"/>
      <w:textAlignment w:val="auto"/>
    </w:pPr>
    <w:rPr>
      <w:rFonts w:eastAsia="Arial Unicode MS"/>
      <w:b/>
      <w:bCs/>
      <w:sz w:val="24"/>
      <w:szCs w:val="24"/>
      <w:lang w:val="en-US"/>
    </w:rPr>
  </w:style>
  <w:style w:type="paragraph" w:customStyle="1" w:styleId="xl27">
    <w:name w:val="xl27"/>
    <w:basedOn w:val="Normal"/>
    <w:pPr>
      <w:overflowPunct/>
      <w:autoSpaceDE/>
      <w:autoSpaceDN/>
      <w:adjustRightInd/>
      <w:spacing w:before="100" w:beforeAutospacing="1" w:after="100" w:afterAutospacing="1"/>
      <w:jc w:val="right"/>
      <w:textAlignment w:val="auto"/>
    </w:pPr>
    <w:rPr>
      <w:rFonts w:eastAsia="Arial Unicode MS"/>
      <w:b/>
      <w:bCs/>
      <w:sz w:val="24"/>
      <w:szCs w:val="24"/>
      <w:lang w:val="en-US"/>
    </w:rPr>
  </w:style>
  <w:style w:type="paragraph" w:customStyle="1" w:styleId="xl28">
    <w:name w:val="xl28"/>
    <w:basedOn w:val="Normal"/>
    <w:pPr>
      <w:overflowPunct/>
      <w:autoSpaceDE/>
      <w:autoSpaceDN/>
      <w:adjustRightInd/>
      <w:spacing w:before="100" w:beforeAutospacing="1" w:after="100" w:afterAutospacing="1"/>
      <w:textAlignment w:val="auto"/>
    </w:pPr>
    <w:rPr>
      <w:rFonts w:eastAsia="Arial Unicode MS"/>
      <w:sz w:val="24"/>
      <w:szCs w:val="24"/>
      <w:lang w:val="en-US"/>
    </w:rPr>
  </w:style>
  <w:style w:type="paragraph" w:customStyle="1" w:styleId="xl29">
    <w:name w:val="xl29"/>
    <w:basedOn w:val="Normal"/>
    <w:pPr>
      <w:pBdr>
        <w:bottom w:val="single" w:sz="4" w:space="0" w:color="auto"/>
      </w:pBdr>
      <w:overflowPunct/>
      <w:autoSpaceDE/>
      <w:autoSpaceDN/>
      <w:adjustRightInd/>
      <w:spacing w:before="100" w:beforeAutospacing="1" w:after="100" w:afterAutospacing="1"/>
      <w:textAlignment w:val="auto"/>
    </w:pPr>
    <w:rPr>
      <w:rFonts w:eastAsia="Arial Unicode MS"/>
      <w:sz w:val="24"/>
      <w:szCs w:val="24"/>
      <w:lang w:val="en-US"/>
    </w:rPr>
  </w:style>
  <w:style w:type="paragraph" w:customStyle="1" w:styleId="xl30">
    <w:name w:val="xl30"/>
    <w:basedOn w:val="Normal"/>
    <w:pPr>
      <w:pBdr>
        <w:bottom w:val="double" w:sz="6" w:space="0" w:color="auto"/>
      </w:pBdr>
      <w:overflowPunct/>
      <w:autoSpaceDE/>
      <w:autoSpaceDN/>
      <w:adjustRightInd/>
      <w:spacing w:before="100" w:beforeAutospacing="1" w:after="100" w:afterAutospacing="1"/>
      <w:textAlignment w:val="auto"/>
    </w:pPr>
    <w:rPr>
      <w:rFonts w:eastAsia="Arial Unicode MS"/>
      <w:sz w:val="24"/>
      <w:szCs w:val="24"/>
      <w:lang w:val="en-US"/>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character" w:customStyle="1" w:styleId="Bold">
    <w:name w:val="Bold"/>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xl31">
    <w:name w:val="xl31"/>
    <w:basedOn w:val="Normal"/>
    <w:pPr>
      <w:overflowPunct/>
      <w:autoSpaceDE/>
      <w:autoSpaceDN/>
      <w:adjustRightInd/>
      <w:spacing w:before="100" w:beforeAutospacing="1" w:after="100" w:afterAutospacing="1"/>
      <w:textAlignment w:val="auto"/>
    </w:pPr>
    <w:rPr>
      <w:rFonts w:ascii="Arial Unicode MS" w:hAnsi="Arial Unicode MS"/>
      <w:sz w:val="24"/>
      <w:szCs w:val="24"/>
      <w:lang w:val="en-US"/>
    </w:rPr>
  </w:style>
  <w:style w:type="character" w:styleId="Strong">
    <w:name w:val="Strong"/>
    <w:uiPriority w:val="22"/>
    <w:qFormat/>
    <w:rPr>
      <w:b/>
      <w:bCs/>
    </w:rPr>
  </w:style>
  <w:style w:type="paragraph" w:customStyle="1" w:styleId="xl32">
    <w:name w:val="xl32"/>
    <w:basedOn w:val="Normal"/>
    <w:pPr>
      <w:overflowPunct/>
      <w:autoSpaceDE/>
      <w:autoSpaceDN/>
      <w:adjustRightInd/>
      <w:spacing w:before="100" w:beforeAutospacing="1" w:after="100" w:afterAutospacing="1"/>
      <w:jc w:val="right"/>
      <w:textAlignment w:val="auto"/>
    </w:pPr>
    <w:rPr>
      <w:rFonts w:eastAsia="Arial Unicode MS"/>
      <w:sz w:val="24"/>
      <w:szCs w:val="24"/>
    </w:rPr>
  </w:style>
  <w:style w:type="paragraph" w:customStyle="1" w:styleId="xl33">
    <w:name w:val="xl33"/>
    <w:basedOn w:val="Normal"/>
    <w:pPr>
      <w:pBdr>
        <w:bottom w:val="single" w:sz="4" w:space="0" w:color="auto"/>
      </w:pBdr>
      <w:overflowPunct/>
      <w:autoSpaceDE/>
      <w:autoSpaceDN/>
      <w:adjustRightInd/>
      <w:spacing w:before="100" w:beforeAutospacing="1" w:after="100" w:afterAutospacing="1"/>
      <w:jc w:val="right"/>
      <w:textAlignment w:val="auto"/>
    </w:pPr>
    <w:rPr>
      <w:rFonts w:eastAsia="Arial Unicode MS"/>
      <w:sz w:val="24"/>
      <w:szCs w:val="24"/>
    </w:rPr>
  </w:style>
  <w:style w:type="paragraph" w:customStyle="1" w:styleId="xl34">
    <w:name w:val="xl34"/>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5">
    <w:name w:val="xl35"/>
    <w:basedOn w:val="Normal"/>
    <w:pPr>
      <w:overflowPunct/>
      <w:autoSpaceDE/>
      <w:autoSpaceDN/>
      <w:adjustRightInd/>
      <w:spacing w:before="100" w:beforeAutospacing="1" w:after="100" w:afterAutospacing="1"/>
      <w:jc w:val="right"/>
      <w:textAlignment w:val="auto"/>
    </w:pPr>
    <w:rPr>
      <w:rFonts w:eastAsia="Arial Unicode MS"/>
      <w:sz w:val="24"/>
      <w:szCs w:val="24"/>
    </w:rPr>
  </w:style>
  <w:style w:type="paragraph" w:customStyle="1" w:styleId="xl36">
    <w:name w:val="xl36"/>
    <w:basedOn w:val="Normal"/>
    <w:pPr>
      <w:pBdr>
        <w:bottom w:val="single" w:sz="4" w:space="0" w:color="auto"/>
      </w:pBdr>
      <w:overflowPunct/>
      <w:autoSpaceDE/>
      <w:autoSpaceDN/>
      <w:adjustRightInd/>
      <w:spacing w:before="100" w:beforeAutospacing="1" w:after="100" w:afterAutospacing="1"/>
      <w:jc w:val="right"/>
      <w:textAlignment w:val="auto"/>
    </w:pPr>
    <w:rPr>
      <w:rFonts w:eastAsia="Arial Unicode MS"/>
      <w:sz w:val="24"/>
      <w:szCs w:val="24"/>
    </w:rPr>
  </w:style>
  <w:style w:type="paragraph" w:customStyle="1" w:styleId="xl37">
    <w:name w:val="xl37"/>
    <w:basedOn w:val="Normal"/>
    <w:pPr>
      <w:pBdr>
        <w:bottom w:val="single" w:sz="4" w:space="0" w:color="auto"/>
      </w:pBdr>
      <w:overflowPunct/>
      <w:autoSpaceDE/>
      <w:autoSpaceDN/>
      <w:adjustRightInd/>
      <w:spacing w:before="100" w:beforeAutospacing="1" w:after="100" w:afterAutospacing="1"/>
      <w:jc w:val="right"/>
      <w:textAlignment w:val="auto"/>
    </w:pPr>
    <w:rPr>
      <w:rFonts w:eastAsia="Arial Unicode MS"/>
      <w:sz w:val="24"/>
      <w:szCs w:val="24"/>
    </w:rPr>
  </w:style>
  <w:style w:type="paragraph" w:customStyle="1" w:styleId="TitleTOC">
    <w:name w:val="Title TOC"/>
    <w:basedOn w:val="Normal"/>
    <w:next w:val="Heading1"/>
    <w:pPr>
      <w:widowControl w:val="0"/>
      <w:tabs>
        <w:tab w:val="left" w:pos="709"/>
        <w:tab w:val="left" w:pos="1418"/>
        <w:tab w:val="left" w:pos="2126"/>
        <w:tab w:val="left" w:pos="2835"/>
        <w:tab w:val="right" w:pos="8363"/>
      </w:tabs>
      <w:overflowPunct/>
      <w:autoSpaceDE/>
      <w:autoSpaceDN/>
      <w:adjustRightInd/>
      <w:spacing w:after="240" w:line="324" w:lineRule="auto"/>
      <w:jc w:val="center"/>
      <w:textAlignment w:val="auto"/>
    </w:pPr>
    <w:rPr>
      <w:rFonts w:ascii="CG Times" w:hAnsi="CG Times"/>
      <w:b/>
      <w:sz w:val="24"/>
    </w:rPr>
  </w:style>
  <w:style w:type="paragraph" w:customStyle="1" w:styleId="Style1">
    <w:name w:val="Style 1"/>
    <w:basedOn w:val="Normal"/>
    <w:pPr>
      <w:widowControl w:val="0"/>
      <w:overflowPunct/>
      <w:textAlignment w:val="auto"/>
    </w:pPr>
    <w:rPr>
      <w:szCs w:val="24"/>
      <w:lang w:val="en-US"/>
    </w:rPr>
  </w:style>
  <w:style w:type="character" w:customStyle="1" w:styleId="c4">
    <w:name w:val="c4"/>
    <w:basedOn w:val="DefaultParagraphFont"/>
  </w:style>
  <w:style w:type="character" w:customStyle="1" w:styleId="c5">
    <w:name w:val="c5"/>
    <w:basedOn w:val="DefaultParagraphFont"/>
  </w:style>
  <w:style w:type="character" w:styleId="Hyperlink">
    <w:name w:val="Hyperlink"/>
    <w:semiHidden/>
    <w:rPr>
      <w:color w:val="0000FF"/>
      <w:u w:val="single"/>
    </w:rPr>
  </w:style>
  <w:style w:type="character" w:styleId="CommentReference">
    <w:name w:val="annotation reference"/>
    <w:semiHidden/>
    <w:unhideWhenUsed/>
    <w:rPr>
      <w:sz w:val="16"/>
      <w:szCs w:val="16"/>
    </w:rPr>
  </w:style>
  <w:style w:type="paragraph" w:styleId="CommentText">
    <w:name w:val="annotation text"/>
    <w:basedOn w:val="Normal"/>
    <w:unhideWhenUsed/>
  </w:style>
  <w:style w:type="paragraph" w:styleId="CommentSubject">
    <w:name w:val="annotation subject"/>
    <w:basedOn w:val="CommentText"/>
    <w:next w:val="CommentText"/>
    <w:semiHidden/>
    <w:unhideWhenUsed/>
    <w:rPr>
      <w:b/>
      <w:bCs/>
    </w:rPr>
  </w:style>
  <w:style w:type="character" w:customStyle="1" w:styleId="CharChar1">
    <w:name w:val="Char Char1"/>
    <w:semiHidden/>
    <w:rPr>
      <w:lang w:eastAsia="en-US"/>
    </w:rPr>
  </w:style>
  <w:style w:type="character" w:customStyle="1" w:styleId="CharChar">
    <w:name w:val="Char Char"/>
    <w:semiHidden/>
    <w:rPr>
      <w:b/>
      <w:bCs/>
      <w:lang w:eastAsia="en-US"/>
    </w:rPr>
  </w:style>
  <w:style w:type="paragraph" w:customStyle="1" w:styleId="LightList-Accent31">
    <w:name w:val="Light List - Accent 31"/>
    <w:hidden/>
    <w:semiHidden/>
    <w:rPr>
      <w:lang w:eastAsia="en-US"/>
    </w:rPr>
  </w:style>
  <w:style w:type="character" w:styleId="FollowedHyperlink">
    <w:name w:val="FollowedHyperlink"/>
    <w:semiHidden/>
    <w:rPr>
      <w:color w:val="800080"/>
      <w:u w:val="single"/>
    </w:rPr>
  </w:style>
  <w:style w:type="character" w:customStyle="1" w:styleId="bz">
    <w:name w:val="bz"/>
  </w:style>
  <w:style w:type="paragraph" w:customStyle="1" w:styleId="cm">
    <w:name w:val="cm"/>
    <w:basedOn w:val="Normal"/>
    <w:rsid w:val="000230EA"/>
    <w:pPr>
      <w:overflowPunct/>
      <w:autoSpaceDE/>
      <w:autoSpaceDN/>
      <w:adjustRightInd/>
      <w:spacing w:before="100" w:beforeAutospacing="1" w:after="100" w:afterAutospacing="1"/>
      <w:textAlignment w:val="auto"/>
    </w:pPr>
    <w:rPr>
      <w:sz w:val="24"/>
      <w:szCs w:val="24"/>
      <w:lang w:eastAsia="en-GB"/>
    </w:rPr>
  </w:style>
  <w:style w:type="character" w:customStyle="1" w:styleId="bo">
    <w:name w:val="bo"/>
    <w:rsid w:val="000230EA"/>
  </w:style>
  <w:style w:type="paragraph" w:customStyle="1" w:styleId="cn">
    <w:name w:val="cn"/>
    <w:basedOn w:val="Normal"/>
    <w:rsid w:val="000230EA"/>
    <w:pPr>
      <w:overflowPunct/>
      <w:autoSpaceDE/>
      <w:autoSpaceDN/>
      <w:adjustRightInd/>
      <w:spacing w:before="100" w:beforeAutospacing="1" w:after="100" w:afterAutospacing="1"/>
      <w:textAlignment w:val="auto"/>
    </w:pPr>
    <w:rPr>
      <w:sz w:val="24"/>
      <w:szCs w:val="24"/>
      <w:lang w:eastAsia="en-GB"/>
    </w:rPr>
  </w:style>
  <w:style w:type="paragraph" w:customStyle="1" w:styleId="co">
    <w:name w:val="co"/>
    <w:basedOn w:val="Normal"/>
    <w:rsid w:val="000230EA"/>
    <w:pPr>
      <w:overflowPunct/>
      <w:autoSpaceDE/>
      <w:autoSpaceDN/>
      <w:adjustRightInd/>
      <w:spacing w:before="100" w:beforeAutospacing="1" w:after="100" w:afterAutospacing="1"/>
      <w:textAlignment w:val="auto"/>
    </w:pPr>
    <w:rPr>
      <w:sz w:val="24"/>
      <w:szCs w:val="24"/>
      <w:lang w:eastAsia="en-GB"/>
    </w:rPr>
  </w:style>
  <w:style w:type="character" w:customStyle="1" w:styleId="bl">
    <w:name w:val="bl"/>
    <w:rsid w:val="000230EA"/>
  </w:style>
  <w:style w:type="paragraph" w:customStyle="1" w:styleId="cp">
    <w:name w:val="cp"/>
    <w:basedOn w:val="Normal"/>
    <w:rsid w:val="000230EA"/>
    <w:pPr>
      <w:overflowPunct/>
      <w:autoSpaceDE/>
      <w:autoSpaceDN/>
      <w:adjustRightInd/>
      <w:spacing w:before="100" w:beforeAutospacing="1" w:after="100" w:afterAutospacing="1"/>
      <w:textAlignment w:val="auto"/>
    </w:pPr>
    <w:rPr>
      <w:sz w:val="24"/>
      <w:szCs w:val="24"/>
      <w:lang w:eastAsia="en-GB"/>
    </w:rPr>
  </w:style>
  <w:style w:type="paragraph" w:customStyle="1" w:styleId="cq">
    <w:name w:val="cq"/>
    <w:basedOn w:val="Normal"/>
    <w:rsid w:val="000230EA"/>
    <w:pPr>
      <w:overflowPunct/>
      <w:autoSpaceDE/>
      <w:autoSpaceDN/>
      <w:adjustRightInd/>
      <w:spacing w:before="100" w:beforeAutospacing="1" w:after="100" w:afterAutospacing="1"/>
      <w:textAlignment w:val="auto"/>
    </w:pPr>
    <w:rPr>
      <w:sz w:val="24"/>
      <w:szCs w:val="24"/>
      <w:lang w:eastAsia="en-GB"/>
    </w:rPr>
  </w:style>
  <w:style w:type="character" w:customStyle="1" w:styleId="bw">
    <w:name w:val="bw"/>
    <w:rsid w:val="000230EA"/>
  </w:style>
  <w:style w:type="paragraph" w:customStyle="1" w:styleId="cr">
    <w:name w:val="cr"/>
    <w:basedOn w:val="Normal"/>
    <w:rsid w:val="000230EA"/>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rsid w:val="000230EA"/>
  </w:style>
  <w:style w:type="character" w:customStyle="1" w:styleId="bg">
    <w:name w:val="bg"/>
    <w:rsid w:val="000230EA"/>
  </w:style>
  <w:style w:type="character" w:customStyle="1" w:styleId="ca">
    <w:name w:val="ca"/>
    <w:rsid w:val="000230EA"/>
  </w:style>
  <w:style w:type="paragraph" w:customStyle="1" w:styleId="ct">
    <w:name w:val="ct"/>
    <w:basedOn w:val="Normal"/>
    <w:rsid w:val="000212F8"/>
    <w:pPr>
      <w:overflowPunct/>
      <w:autoSpaceDE/>
      <w:autoSpaceDN/>
      <w:adjustRightInd/>
      <w:spacing w:before="100" w:beforeAutospacing="1" w:after="100" w:afterAutospacing="1"/>
      <w:textAlignment w:val="auto"/>
    </w:pPr>
    <w:rPr>
      <w:sz w:val="24"/>
      <w:szCs w:val="24"/>
      <w:lang w:eastAsia="en-GB"/>
    </w:rPr>
  </w:style>
  <w:style w:type="table" w:styleId="TableGrid">
    <w:name w:val="Table Grid"/>
    <w:basedOn w:val="TableNormal"/>
    <w:uiPriority w:val="39"/>
    <w:rsid w:val="0036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46D1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paragraph" w:styleId="ListParagraph">
    <w:name w:val="List Paragraph"/>
    <w:basedOn w:val="Normal"/>
    <w:uiPriority w:val="34"/>
    <w:qFormat/>
    <w:rsid w:val="008C6FCC"/>
    <w:pPr>
      <w:overflowPunct/>
      <w:autoSpaceDE/>
      <w:autoSpaceDN/>
      <w:adjustRightInd/>
      <w:spacing w:after="200" w:line="276" w:lineRule="auto"/>
      <w:ind w:left="720"/>
      <w:contextualSpacing/>
      <w:textAlignment w:val="auto"/>
    </w:pPr>
    <w:rPr>
      <w:rFonts w:ascii="Cambria" w:eastAsia="MS Mincho" w:hAnsi="Cambria"/>
      <w:sz w:val="22"/>
      <w:szCs w:val="22"/>
      <w:lang w:eastAsia="en-GB"/>
    </w:rPr>
  </w:style>
  <w:style w:type="paragraph" w:customStyle="1" w:styleId="Default">
    <w:name w:val="Default"/>
    <w:rsid w:val="005A455B"/>
    <w:pPr>
      <w:autoSpaceDE w:val="0"/>
      <w:autoSpaceDN w:val="0"/>
      <w:adjustRightInd w:val="0"/>
    </w:pPr>
    <w:rPr>
      <w:color w:val="000000"/>
      <w:sz w:val="24"/>
      <w:szCs w:val="24"/>
    </w:rPr>
  </w:style>
  <w:style w:type="character" w:customStyle="1" w:styleId="BodyText2Char">
    <w:name w:val="Body Text 2 Char"/>
    <w:basedOn w:val="DefaultParagraphFont"/>
    <w:link w:val="BodyText2"/>
    <w:uiPriority w:val="99"/>
    <w:semiHidden/>
    <w:rsid w:val="00487D4F"/>
    <w:rPr>
      <w:sz w:val="24"/>
      <w:lang w:eastAsia="en-US"/>
    </w:rPr>
  </w:style>
  <w:style w:type="paragraph" w:styleId="Revision">
    <w:name w:val="Revision"/>
    <w:hidden/>
    <w:uiPriority w:val="99"/>
    <w:semiHidden/>
    <w:rsid w:val="00996917"/>
    <w:rPr>
      <w:lang w:eastAsia="en-US"/>
    </w:rPr>
  </w:style>
  <w:style w:type="paragraph" w:styleId="ListBullet">
    <w:name w:val="List Bullet"/>
    <w:basedOn w:val="Normal"/>
    <w:uiPriority w:val="99"/>
    <w:unhideWhenUsed/>
    <w:rsid w:val="00EF1FE4"/>
    <w:pPr>
      <w:numPr>
        <w:numId w:val="5"/>
      </w:numPr>
      <w:contextualSpacing/>
    </w:pPr>
  </w:style>
  <w:style w:type="character" w:customStyle="1" w:styleId="Heading1Char">
    <w:name w:val="Heading 1 Char"/>
    <w:basedOn w:val="DefaultParagraphFont"/>
    <w:link w:val="Heading1"/>
    <w:uiPriority w:val="9"/>
    <w:rsid w:val="00AF47D2"/>
    <w:rPr>
      <w:sz w:val="24"/>
      <w:lang w:eastAsia="en-US"/>
    </w:rPr>
  </w:style>
  <w:style w:type="character" w:customStyle="1" w:styleId="Heading2Char">
    <w:name w:val="Heading 2 Char"/>
    <w:basedOn w:val="DefaultParagraphFont"/>
    <w:link w:val="Heading2"/>
    <w:uiPriority w:val="9"/>
    <w:rsid w:val="00AF47D2"/>
    <w:rPr>
      <w:b/>
      <w:sz w:val="24"/>
      <w:lang w:eastAsia="en-US"/>
    </w:rPr>
  </w:style>
  <w:style w:type="character" w:customStyle="1" w:styleId="Heading3Char">
    <w:name w:val="Heading 3 Char"/>
    <w:basedOn w:val="DefaultParagraphFont"/>
    <w:link w:val="Heading3"/>
    <w:uiPriority w:val="9"/>
    <w:rsid w:val="00AF47D2"/>
    <w:rPr>
      <w:b/>
      <w:sz w:val="24"/>
      <w:u w:val="single"/>
      <w:lang w:eastAsia="en-US"/>
    </w:rPr>
  </w:style>
  <w:style w:type="character" w:customStyle="1" w:styleId="Heading4Char">
    <w:name w:val="Heading 4 Char"/>
    <w:basedOn w:val="DefaultParagraphFont"/>
    <w:link w:val="Heading4"/>
    <w:uiPriority w:val="9"/>
    <w:rsid w:val="00AF47D2"/>
    <w:rPr>
      <w:sz w:val="24"/>
      <w:lang w:eastAsia="en-US"/>
    </w:rPr>
  </w:style>
  <w:style w:type="character" w:customStyle="1" w:styleId="Heading5Char">
    <w:name w:val="Heading 5 Char"/>
    <w:basedOn w:val="DefaultParagraphFont"/>
    <w:link w:val="Heading5"/>
    <w:uiPriority w:val="9"/>
    <w:rsid w:val="00AF47D2"/>
    <w:rPr>
      <w:sz w:val="24"/>
      <w:lang w:eastAsia="en-US"/>
    </w:rPr>
  </w:style>
  <w:style w:type="character" w:customStyle="1" w:styleId="Heading6Char">
    <w:name w:val="Heading 6 Char"/>
    <w:basedOn w:val="DefaultParagraphFont"/>
    <w:link w:val="Heading6"/>
    <w:uiPriority w:val="9"/>
    <w:rsid w:val="00AF47D2"/>
    <w:rPr>
      <w:b/>
      <w:sz w:val="24"/>
      <w:lang w:eastAsia="en-US"/>
    </w:rPr>
  </w:style>
  <w:style w:type="character" w:customStyle="1" w:styleId="Heading7Char">
    <w:name w:val="Heading 7 Char"/>
    <w:basedOn w:val="DefaultParagraphFont"/>
    <w:link w:val="Heading7"/>
    <w:uiPriority w:val="1"/>
    <w:rsid w:val="00AF47D2"/>
    <w:rPr>
      <w:b/>
      <w:bCs/>
      <w:sz w:val="24"/>
      <w:lang w:eastAsia="en-US"/>
    </w:rPr>
  </w:style>
  <w:style w:type="character" w:customStyle="1" w:styleId="Heading8Char">
    <w:name w:val="Heading 8 Char"/>
    <w:basedOn w:val="DefaultParagraphFont"/>
    <w:link w:val="Heading8"/>
    <w:uiPriority w:val="1"/>
    <w:rsid w:val="00AF47D2"/>
    <w:rPr>
      <w:b/>
      <w:bCs/>
      <w:sz w:val="24"/>
      <w:lang w:eastAsia="en-US"/>
    </w:rPr>
  </w:style>
  <w:style w:type="character" w:customStyle="1" w:styleId="Heading9Char">
    <w:name w:val="Heading 9 Char"/>
    <w:basedOn w:val="DefaultParagraphFont"/>
    <w:link w:val="Heading9"/>
    <w:uiPriority w:val="1"/>
    <w:rsid w:val="00AF47D2"/>
    <w:rPr>
      <w:sz w:val="24"/>
      <w:u w:val="single"/>
      <w:lang w:eastAsia="en-US"/>
    </w:rPr>
  </w:style>
  <w:style w:type="paragraph" w:customStyle="1" w:styleId="msonormal0">
    <w:name w:val="msonormal"/>
    <w:basedOn w:val="Normal"/>
    <w:rsid w:val="00AF47D2"/>
    <w:pPr>
      <w:overflowPunct/>
      <w:autoSpaceDE/>
      <w:autoSpaceDN/>
      <w:adjustRightInd/>
      <w:spacing w:before="100" w:beforeAutospacing="1" w:after="100" w:afterAutospacing="1"/>
      <w:textAlignment w:val="auto"/>
    </w:pPr>
    <w:rPr>
      <w:sz w:val="24"/>
      <w:szCs w:val="24"/>
      <w:lang w:eastAsia="en-GB"/>
    </w:rPr>
  </w:style>
  <w:style w:type="paragraph" w:styleId="TOC1">
    <w:name w:val="toc 1"/>
    <w:basedOn w:val="Normal"/>
    <w:autoRedefine/>
    <w:uiPriority w:val="1"/>
    <w:semiHidden/>
    <w:unhideWhenUsed/>
    <w:qFormat/>
    <w:rsid w:val="00AF47D2"/>
    <w:pPr>
      <w:widowControl w:val="0"/>
      <w:overflowPunct/>
      <w:autoSpaceDE/>
      <w:autoSpaceDN/>
      <w:adjustRightInd/>
      <w:spacing w:before="120"/>
      <w:ind w:left="552" w:hanging="396"/>
      <w:textAlignment w:val="auto"/>
    </w:pPr>
    <w:rPr>
      <w:rFonts w:ascii="Arial" w:eastAsia="Arial" w:hAnsi="Arial" w:cstheme="minorBidi"/>
      <w:b/>
      <w:bCs/>
      <w:sz w:val="24"/>
      <w:szCs w:val="24"/>
      <w:lang w:val="en-US"/>
    </w:rPr>
  </w:style>
  <w:style w:type="paragraph" w:styleId="TOC2">
    <w:name w:val="toc 2"/>
    <w:basedOn w:val="Normal"/>
    <w:autoRedefine/>
    <w:uiPriority w:val="1"/>
    <w:semiHidden/>
    <w:unhideWhenUsed/>
    <w:qFormat/>
    <w:rsid w:val="00AF47D2"/>
    <w:pPr>
      <w:widowControl w:val="0"/>
      <w:overflowPunct/>
      <w:autoSpaceDE/>
      <w:autoSpaceDN/>
      <w:adjustRightInd/>
      <w:ind w:left="1120" w:hanging="568"/>
      <w:textAlignment w:val="auto"/>
    </w:pPr>
    <w:rPr>
      <w:rFonts w:ascii="Arial" w:eastAsia="Arial" w:hAnsi="Arial" w:cstheme="minorBidi"/>
      <w:sz w:val="22"/>
      <w:szCs w:val="22"/>
      <w:lang w:val="en-US"/>
    </w:rPr>
  </w:style>
  <w:style w:type="paragraph" w:styleId="TOC3">
    <w:name w:val="toc 3"/>
    <w:basedOn w:val="Normal"/>
    <w:autoRedefine/>
    <w:uiPriority w:val="1"/>
    <w:semiHidden/>
    <w:unhideWhenUsed/>
    <w:qFormat/>
    <w:rsid w:val="00AF47D2"/>
    <w:pPr>
      <w:widowControl w:val="0"/>
      <w:overflowPunct/>
      <w:autoSpaceDE/>
      <w:autoSpaceDN/>
      <w:adjustRightInd/>
      <w:ind w:left="1857" w:hanging="849"/>
      <w:textAlignment w:val="auto"/>
    </w:pPr>
    <w:rPr>
      <w:rFonts w:ascii="Arial" w:eastAsia="Arial" w:hAnsi="Arial" w:cstheme="minorBidi"/>
      <w:lang w:val="en-US"/>
    </w:rPr>
  </w:style>
  <w:style w:type="character" w:customStyle="1" w:styleId="HeaderChar">
    <w:name w:val="Header Char"/>
    <w:basedOn w:val="DefaultParagraphFont"/>
    <w:link w:val="Header"/>
    <w:uiPriority w:val="99"/>
    <w:semiHidden/>
    <w:rsid w:val="00AF47D2"/>
    <w:rPr>
      <w:lang w:eastAsia="en-US"/>
    </w:rPr>
  </w:style>
  <w:style w:type="character" w:customStyle="1" w:styleId="FooterChar">
    <w:name w:val="Footer Char"/>
    <w:basedOn w:val="DefaultParagraphFont"/>
    <w:link w:val="Footer"/>
    <w:uiPriority w:val="99"/>
    <w:semiHidden/>
    <w:rsid w:val="00AF47D2"/>
    <w:rPr>
      <w:lang w:eastAsia="en-US"/>
    </w:rPr>
  </w:style>
  <w:style w:type="character" w:customStyle="1" w:styleId="BodyTextChar">
    <w:name w:val="Body Text Char"/>
    <w:basedOn w:val="DefaultParagraphFont"/>
    <w:link w:val="BodyText"/>
    <w:uiPriority w:val="1"/>
    <w:semiHidden/>
    <w:rsid w:val="00AF47D2"/>
    <w:rPr>
      <w:bCs/>
      <w:sz w:val="24"/>
      <w:lang w:eastAsia="en-US"/>
    </w:rPr>
  </w:style>
  <w:style w:type="character" w:customStyle="1" w:styleId="BalloonTextChar">
    <w:name w:val="Balloon Text Char"/>
    <w:basedOn w:val="DefaultParagraphFont"/>
    <w:link w:val="BalloonText"/>
    <w:uiPriority w:val="99"/>
    <w:semiHidden/>
    <w:rsid w:val="00AF47D2"/>
    <w:rPr>
      <w:rFonts w:ascii="Tahoma" w:hAnsi="Tahoma" w:cs="Tahoma"/>
      <w:sz w:val="16"/>
      <w:szCs w:val="16"/>
      <w:lang w:eastAsia="en-US"/>
    </w:rPr>
  </w:style>
  <w:style w:type="paragraph" w:customStyle="1" w:styleId="TableParagraph">
    <w:name w:val="Table Paragraph"/>
    <w:basedOn w:val="Normal"/>
    <w:uiPriority w:val="1"/>
    <w:qFormat/>
    <w:rsid w:val="00AF47D2"/>
    <w:pPr>
      <w:widowControl w:val="0"/>
      <w:overflowPunct/>
      <w:autoSpaceDE/>
      <w:autoSpaceDN/>
      <w:adjustRightInd/>
      <w:textAlignment w:val="auto"/>
    </w:pPr>
    <w:rPr>
      <w:rFonts w:asciiTheme="minorHAnsi" w:eastAsiaTheme="minorHAnsi" w:hAnsiTheme="minorHAnsi" w:cstheme="minorBidi"/>
      <w:sz w:val="22"/>
      <w:szCs w:val="22"/>
      <w:lang w:val="en-US"/>
    </w:rPr>
  </w:style>
  <w:style w:type="table" w:styleId="PlainTable4">
    <w:name w:val="Plain Table 4"/>
    <w:basedOn w:val="TableNormal"/>
    <w:uiPriority w:val="44"/>
    <w:rsid w:val="00AF47D2"/>
    <w:rPr>
      <w:rFonts w:asciiTheme="minorHAnsi" w:eastAsiaTheme="minorHAnsi" w:hAnsiTheme="minorHAnsi" w:cstheme="minorBid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47D2"/>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AF47D2"/>
    <w:pPr>
      <w:widowControl w:val="0"/>
    </w:pPr>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AF47D2"/>
    <w:pPr>
      <w:widowControl w:val="0"/>
    </w:pPr>
    <w:rPr>
      <w:rFonts w:asciiTheme="minorHAnsi" w:eastAsiaTheme="minorHAnsi" w:hAnsiTheme="minorHAnsi" w:cstheme="minorBid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0">
    <w:name w:val="Pa0"/>
    <w:basedOn w:val="Normal"/>
    <w:next w:val="Normal"/>
    <w:uiPriority w:val="99"/>
    <w:rsid w:val="009A3D6D"/>
    <w:pPr>
      <w:overflowPunct/>
      <w:spacing w:line="241" w:lineRule="atLeast"/>
      <w:textAlignment w:val="auto"/>
    </w:pPr>
    <w:rPr>
      <w:rFonts w:ascii="Frutiger 45 Light" w:eastAsiaTheme="minorHAnsi" w:hAnsi="Frutiger 45 Light" w:cstheme="minorBidi"/>
      <w:sz w:val="24"/>
      <w:szCs w:val="24"/>
    </w:rPr>
  </w:style>
  <w:style w:type="character" w:customStyle="1" w:styleId="A1">
    <w:name w:val="A1"/>
    <w:uiPriority w:val="99"/>
    <w:rsid w:val="009A3D6D"/>
    <w:rPr>
      <w:rFonts w:cs="Frutiger 45 Light"/>
      <w:color w:val="000000"/>
      <w:sz w:val="18"/>
      <w:szCs w:val="18"/>
    </w:rPr>
  </w:style>
  <w:style w:type="character" w:customStyle="1" w:styleId="A2">
    <w:name w:val="A2"/>
    <w:uiPriority w:val="99"/>
    <w:rsid w:val="009A3D6D"/>
    <w:rPr>
      <w:rFonts w:ascii="Frutiger 55 Roman" w:hAnsi="Frutiger 55 Roman" w:cs="Frutiger 55 Roman"/>
      <w:color w:val="000000"/>
      <w:sz w:val="16"/>
      <w:szCs w:val="16"/>
    </w:rPr>
  </w:style>
  <w:style w:type="paragraph" w:customStyle="1" w:styleId="ap">
    <w:name w:val="ap"/>
    <w:basedOn w:val="Normal"/>
    <w:rsid w:val="00DE78A0"/>
    <w:pPr>
      <w:overflowPunct/>
      <w:autoSpaceDE/>
      <w:autoSpaceDN/>
      <w:adjustRightInd/>
      <w:spacing w:before="100" w:beforeAutospacing="1" w:after="100" w:afterAutospacing="1"/>
      <w:textAlignment w:val="auto"/>
    </w:pPr>
    <w:rPr>
      <w:sz w:val="24"/>
      <w:szCs w:val="24"/>
      <w:lang w:eastAsia="en-GB"/>
    </w:rPr>
  </w:style>
  <w:style w:type="character" w:customStyle="1" w:styleId="ai">
    <w:name w:val="ai"/>
    <w:basedOn w:val="DefaultParagraphFont"/>
    <w:rsid w:val="00DE78A0"/>
  </w:style>
  <w:style w:type="paragraph" w:customStyle="1" w:styleId="aq">
    <w:name w:val="aq"/>
    <w:basedOn w:val="Normal"/>
    <w:rsid w:val="00DE78A0"/>
    <w:pPr>
      <w:overflowPunct/>
      <w:autoSpaceDE/>
      <w:autoSpaceDN/>
      <w:adjustRightInd/>
      <w:spacing w:before="100" w:beforeAutospacing="1" w:after="100" w:afterAutospacing="1"/>
      <w:textAlignment w:val="auto"/>
    </w:pPr>
    <w:rPr>
      <w:sz w:val="24"/>
      <w:szCs w:val="24"/>
      <w:lang w:eastAsia="en-GB"/>
    </w:rPr>
  </w:style>
  <w:style w:type="character" w:customStyle="1" w:styleId="z">
    <w:name w:val="z"/>
    <w:basedOn w:val="DefaultParagraphFont"/>
    <w:rsid w:val="00DE78A0"/>
  </w:style>
  <w:style w:type="paragraph" w:customStyle="1" w:styleId="a">
    <w:name w:val="a"/>
    <w:basedOn w:val="Normal"/>
    <w:rsid w:val="00DE78A0"/>
    <w:pPr>
      <w:overflowPunct/>
      <w:autoSpaceDE/>
      <w:autoSpaceDN/>
      <w:adjustRightInd/>
      <w:spacing w:before="100" w:beforeAutospacing="1" w:after="100" w:afterAutospacing="1"/>
      <w:textAlignment w:val="auto"/>
    </w:pPr>
    <w:rPr>
      <w:sz w:val="24"/>
      <w:szCs w:val="24"/>
      <w:lang w:eastAsia="en-GB"/>
    </w:rPr>
  </w:style>
  <w:style w:type="character" w:customStyle="1" w:styleId="x">
    <w:name w:val="x"/>
    <w:basedOn w:val="DefaultParagraphFont"/>
    <w:rsid w:val="00DE78A0"/>
  </w:style>
  <w:style w:type="character" w:customStyle="1" w:styleId="w">
    <w:name w:val="w"/>
    <w:basedOn w:val="DefaultParagraphFont"/>
    <w:rsid w:val="00DE78A0"/>
  </w:style>
  <w:style w:type="paragraph" w:styleId="PlainText">
    <w:name w:val="Plain Text"/>
    <w:basedOn w:val="Normal"/>
    <w:link w:val="PlainTextChar"/>
    <w:uiPriority w:val="99"/>
    <w:semiHidden/>
    <w:unhideWhenUsed/>
    <w:rsid w:val="00961D5E"/>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61D5E"/>
    <w:rPr>
      <w:rFonts w:ascii="Calibri" w:eastAsiaTheme="minorHAnsi" w:hAnsi="Calibri" w:cs="Calibri"/>
      <w:sz w:val="22"/>
      <w:szCs w:val="22"/>
      <w:lang w:eastAsia="en-US"/>
    </w:rPr>
  </w:style>
  <w:style w:type="paragraph" w:customStyle="1" w:styleId="an">
    <w:name w:val="an"/>
    <w:basedOn w:val="Normal"/>
    <w:rsid w:val="002C7EA4"/>
    <w:pPr>
      <w:overflowPunct/>
      <w:autoSpaceDE/>
      <w:autoSpaceDN/>
      <w:adjustRightInd/>
      <w:spacing w:before="100" w:beforeAutospacing="1" w:after="100" w:afterAutospacing="1"/>
      <w:textAlignment w:val="auto"/>
    </w:pPr>
    <w:rPr>
      <w:sz w:val="24"/>
      <w:szCs w:val="24"/>
      <w:lang w:eastAsia="en-GB"/>
    </w:rPr>
  </w:style>
  <w:style w:type="character" w:customStyle="1" w:styleId="bj">
    <w:name w:val="bj"/>
    <w:basedOn w:val="DefaultParagraphFont"/>
    <w:rsid w:val="00111C3E"/>
  </w:style>
  <w:style w:type="character" w:customStyle="1" w:styleId="bi">
    <w:name w:val="bi"/>
    <w:basedOn w:val="DefaultParagraphFont"/>
    <w:rsid w:val="00111C3E"/>
  </w:style>
  <w:style w:type="character" w:customStyle="1" w:styleId="bh">
    <w:name w:val="bh"/>
    <w:basedOn w:val="DefaultParagraphFont"/>
    <w:rsid w:val="0011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483">
      <w:bodyDiv w:val="1"/>
      <w:marLeft w:val="0"/>
      <w:marRight w:val="0"/>
      <w:marTop w:val="0"/>
      <w:marBottom w:val="0"/>
      <w:divBdr>
        <w:top w:val="none" w:sz="0" w:space="0" w:color="auto"/>
        <w:left w:val="none" w:sz="0" w:space="0" w:color="auto"/>
        <w:bottom w:val="none" w:sz="0" w:space="0" w:color="auto"/>
        <w:right w:val="none" w:sz="0" w:space="0" w:color="auto"/>
      </w:divBdr>
    </w:div>
    <w:div w:id="71128424">
      <w:bodyDiv w:val="1"/>
      <w:marLeft w:val="0"/>
      <w:marRight w:val="0"/>
      <w:marTop w:val="0"/>
      <w:marBottom w:val="0"/>
      <w:divBdr>
        <w:top w:val="none" w:sz="0" w:space="0" w:color="auto"/>
        <w:left w:val="none" w:sz="0" w:space="0" w:color="auto"/>
        <w:bottom w:val="none" w:sz="0" w:space="0" w:color="auto"/>
        <w:right w:val="none" w:sz="0" w:space="0" w:color="auto"/>
      </w:divBdr>
    </w:div>
    <w:div w:id="120416514">
      <w:bodyDiv w:val="1"/>
      <w:marLeft w:val="0"/>
      <w:marRight w:val="0"/>
      <w:marTop w:val="0"/>
      <w:marBottom w:val="0"/>
      <w:divBdr>
        <w:top w:val="none" w:sz="0" w:space="0" w:color="auto"/>
        <w:left w:val="none" w:sz="0" w:space="0" w:color="auto"/>
        <w:bottom w:val="none" w:sz="0" w:space="0" w:color="auto"/>
        <w:right w:val="none" w:sz="0" w:space="0" w:color="auto"/>
      </w:divBdr>
    </w:div>
    <w:div w:id="131411706">
      <w:bodyDiv w:val="1"/>
      <w:marLeft w:val="0"/>
      <w:marRight w:val="0"/>
      <w:marTop w:val="0"/>
      <w:marBottom w:val="0"/>
      <w:divBdr>
        <w:top w:val="none" w:sz="0" w:space="0" w:color="auto"/>
        <w:left w:val="none" w:sz="0" w:space="0" w:color="auto"/>
        <w:bottom w:val="none" w:sz="0" w:space="0" w:color="auto"/>
        <w:right w:val="none" w:sz="0" w:space="0" w:color="auto"/>
      </w:divBdr>
      <w:divsChild>
        <w:div w:id="1788698496">
          <w:marLeft w:val="0"/>
          <w:marRight w:val="0"/>
          <w:marTop w:val="0"/>
          <w:marBottom w:val="0"/>
          <w:divBdr>
            <w:top w:val="none" w:sz="0" w:space="0" w:color="auto"/>
            <w:left w:val="none" w:sz="0" w:space="0" w:color="auto"/>
            <w:bottom w:val="none" w:sz="0" w:space="0" w:color="auto"/>
            <w:right w:val="none" w:sz="0" w:space="0" w:color="auto"/>
          </w:divBdr>
        </w:div>
        <w:div w:id="1696465984">
          <w:marLeft w:val="0"/>
          <w:marRight w:val="0"/>
          <w:marTop w:val="0"/>
          <w:marBottom w:val="0"/>
          <w:divBdr>
            <w:top w:val="none" w:sz="0" w:space="0" w:color="auto"/>
            <w:left w:val="none" w:sz="0" w:space="0" w:color="auto"/>
            <w:bottom w:val="none" w:sz="0" w:space="0" w:color="auto"/>
            <w:right w:val="none" w:sz="0" w:space="0" w:color="auto"/>
          </w:divBdr>
        </w:div>
        <w:div w:id="481891611">
          <w:marLeft w:val="0"/>
          <w:marRight w:val="0"/>
          <w:marTop w:val="0"/>
          <w:marBottom w:val="0"/>
          <w:divBdr>
            <w:top w:val="none" w:sz="0" w:space="0" w:color="auto"/>
            <w:left w:val="none" w:sz="0" w:space="0" w:color="auto"/>
            <w:bottom w:val="none" w:sz="0" w:space="0" w:color="auto"/>
            <w:right w:val="none" w:sz="0" w:space="0" w:color="auto"/>
          </w:divBdr>
        </w:div>
        <w:div w:id="1247686530">
          <w:marLeft w:val="0"/>
          <w:marRight w:val="0"/>
          <w:marTop w:val="0"/>
          <w:marBottom w:val="0"/>
          <w:divBdr>
            <w:top w:val="none" w:sz="0" w:space="0" w:color="auto"/>
            <w:left w:val="none" w:sz="0" w:space="0" w:color="auto"/>
            <w:bottom w:val="none" w:sz="0" w:space="0" w:color="auto"/>
            <w:right w:val="none" w:sz="0" w:space="0" w:color="auto"/>
          </w:divBdr>
        </w:div>
        <w:div w:id="853568075">
          <w:marLeft w:val="0"/>
          <w:marRight w:val="0"/>
          <w:marTop w:val="0"/>
          <w:marBottom w:val="0"/>
          <w:divBdr>
            <w:top w:val="none" w:sz="0" w:space="0" w:color="auto"/>
            <w:left w:val="none" w:sz="0" w:space="0" w:color="auto"/>
            <w:bottom w:val="none" w:sz="0" w:space="0" w:color="auto"/>
            <w:right w:val="none" w:sz="0" w:space="0" w:color="auto"/>
          </w:divBdr>
        </w:div>
        <w:div w:id="1964383388">
          <w:marLeft w:val="0"/>
          <w:marRight w:val="0"/>
          <w:marTop w:val="0"/>
          <w:marBottom w:val="0"/>
          <w:divBdr>
            <w:top w:val="none" w:sz="0" w:space="0" w:color="auto"/>
            <w:left w:val="none" w:sz="0" w:space="0" w:color="auto"/>
            <w:bottom w:val="none" w:sz="0" w:space="0" w:color="auto"/>
            <w:right w:val="none" w:sz="0" w:space="0" w:color="auto"/>
          </w:divBdr>
        </w:div>
        <w:div w:id="584002000">
          <w:marLeft w:val="0"/>
          <w:marRight w:val="0"/>
          <w:marTop w:val="0"/>
          <w:marBottom w:val="0"/>
          <w:divBdr>
            <w:top w:val="none" w:sz="0" w:space="0" w:color="auto"/>
            <w:left w:val="none" w:sz="0" w:space="0" w:color="auto"/>
            <w:bottom w:val="none" w:sz="0" w:space="0" w:color="auto"/>
            <w:right w:val="none" w:sz="0" w:space="0" w:color="auto"/>
          </w:divBdr>
        </w:div>
        <w:div w:id="747846218">
          <w:marLeft w:val="0"/>
          <w:marRight w:val="0"/>
          <w:marTop w:val="0"/>
          <w:marBottom w:val="0"/>
          <w:divBdr>
            <w:top w:val="none" w:sz="0" w:space="0" w:color="auto"/>
            <w:left w:val="none" w:sz="0" w:space="0" w:color="auto"/>
            <w:bottom w:val="none" w:sz="0" w:space="0" w:color="auto"/>
            <w:right w:val="none" w:sz="0" w:space="0" w:color="auto"/>
          </w:divBdr>
        </w:div>
        <w:div w:id="988903583">
          <w:marLeft w:val="0"/>
          <w:marRight w:val="0"/>
          <w:marTop w:val="0"/>
          <w:marBottom w:val="0"/>
          <w:divBdr>
            <w:top w:val="none" w:sz="0" w:space="0" w:color="auto"/>
            <w:left w:val="none" w:sz="0" w:space="0" w:color="auto"/>
            <w:bottom w:val="none" w:sz="0" w:space="0" w:color="auto"/>
            <w:right w:val="none" w:sz="0" w:space="0" w:color="auto"/>
          </w:divBdr>
        </w:div>
        <w:div w:id="457652394">
          <w:marLeft w:val="0"/>
          <w:marRight w:val="0"/>
          <w:marTop w:val="0"/>
          <w:marBottom w:val="0"/>
          <w:divBdr>
            <w:top w:val="none" w:sz="0" w:space="0" w:color="auto"/>
            <w:left w:val="none" w:sz="0" w:space="0" w:color="auto"/>
            <w:bottom w:val="none" w:sz="0" w:space="0" w:color="auto"/>
            <w:right w:val="none" w:sz="0" w:space="0" w:color="auto"/>
          </w:divBdr>
        </w:div>
        <w:div w:id="1630621075">
          <w:marLeft w:val="0"/>
          <w:marRight w:val="0"/>
          <w:marTop w:val="0"/>
          <w:marBottom w:val="0"/>
          <w:divBdr>
            <w:top w:val="none" w:sz="0" w:space="0" w:color="auto"/>
            <w:left w:val="none" w:sz="0" w:space="0" w:color="auto"/>
            <w:bottom w:val="none" w:sz="0" w:space="0" w:color="auto"/>
            <w:right w:val="none" w:sz="0" w:space="0" w:color="auto"/>
          </w:divBdr>
        </w:div>
        <w:div w:id="467472839">
          <w:marLeft w:val="0"/>
          <w:marRight w:val="0"/>
          <w:marTop w:val="0"/>
          <w:marBottom w:val="0"/>
          <w:divBdr>
            <w:top w:val="none" w:sz="0" w:space="0" w:color="auto"/>
            <w:left w:val="none" w:sz="0" w:space="0" w:color="auto"/>
            <w:bottom w:val="none" w:sz="0" w:space="0" w:color="auto"/>
            <w:right w:val="none" w:sz="0" w:space="0" w:color="auto"/>
          </w:divBdr>
        </w:div>
        <w:div w:id="13117472">
          <w:marLeft w:val="0"/>
          <w:marRight w:val="0"/>
          <w:marTop w:val="0"/>
          <w:marBottom w:val="0"/>
          <w:divBdr>
            <w:top w:val="none" w:sz="0" w:space="0" w:color="auto"/>
            <w:left w:val="none" w:sz="0" w:space="0" w:color="auto"/>
            <w:bottom w:val="none" w:sz="0" w:space="0" w:color="auto"/>
            <w:right w:val="none" w:sz="0" w:space="0" w:color="auto"/>
          </w:divBdr>
        </w:div>
        <w:div w:id="1684671718">
          <w:marLeft w:val="0"/>
          <w:marRight w:val="0"/>
          <w:marTop w:val="0"/>
          <w:marBottom w:val="0"/>
          <w:divBdr>
            <w:top w:val="none" w:sz="0" w:space="0" w:color="auto"/>
            <w:left w:val="none" w:sz="0" w:space="0" w:color="auto"/>
            <w:bottom w:val="none" w:sz="0" w:space="0" w:color="auto"/>
            <w:right w:val="none" w:sz="0" w:space="0" w:color="auto"/>
          </w:divBdr>
        </w:div>
        <w:div w:id="1889563835">
          <w:marLeft w:val="0"/>
          <w:marRight w:val="0"/>
          <w:marTop w:val="0"/>
          <w:marBottom w:val="0"/>
          <w:divBdr>
            <w:top w:val="none" w:sz="0" w:space="0" w:color="auto"/>
            <w:left w:val="none" w:sz="0" w:space="0" w:color="auto"/>
            <w:bottom w:val="none" w:sz="0" w:space="0" w:color="auto"/>
            <w:right w:val="none" w:sz="0" w:space="0" w:color="auto"/>
          </w:divBdr>
        </w:div>
        <w:div w:id="1323852143">
          <w:marLeft w:val="0"/>
          <w:marRight w:val="0"/>
          <w:marTop w:val="0"/>
          <w:marBottom w:val="0"/>
          <w:divBdr>
            <w:top w:val="none" w:sz="0" w:space="0" w:color="auto"/>
            <w:left w:val="none" w:sz="0" w:space="0" w:color="auto"/>
            <w:bottom w:val="none" w:sz="0" w:space="0" w:color="auto"/>
            <w:right w:val="none" w:sz="0" w:space="0" w:color="auto"/>
          </w:divBdr>
        </w:div>
      </w:divsChild>
    </w:div>
    <w:div w:id="258828856">
      <w:bodyDiv w:val="1"/>
      <w:marLeft w:val="0"/>
      <w:marRight w:val="0"/>
      <w:marTop w:val="0"/>
      <w:marBottom w:val="0"/>
      <w:divBdr>
        <w:top w:val="none" w:sz="0" w:space="0" w:color="auto"/>
        <w:left w:val="none" w:sz="0" w:space="0" w:color="auto"/>
        <w:bottom w:val="none" w:sz="0" w:space="0" w:color="auto"/>
        <w:right w:val="none" w:sz="0" w:space="0" w:color="auto"/>
      </w:divBdr>
    </w:div>
    <w:div w:id="569926253">
      <w:bodyDiv w:val="1"/>
      <w:marLeft w:val="0"/>
      <w:marRight w:val="0"/>
      <w:marTop w:val="0"/>
      <w:marBottom w:val="0"/>
      <w:divBdr>
        <w:top w:val="none" w:sz="0" w:space="0" w:color="auto"/>
        <w:left w:val="none" w:sz="0" w:space="0" w:color="auto"/>
        <w:bottom w:val="none" w:sz="0" w:space="0" w:color="auto"/>
        <w:right w:val="none" w:sz="0" w:space="0" w:color="auto"/>
      </w:divBdr>
      <w:divsChild>
        <w:div w:id="1103719512">
          <w:marLeft w:val="-225"/>
          <w:marRight w:val="-225"/>
          <w:marTop w:val="150"/>
          <w:marBottom w:val="150"/>
          <w:divBdr>
            <w:top w:val="none" w:sz="0" w:space="0" w:color="auto"/>
            <w:left w:val="none" w:sz="0" w:space="0" w:color="auto"/>
            <w:bottom w:val="none" w:sz="0" w:space="0" w:color="auto"/>
            <w:right w:val="none" w:sz="0" w:space="0" w:color="auto"/>
          </w:divBdr>
          <w:divsChild>
            <w:div w:id="460922531">
              <w:marLeft w:val="0"/>
              <w:marRight w:val="0"/>
              <w:marTop w:val="0"/>
              <w:marBottom w:val="0"/>
              <w:divBdr>
                <w:top w:val="none" w:sz="0" w:space="0" w:color="auto"/>
                <w:left w:val="none" w:sz="0" w:space="0" w:color="auto"/>
                <w:bottom w:val="none" w:sz="0" w:space="0" w:color="auto"/>
                <w:right w:val="none" w:sz="0" w:space="0" w:color="auto"/>
              </w:divBdr>
              <w:divsChild>
                <w:div w:id="1406342931">
                  <w:marLeft w:val="0"/>
                  <w:marRight w:val="0"/>
                  <w:marTop w:val="0"/>
                  <w:marBottom w:val="0"/>
                  <w:divBdr>
                    <w:top w:val="none" w:sz="0" w:space="0" w:color="auto"/>
                    <w:left w:val="none" w:sz="0" w:space="0" w:color="auto"/>
                    <w:bottom w:val="none" w:sz="0" w:space="0" w:color="auto"/>
                    <w:right w:val="none" w:sz="0" w:space="0" w:color="auto"/>
                  </w:divBdr>
                </w:div>
                <w:div w:id="958993702">
                  <w:marLeft w:val="0"/>
                  <w:marRight w:val="0"/>
                  <w:marTop w:val="0"/>
                  <w:marBottom w:val="0"/>
                  <w:divBdr>
                    <w:top w:val="none" w:sz="0" w:space="0" w:color="auto"/>
                    <w:left w:val="none" w:sz="0" w:space="0" w:color="auto"/>
                    <w:bottom w:val="none" w:sz="0" w:space="0" w:color="auto"/>
                    <w:right w:val="none" w:sz="0" w:space="0" w:color="auto"/>
                  </w:divBdr>
                </w:div>
                <w:div w:id="1837769049">
                  <w:marLeft w:val="0"/>
                  <w:marRight w:val="0"/>
                  <w:marTop w:val="0"/>
                  <w:marBottom w:val="0"/>
                  <w:divBdr>
                    <w:top w:val="none" w:sz="0" w:space="0" w:color="auto"/>
                    <w:left w:val="none" w:sz="0" w:space="0" w:color="auto"/>
                    <w:bottom w:val="none" w:sz="0" w:space="0" w:color="auto"/>
                    <w:right w:val="none" w:sz="0" w:space="0" w:color="auto"/>
                  </w:divBdr>
                </w:div>
                <w:div w:id="1740325716">
                  <w:marLeft w:val="0"/>
                  <w:marRight w:val="0"/>
                  <w:marTop w:val="0"/>
                  <w:marBottom w:val="0"/>
                  <w:divBdr>
                    <w:top w:val="none" w:sz="0" w:space="0" w:color="auto"/>
                    <w:left w:val="none" w:sz="0" w:space="0" w:color="auto"/>
                    <w:bottom w:val="none" w:sz="0" w:space="0" w:color="auto"/>
                    <w:right w:val="none" w:sz="0" w:space="0" w:color="auto"/>
                  </w:divBdr>
                </w:div>
              </w:divsChild>
            </w:div>
            <w:div w:id="1835489162">
              <w:marLeft w:val="0"/>
              <w:marRight w:val="0"/>
              <w:marTop w:val="0"/>
              <w:marBottom w:val="0"/>
              <w:divBdr>
                <w:top w:val="none" w:sz="0" w:space="0" w:color="auto"/>
                <w:left w:val="none" w:sz="0" w:space="0" w:color="auto"/>
                <w:bottom w:val="none" w:sz="0" w:space="0" w:color="auto"/>
                <w:right w:val="none" w:sz="0" w:space="0" w:color="auto"/>
              </w:divBdr>
              <w:divsChild>
                <w:div w:id="1661616264">
                  <w:marLeft w:val="0"/>
                  <w:marRight w:val="0"/>
                  <w:marTop w:val="0"/>
                  <w:marBottom w:val="0"/>
                  <w:divBdr>
                    <w:top w:val="none" w:sz="0" w:space="0" w:color="auto"/>
                    <w:left w:val="none" w:sz="0" w:space="0" w:color="auto"/>
                    <w:bottom w:val="none" w:sz="0" w:space="0" w:color="auto"/>
                    <w:right w:val="none" w:sz="0" w:space="0" w:color="auto"/>
                  </w:divBdr>
                </w:div>
                <w:div w:id="702632728">
                  <w:marLeft w:val="0"/>
                  <w:marRight w:val="0"/>
                  <w:marTop w:val="0"/>
                  <w:marBottom w:val="0"/>
                  <w:divBdr>
                    <w:top w:val="none" w:sz="0" w:space="0" w:color="auto"/>
                    <w:left w:val="none" w:sz="0" w:space="0" w:color="auto"/>
                    <w:bottom w:val="none" w:sz="0" w:space="0" w:color="auto"/>
                    <w:right w:val="none" w:sz="0" w:space="0" w:color="auto"/>
                  </w:divBdr>
                </w:div>
                <w:div w:id="1824077203">
                  <w:marLeft w:val="0"/>
                  <w:marRight w:val="0"/>
                  <w:marTop w:val="0"/>
                  <w:marBottom w:val="0"/>
                  <w:divBdr>
                    <w:top w:val="none" w:sz="0" w:space="0" w:color="auto"/>
                    <w:left w:val="none" w:sz="0" w:space="0" w:color="auto"/>
                    <w:bottom w:val="none" w:sz="0" w:space="0" w:color="auto"/>
                    <w:right w:val="none" w:sz="0" w:space="0" w:color="auto"/>
                  </w:divBdr>
                </w:div>
              </w:divsChild>
            </w:div>
            <w:div w:id="759527130">
              <w:marLeft w:val="0"/>
              <w:marRight w:val="0"/>
              <w:marTop w:val="0"/>
              <w:marBottom w:val="0"/>
              <w:divBdr>
                <w:top w:val="none" w:sz="0" w:space="0" w:color="auto"/>
                <w:left w:val="none" w:sz="0" w:space="0" w:color="auto"/>
                <w:bottom w:val="none" w:sz="0" w:space="0" w:color="auto"/>
                <w:right w:val="none" w:sz="0" w:space="0" w:color="auto"/>
              </w:divBdr>
              <w:divsChild>
                <w:div w:id="2105564172">
                  <w:marLeft w:val="0"/>
                  <w:marRight w:val="0"/>
                  <w:marTop w:val="0"/>
                  <w:marBottom w:val="0"/>
                  <w:divBdr>
                    <w:top w:val="none" w:sz="0" w:space="0" w:color="auto"/>
                    <w:left w:val="none" w:sz="0" w:space="0" w:color="auto"/>
                    <w:bottom w:val="none" w:sz="0" w:space="0" w:color="auto"/>
                    <w:right w:val="none" w:sz="0" w:space="0" w:color="auto"/>
                  </w:divBdr>
                </w:div>
                <w:div w:id="1766338766">
                  <w:marLeft w:val="0"/>
                  <w:marRight w:val="0"/>
                  <w:marTop w:val="0"/>
                  <w:marBottom w:val="0"/>
                  <w:divBdr>
                    <w:top w:val="none" w:sz="0" w:space="0" w:color="auto"/>
                    <w:left w:val="none" w:sz="0" w:space="0" w:color="auto"/>
                    <w:bottom w:val="none" w:sz="0" w:space="0" w:color="auto"/>
                    <w:right w:val="none" w:sz="0" w:space="0" w:color="auto"/>
                  </w:divBdr>
                </w:div>
                <w:div w:id="1473057938">
                  <w:marLeft w:val="0"/>
                  <w:marRight w:val="0"/>
                  <w:marTop w:val="0"/>
                  <w:marBottom w:val="0"/>
                  <w:divBdr>
                    <w:top w:val="none" w:sz="0" w:space="0" w:color="auto"/>
                    <w:left w:val="none" w:sz="0" w:space="0" w:color="auto"/>
                    <w:bottom w:val="none" w:sz="0" w:space="0" w:color="auto"/>
                    <w:right w:val="none" w:sz="0" w:space="0" w:color="auto"/>
                  </w:divBdr>
                </w:div>
              </w:divsChild>
            </w:div>
            <w:div w:id="1054279342">
              <w:marLeft w:val="0"/>
              <w:marRight w:val="0"/>
              <w:marTop w:val="0"/>
              <w:marBottom w:val="0"/>
              <w:divBdr>
                <w:top w:val="none" w:sz="0" w:space="0" w:color="auto"/>
                <w:left w:val="none" w:sz="0" w:space="0" w:color="auto"/>
                <w:bottom w:val="none" w:sz="0" w:space="0" w:color="auto"/>
                <w:right w:val="none" w:sz="0" w:space="0" w:color="auto"/>
              </w:divBdr>
              <w:divsChild>
                <w:div w:id="923805667">
                  <w:marLeft w:val="0"/>
                  <w:marRight w:val="0"/>
                  <w:marTop w:val="0"/>
                  <w:marBottom w:val="0"/>
                  <w:divBdr>
                    <w:top w:val="none" w:sz="0" w:space="0" w:color="auto"/>
                    <w:left w:val="none" w:sz="0" w:space="0" w:color="auto"/>
                    <w:bottom w:val="none" w:sz="0" w:space="0" w:color="auto"/>
                    <w:right w:val="none" w:sz="0" w:space="0" w:color="auto"/>
                  </w:divBdr>
                </w:div>
                <w:div w:id="1419405901">
                  <w:marLeft w:val="0"/>
                  <w:marRight w:val="0"/>
                  <w:marTop w:val="0"/>
                  <w:marBottom w:val="0"/>
                  <w:divBdr>
                    <w:top w:val="none" w:sz="0" w:space="0" w:color="auto"/>
                    <w:left w:val="none" w:sz="0" w:space="0" w:color="auto"/>
                    <w:bottom w:val="none" w:sz="0" w:space="0" w:color="auto"/>
                    <w:right w:val="none" w:sz="0" w:space="0" w:color="auto"/>
                  </w:divBdr>
                </w:div>
                <w:div w:id="9633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7477">
          <w:marLeft w:val="-225"/>
          <w:marRight w:val="-225"/>
          <w:marTop w:val="150"/>
          <w:marBottom w:val="150"/>
          <w:divBdr>
            <w:top w:val="none" w:sz="0" w:space="0" w:color="auto"/>
            <w:left w:val="none" w:sz="0" w:space="0" w:color="auto"/>
            <w:bottom w:val="none" w:sz="0" w:space="0" w:color="auto"/>
            <w:right w:val="none" w:sz="0" w:space="0" w:color="auto"/>
          </w:divBdr>
          <w:divsChild>
            <w:div w:id="1190223361">
              <w:marLeft w:val="0"/>
              <w:marRight w:val="0"/>
              <w:marTop w:val="0"/>
              <w:marBottom w:val="0"/>
              <w:divBdr>
                <w:top w:val="none" w:sz="0" w:space="0" w:color="auto"/>
                <w:left w:val="none" w:sz="0" w:space="0" w:color="auto"/>
                <w:bottom w:val="none" w:sz="0" w:space="0" w:color="auto"/>
                <w:right w:val="none" w:sz="0" w:space="0" w:color="auto"/>
              </w:divBdr>
              <w:divsChild>
                <w:div w:id="489062380">
                  <w:marLeft w:val="0"/>
                  <w:marRight w:val="0"/>
                  <w:marTop w:val="0"/>
                  <w:marBottom w:val="0"/>
                  <w:divBdr>
                    <w:top w:val="none" w:sz="0" w:space="0" w:color="auto"/>
                    <w:left w:val="none" w:sz="0" w:space="0" w:color="auto"/>
                    <w:bottom w:val="none" w:sz="0" w:space="0" w:color="auto"/>
                    <w:right w:val="none" w:sz="0" w:space="0" w:color="auto"/>
                  </w:divBdr>
                </w:div>
                <w:div w:id="1001393617">
                  <w:marLeft w:val="0"/>
                  <w:marRight w:val="0"/>
                  <w:marTop w:val="0"/>
                  <w:marBottom w:val="0"/>
                  <w:divBdr>
                    <w:top w:val="none" w:sz="0" w:space="0" w:color="auto"/>
                    <w:left w:val="none" w:sz="0" w:space="0" w:color="auto"/>
                    <w:bottom w:val="none" w:sz="0" w:space="0" w:color="auto"/>
                    <w:right w:val="none" w:sz="0" w:space="0" w:color="auto"/>
                  </w:divBdr>
                </w:div>
                <w:div w:id="265693832">
                  <w:marLeft w:val="0"/>
                  <w:marRight w:val="0"/>
                  <w:marTop w:val="0"/>
                  <w:marBottom w:val="0"/>
                  <w:divBdr>
                    <w:top w:val="none" w:sz="0" w:space="0" w:color="auto"/>
                    <w:left w:val="none" w:sz="0" w:space="0" w:color="auto"/>
                    <w:bottom w:val="none" w:sz="0" w:space="0" w:color="auto"/>
                    <w:right w:val="none" w:sz="0" w:space="0" w:color="auto"/>
                  </w:divBdr>
                </w:div>
                <w:div w:id="1174103683">
                  <w:marLeft w:val="0"/>
                  <w:marRight w:val="0"/>
                  <w:marTop w:val="0"/>
                  <w:marBottom w:val="0"/>
                  <w:divBdr>
                    <w:top w:val="none" w:sz="0" w:space="0" w:color="auto"/>
                    <w:left w:val="none" w:sz="0" w:space="0" w:color="auto"/>
                    <w:bottom w:val="none" w:sz="0" w:space="0" w:color="auto"/>
                    <w:right w:val="none" w:sz="0" w:space="0" w:color="auto"/>
                  </w:divBdr>
                </w:div>
              </w:divsChild>
            </w:div>
            <w:div w:id="1741947399">
              <w:marLeft w:val="0"/>
              <w:marRight w:val="0"/>
              <w:marTop w:val="0"/>
              <w:marBottom w:val="0"/>
              <w:divBdr>
                <w:top w:val="none" w:sz="0" w:space="0" w:color="auto"/>
                <w:left w:val="none" w:sz="0" w:space="0" w:color="auto"/>
                <w:bottom w:val="none" w:sz="0" w:space="0" w:color="auto"/>
                <w:right w:val="none" w:sz="0" w:space="0" w:color="auto"/>
              </w:divBdr>
              <w:divsChild>
                <w:div w:id="1904096436">
                  <w:marLeft w:val="0"/>
                  <w:marRight w:val="0"/>
                  <w:marTop w:val="0"/>
                  <w:marBottom w:val="0"/>
                  <w:divBdr>
                    <w:top w:val="none" w:sz="0" w:space="0" w:color="auto"/>
                    <w:left w:val="none" w:sz="0" w:space="0" w:color="auto"/>
                    <w:bottom w:val="none" w:sz="0" w:space="0" w:color="auto"/>
                    <w:right w:val="none" w:sz="0" w:space="0" w:color="auto"/>
                  </w:divBdr>
                </w:div>
                <w:div w:id="2014650558">
                  <w:marLeft w:val="0"/>
                  <w:marRight w:val="0"/>
                  <w:marTop w:val="0"/>
                  <w:marBottom w:val="0"/>
                  <w:divBdr>
                    <w:top w:val="none" w:sz="0" w:space="0" w:color="auto"/>
                    <w:left w:val="none" w:sz="0" w:space="0" w:color="auto"/>
                    <w:bottom w:val="none" w:sz="0" w:space="0" w:color="auto"/>
                    <w:right w:val="none" w:sz="0" w:space="0" w:color="auto"/>
                  </w:divBdr>
                </w:div>
                <w:div w:id="9780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8419">
      <w:bodyDiv w:val="1"/>
      <w:marLeft w:val="0"/>
      <w:marRight w:val="0"/>
      <w:marTop w:val="0"/>
      <w:marBottom w:val="0"/>
      <w:divBdr>
        <w:top w:val="none" w:sz="0" w:space="0" w:color="auto"/>
        <w:left w:val="none" w:sz="0" w:space="0" w:color="auto"/>
        <w:bottom w:val="none" w:sz="0" w:space="0" w:color="auto"/>
        <w:right w:val="none" w:sz="0" w:space="0" w:color="auto"/>
      </w:divBdr>
    </w:div>
    <w:div w:id="612982923">
      <w:bodyDiv w:val="1"/>
      <w:marLeft w:val="0"/>
      <w:marRight w:val="0"/>
      <w:marTop w:val="0"/>
      <w:marBottom w:val="0"/>
      <w:divBdr>
        <w:top w:val="none" w:sz="0" w:space="0" w:color="auto"/>
        <w:left w:val="none" w:sz="0" w:space="0" w:color="auto"/>
        <w:bottom w:val="none" w:sz="0" w:space="0" w:color="auto"/>
        <w:right w:val="none" w:sz="0" w:space="0" w:color="auto"/>
      </w:divBdr>
    </w:div>
    <w:div w:id="656345091">
      <w:bodyDiv w:val="1"/>
      <w:marLeft w:val="0"/>
      <w:marRight w:val="0"/>
      <w:marTop w:val="0"/>
      <w:marBottom w:val="0"/>
      <w:divBdr>
        <w:top w:val="none" w:sz="0" w:space="0" w:color="auto"/>
        <w:left w:val="none" w:sz="0" w:space="0" w:color="auto"/>
        <w:bottom w:val="none" w:sz="0" w:space="0" w:color="auto"/>
        <w:right w:val="none" w:sz="0" w:space="0" w:color="auto"/>
      </w:divBdr>
    </w:div>
    <w:div w:id="864632579">
      <w:bodyDiv w:val="1"/>
      <w:marLeft w:val="0"/>
      <w:marRight w:val="0"/>
      <w:marTop w:val="0"/>
      <w:marBottom w:val="0"/>
      <w:divBdr>
        <w:top w:val="none" w:sz="0" w:space="0" w:color="auto"/>
        <w:left w:val="none" w:sz="0" w:space="0" w:color="auto"/>
        <w:bottom w:val="none" w:sz="0" w:space="0" w:color="auto"/>
        <w:right w:val="none" w:sz="0" w:space="0" w:color="auto"/>
      </w:divBdr>
    </w:div>
    <w:div w:id="981815227">
      <w:bodyDiv w:val="1"/>
      <w:marLeft w:val="0"/>
      <w:marRight w:val="0"/>
      <w:marTop w:val="0"/>
      <w:marBottom w:val="0"/>
      <w:divBdr>
        <w:top w:val="none" w:sz="0" w:space="0" w:color="auto"/>
        <w:left w:val="none" w:sz="0" w:space="0" w:color="auto"/>
        <w:bottom w:val="none" w:sz="0" w:space="0" w:color="auto"/>
        <w:right w:val="none" w:sz="0" w:space="0" w:color="auto"/>
      </w:divBdr>
    </w:div>
    <w:div w:id="988022747">
      <w:bodyDiv w:val="1"/>
      <w:marLeft w:val="0"/>
      <w:marRight w:val="0"/>
      <w:marTop w:val="0"/>
      <w:marBottom w:val="0"/>
      <w:divBdr>
        <w:top w:val="none" w:sz="0" w:space="0" w:color="auto"/>
        <w:left w:val="none" w:sz="0" w:space="0" w:color="auto"/>
        <w:bottom w:val="none" w:sz="0" w:space="0" w:color="auto"/>
        <w:right w:val="none" w:sz="0" w:space="0" w:color="auto"/>
      </w:divBdr>
    </w:div>
    <w:div w:id="1033923508">
      <w:bodyDiv w:val="1"/>
      <w:marLeft w:val="0"/>
      <w:marRight w:val="0"/>
      <w:marTop w:val="0"/>
      <w:marBottom w:val="0"/>
      <w:divBdr>
        <w:top w:val="none" w:sz="0" w:space="0" w:color="auto"/>
        <w:left w:val="none" w:sz="0" w:space="0" w:color="auto"/>
        <w:bottom w:val="none" w:sz="0" w:space="0" w:color="auto"/>
        <w:right w:val="none" w:sz="0" w:space="0" w:color="auto"/>
      </w:divBdr>
      <w:divsChild>
        <w:div w:id="1950307862">
          <w:marLeft w:val="0"/>
          <w:marRight w:val="0"/>
          <w:marTop w:val="0"/>
          <w:marBottom w:val="0"/>
          <w:divBdr>
            <w:top w:val="none" w:sz="0" w:space="0" w:color="auto"/>
            <w:left w:val="none" w:sz="0" w:space="0" w:color="auto"/>
            <w:bottom w:val="none" w:sz="0" w:space="0" w:color="auto"/>
            <w:right w:val="none" w:sz="0" w:space="0" w:color="auto"/>
          </w:divBdr>
          <w:divsChild>
            <w:div w:id="451678642">
              <w:marLeft w:val="0"/>
              <w:marRight w:val="0"/>
              <w:marTop w:val="0"/>
              <w:marBottom w:val="0"/>
              <w:divBdr>
                <w:top w:val="none" w:sz="0" w:space="0" w:color="auto"/>
                <w:left w:val="none" w:sz="0" w:space="0" w:color="auto"/>
                <w:bottom w:val="none" w:sz="0" w:space="0" w:color="auto"/>
                <w:right w:val="none" w:sz="0" w:space="0" w:color="auto"/>
              </w:divBdr>
              <w:divsChild>
                <w:div w:id="395014680">
                  <w:marLeft w:val="0"/>
                  <w:marRight w:val="300"/>
                  <w:marTop w:val="0"/>
                  <w:marBottom w:val="0"/>
                  <w:divBdr>
                    <w:top w:val="none" w:sz="0" w:space="0" w:color="auto"/>
                    <w:left w:val="none" w:sz="0" w:space="0" w:color="auto"/>
                    <w:bottom w:val="none" w:sz="0" w:space="0" w:color="auto"/>
                    <w:right w:val="none" w:sz="0" w:space="0" w:color="auto"/>
                  </w:divBdr>
                  <w:divsChild>
                    <w:div w:id="1213808612">
                      <w:marLeft w:val="0"/>
                      <w:marRight w:val="0"/>
                      <w:marTop w:val="0"/>
                      <w:marBottom w:val="0"/>
                      <w:divBdr>
                        <w:top w:val="none" w:sz="0" w:space="0" w:color="auto"/>
                        <w:left w:val="none" w:sz="0" w:space="0" w:color="auto"/>
                        <w:bottom w:val="none" w:sz="0" w:space="0" w:color="auto"/>
                        <w:right w:val="none" w:sz="0" w:space="0" w:color="auto"/>
                      </w:divBdr>
                      <w:divsChild>
                        <w:div w:id="100153964">
                          <w:marLeft w:val="0"/>
                          <w:marRight w:val="150"/>
                          <w:marTop w:val="0"/>
                          <w:marBottom w:val="0"/>
                          <w:divBdr>
                            <w:top w:val="none" w:sz="0" w:space="0" w:color="auto"/>
                            <w:left w:val="none" w:sz="0" w:space="0" w:color="auto"/>
                            <w:bottom w:val="none" w:sz="0" w:space="0" w:color="auto"/>
                            <w:right w:val="none" w:sz="0" w:space="0" w:color="auto"/>
                          </w:divBdr>
                          <w:divsChild>
                            <w:div w:id="206190">
                              <w:marLeft w:val="0"/>
                              <w:marRight w:val="0"/>
                              <w:marTop w:val="300"/>
                              <w:marBottom w:val="225"/>
                              <w:divBdr>
                                <w:top w:val="single" w:sz="6" w:space="0" w:color="D6D6D6"/>
                                <w:left w:val="none" w:sz="0" w:space="0" w:color="auto"/>
                                <w:bottom w:val="single" w:sz="6" w:space="0" w:color="D6D6D6"/>
                                <w:right w:val="none" w:sz="0" w:space="0" w:color="auto"/>
                              </w:divBdr>
                              <w:divsChild>
                                <w:div w:id="477113284">
                                  <w:marLeft w:val="0"/>
                                  <w:marRight w:val="225"/>
                                  <w:marTop w:val="0"/>
                                  <w:marBottom w:val="0"/>
                                  <w:divBdr>
                                    <w:top w:val="none" w:sz="0" w:space="0" w:color="auto"/>
                                    <w:left w:val="none" w:sz="0" w:space="0" w:color="auto"/>
                                    <w:bottom w:val="none" w:sz="0" w:space="0" w:color="auto"/>
                                    <w:right w:val="none" w:sz="0" w:space="0" w:color="auto"/>
                                  </w:divBdr>
                                  <w:divsChild>
                                    <w:div w:id="716005877">
                                      <w:marLeft w:val="0"/>
                                      <w:marRight w:val="0"/>
                                      <w:marTop w:val="0"/>
                                      <w:marBottom w:val="0"/>
                                      <w:divBdr>
                                        <w:top w:val="none" w:sz="0" w:space="0" w:color="auto"/>
                                        <w:left w:val="none" w:sz="0" w:space="0" w:color="auto"/>
                                        <w:bottom w:val="single" w:sz="6" w:space="0" w:color="D6D6D6"/>
                                        <w:right w:val="none" w:sz="0" w:space="0" w:color="auto"/>
                                      </w:divBdr>
                                      <w:divsChild>
                                        <w:div w:id="2140341856">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sChild>
        </w:div>
      </w:divsChild>
    </w:div>
    <w:div w:id="1073115835">
      <w:bodyDiv w:val="1"/>
      <w:marLeft w:val="0"/>
      <w:marRight w:val="0"/>
      <w:marTop w:val="0"/>
      <w:marBottom w:val="0"/>
      <w:divBdr>
        <w:top w:val="none" w:sz="0" w:space="0" w:color="auto"/>
        <w:left w:val="none" w:sz="0" w:space="0" w:color="auto"/>
        <w:bottom w:val="none" w:sz="0" w:space="0" w:color="auto"/>
        <w:right w:val="none" w:sz="0" w:space="0" w:color="auto"/>
      </w:divBdr>
    </w:div>
    <w:div w:id="1099132668">
      <w:bodyDiv w:val="1"/>
      <w:marLeft w:val="0"/>
      <w:marRight w:val="0"/>
      <w:marTop w:val="0"/>
      <w:marBottom w:val="0"/>
      <w:divBdr>
        <w:top w:val="none" w:sz="0" w:space="0" w:color="auto"/>
        <w:left w:val="none" w:sz="0" w:space="0" w:color="auto"/>
        <w:bottom w:val="none" w:sz="0" w:space="0" w:color="auto"/>
        <w:right w:val="none" w:sz="0" w:space="0" w:color="auto"/>
      </w:divBdr>
    </w:div>
    <w:div w:id="1179350575">
      <w:bodyDiv w:val="1"/>
      <w:marLeft w:val="0"/>
      <w:marRight w:val="0"/>
      <w:marTop w:val="0"/>
      <w:marBottom w:val="0"/>
      <w:divBdr>
        <w:top w:val="none" w:sz="0" w:space="0" w:color="auto"/>
        <w:left w:val="none" w:sz="0" w:space="0" w:color="auto"/>
        <w:bottom w:val="none" w:sz="0" w:space="0" w:color="auto"/>
        <w:right w:val="none" w:sz="0" w:space="0" w:color="auto"/>
      </w:divBdr>
    </w:div>
    <w:div w:id="1345784295">
      <w:bodyDiv w:val="1"/>
      <w:marLeft w:val="0"/>
      <w:marRight w:val="0"/>
      <w:marTop w:val="0"/>
      <w:marBottom w:val="0"/>
      <w:divBdr>
        <w:top w:val="none" w:sz="0" w:space="0" w:color="auto"/>
        <w:left w:val="none" w:sz="0" w:space="0" w:color="auto"/>
        <w:bottom w:val="none" w:sz="0" w:space="0" w:color="auto"/>
        <w:right w:val="none" w:sz="0" w:space="0" w:color="auto"/>
      </w:divBdr>
    </w:div>
    <w:div w:id="1516529048">
      <w:bodyDiv w:val="1"/>
      <w:marLeft w:val="0"/>
      <w:marRight w:val="0"/>
      <w:marTop w:val="0"/>
      <w:marBottom w:val="0"/>
      <w:divBdr>
        <w:top w:val="none" w:sz="0" w:space="0" w:color="auto"/>
        <w:left w:val="none" w:sz="0" w:space="0" w:color="auto"/>
        <w:bottom w:val="none" w:sz="0" w:space="0" w:color="auto"/>
        <w:right w:val="none" w:sz="0" w:space="0" w:color="auto"/>
      </w:divBdr>
    </w:div>
    <w:div w:id="1531989495">
      <w:bodyDiv w:val="1"/>
      <w:marLeft w:val="0"/>
      <w:marRight w:val="0"/>
      <w:marTop w:val="0"/>
      <w:marBottom w:val="0"/>
      <w:divBdr>
        <w:top w:val="none" w:sz="0" w:space="0" w:color="auto"/>
        <w:left w:val="none" w:sz="0" w:space="0" w:color="auto"/>
        <w:bottom w:val="none" w:sz="0" w:space="0" w:color="auto"/>
        <w:right w:val="none" w:sz="0" w:space="0" w:color="auto"/>
      </w:divBdr>
      <w:divsChild>
        <w:div w:id="1344285092">
          <w:marLeft w:val="0"/>
          <w:marRight w:val="0"/>
          <w:marTop w:val="0"/>
          <w:marBottom w:val="0"/>
          <w:divBdr>
            <w:top w:val="single" w:sz="6" w:space="11" w:color="EBE8E4"/>
            <w:left w:val="single" w:sz="6" w:space="11" w:color="EBE8E4"/>
            <w:bottom w:val="single" w:sz="6" w:space="4" w:color="EBE8E4"/>
            <w:right w:val="single" w:sz="6" w:space="11" w:color="EBE8E4"/>
          </w:divBdr>
        </w:div>
        <w:div w:id="1848329123">
          <w:marLeft w:val="0"/>
          <w:marRight w:val="0"/>
          <w:marTop w:val="0"/>
          <w:marBottom w:val="0"/>
          <w:divBdr>
            <w:top w:val="single" w:sz="6" w:space="11" w:color="EBE8E4"/>
            <w:left w:val="single" w:sz="6" w:space="11" w:color="EBE8E4"/>
            <w:bottom w:val="single" w:sz="6" w:space="4" w:color="EBE8E4"/>
            <w:right w:val="single" w:sz="6" w:space="11" w:color="EBE8E4"/>
          </w:divBdr>
        </w:div>
      </w:divsChild>
    </w:div>
    <w:div w:id="1536962042">
      <w:bodyDiv w:val="1"/>
      <w:marLeft w:val="0"/>
      <w:marRight w:val="0"/>
      <w:marTop w:val="0"/>
      <w:marBottom w:val="0"/>
      <w:divBdr>
        <w:top w:val="none" w:sz="0" w:space="0" w:color="auto"/>
        <w:left w:val="none" w:sz="0" w:space="0" w:color="auto"/>
        <w:bottom w:val="none" w:sz="0" w:space="0" w:color="auto"/>
        <w:right w:val="none" w:sz="0" w:space="0" w:color="auto"/>
      </w:divBdr>
      <w:divsChild>
        <w:div w:id="900335816">
          <w:marLeft w:val="0"/>
          <w:marRight w:val="0"/>
          <w:marTop w:val="0"/>
          <w:marBottom w:val="0"/>
          <w:divBdr>
            <w:top w:val="none" w:sz="0" w:space="0" w:color="auto"/>
            <w:left w:val="none" w:sz="0" w:space="0" w:color="auto"/>
            <w:bottom w:val="none" w:sz="0" w:space="0" w:color="auto"/>
            <w:right w:val="none" w:sz="0" w:space="0" w:color="auto"/>
          </w:divBdr>
          <w:divsChild>
            <w:div w:id="116070163">
              <w:marLeft w:val="0"/>
              <w:marRight w:val="0"/>
              <w:marTop w:val="0"/>
              <w:marBottom w:val="0"/>
              <w:divBdr>
                <w:top w:val="none" w:sz="0" w:space="0" w:color="auto"/>
                <w:left w:val="none" w:sz="0" w:space="0" w:color="auto"/>
                <w:bottom w:val="none" w:sz="0" w:space="0" w:color="auto"/>
                <w:right w:val="none" w:sz="0" w:space="0" w:color="auto"/>
              </w:divBdr>
              <w:divsChild>
                <w:div w:id="2145080653">
                  <w:marLeft w:val="0"/>
                  <w:marRight w:val="300"/>
                  <w:marTop w:val="0"/>
                  <w:marBottom w:val="0"/>
                  <w:divBdr>
                    <w:top w:val="none" w:sz="0" w:space="0" w:color="auto"/>
                    <w:left w:val="none" w:sz="0" w:space="0" w:color="auto"/>
                    <w:bottom w:val="none" w:sz="0" w:space="0" w:color="auto"/>
                    <w:right w:val="none" w:sz="0" w:space="0" w:color="auto"/>
                  </w:divBdr>
                  <w:divsChild>
                    <w:div w:id="1430347743">
                      <w:marLeft w:val="0"/>
                      <w:marRight w:val="0"/>
                      <w:marTop w:val="0"/>
                      <w:marBottom w:val="0"/>
                      <w:divBdr>
                        <w:top w:val="none" w:sz="0" w:space="0" w:color="auto"/>
                        <w:left w:val="none" w:sz="0" w:space="0" w:color="auto"/>
                        <w:bottom w:val="none" w:sz="0" w:space="0" w:color="auto"/>
                        <w:right w:val="none" w:sz="0" w:space="0" w:color="auto"/>
                      </w:divBdr>
                      <w:divsChild>
                        <w:div w:id="13651412">
                          <w:marLeft w:val="0"/>
                          <w:marRight w:val="150"/>
                          <w:marTop w:val="0"/>
                          <w:marBottom w:val="0"/>
                          <w:divBdr>
                            <w:top w:val="none" w:sz="0" w:space="0" w:color="auto"/>
                            <w:left w:val="none" w:sz="0" w:space="0" w:color="auto"/>
                            <w:bottom w:val="none" w:sz="0" w:space="0" w:color="auto"/>
                            <w:right w:val="none" w:sz="0" w:space="0" w:color="auto"/>
                          </w:divBdr>
                          <w:divsChild>
                            <w:div w:id="1234197941">
                              <w:marLeft w:val="0"/>
                              <w:marRight w:val="0"/>
                              <w:marTop w:val="300"/>
                              <w:marBottom w:val="225"/>
                              <w:divBdr>
                                <w:top w:val="single" w:sz="6" w:space="0" w:color="D6D6D6"/>
                                <w:left w:val="none" w:sz="0" w:space="0" w:color="auto"/>
                                <w:bottom w:val="single" w:sz="6" w:space="0" w:color="D6D6D6"/>
                                <w:right w:val="none" w:sz="0" w:space="0" w:color="auto"/>
                              </w:divBdr>
                              <w:divsChild>
                                <w:div w:id="1846087619">
                                  <w:marLeft w:val="0"/>
                                  <w:marRight w:val="225"/>
                                  <w:marTop w:val="0"/>
                                  <w:marBottom w:val="0"/>
                                  <w:divBdr>
                                    <w:top w:val="none" w:sz="0" w:space="0" w:color="auto"/>
                                    <w:left w:val="none" w:sz="0" w:space="0" w:color="auto"/>
                                    <w:bottom w:val="none" w:sz="0" w:space="0" w:color="auto"/>
                                    <w:right w:val="none" w:sz="0" w:space="0" w:color="auto"/>
                                  </w:divBdr>
                                  <w:divsChild>
                                    <w:div w:id="688599930">
                                      <w:marLeft w:val="0"/>
                                      <w:marRight w:val="0"/>
                                      <w:marTop w:val="0"/>
                                      <w:marBottom w:val="0"/>
                                      <w:divBdr>
                                        <w:top w:val="none" w:sz="0" w:space="0" w:color="auto"/>
                                        <w:left w:val="none" w:sz="0" w:space="0" w:color="auto"/>
                                        <w:bottom w:val="single" w:sz="6" w:space="0" w:color="D6D6D6"/>
                                        <w:right w:val="none" w:sz="0" w:space="0" w:color="auto"/>
                                      </w:divBdr>
                                      <w:divsChild>
                                        <w:div w:id="870339674">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sChild>
        </w:div>
      </w:divsChild>
    </w:div>
    <w:div w:id="1586763243">
      <w:bodyDiv w:val="1"/>
      <w:marLeft w:val="0"/>
      <w:marRight w:val="0"/>
      <w:marTop w:val="0"/>
      <w:marBottom w:val="0"/>
      <w:divBdr>
        <w:top w:val="none" w:sz="0" w:space="0" w:color="auto"/>
        <w:left w:val="none" w:sz="0" w:space="0" w:color="auto"/>
        <w:bottom w:val="none" w:sz="0" w:space="0" w:color="auto"/>
        <w:right w:val="none" w:sz="0" w:space="0" w:color="auto"/>
      </w:divBdr>
    </w:div>
    <w:div w:id="1614286477">
      <w:bodyDiv w:val="1"/>
      <w:marLeft w:val="0"/>
      <w:marRight w:val="0"/>
      <w:marTop w:val="0"/>
      <w:marBottom w:val="0"/>
      <w:divBdr>
        <w:top w:val="none" w:sz="0" w:space="0" w:color="auto"/>
        <w:left w:val="none" w:sz="0" w:space="0" w:color="auto"/>
        <w:bottom w:val="none" w:sz="0" w:space="0" w:color="auto"/>
        <w:right w:val="none" w:sz="0" w:space="0" w:color="auto"/>
      </w:divBdr>
    </w:div>
    <w:div w:id="1669553714">
      <w:bodyDiv w:val="1"/>
      <w:marLeft w:val="0"/>
      <w:marRight w:val="0"/>
      <w:marTop w:val="0"/>
      <w:marBottom w:val="0"/>
      <w:divBdr>
        <w:top w:val="none" w:sz="0" w:space="0" w:color="auto"/>
        <w:left w:val="none" w:sz="0" w:space="0" w:color="auto"/>
        <w:bottom w:val="none" w:sz="0" w:space="0" w:color="auto"/>
        <w:right w:val="none" w:sz="0" w:space="0" w:color="auto"/>
      </w:divBdr>
    </w:div>
    <w:div w:id="1756366157">
      <w:bodyDiv w:val="1"/>
      <w:marLeft w:val="0"/>
      <w:marRight w:val="0"/>
      <w:marTop w:val="0"/>
      <w:marBottom w:val="0"/>
      <w:divBdr>
        <w:top w:val="none" w:sz="0" w:space="0" w:color="auto"/>
        <w:left w:val="none" w:sz="0" w:space="0" w:color="auto"/>
        <w:bottom w:val="none" w:sz="0" w:space="0" w:color="auto"/>
        <w:right w:val="none" w:sz="0" w:space="0" w:color="auto"/>
      </w:divBdr>
    </w:div>
    <w:div w:id="1785540644">
      <w:bodyDiv w:val="1"/>
      <w:marLeft w:val="0"/>
      <w:marRight w:val="0"/>
      <w:marTop w:val="0"/>
      <w:marBottom w:val="0"/>
      <w:divBdr>
        <w:top w:val="none" w:sz="0" w:space="0" w:color="auto"/>
        <w:left w:val="none" w:sz="0" w:space="0" w:color="auto"/>
        <w:bottom w:val="none" w:sz="0" w:space="0" w:color="auto"/>
        <w:right w:val="none" w:sz="0" w:space="0" w:color="auto"/>
      </w:divBdr>
    </w:div>
    <w:div w:id="1837499903">
      <w:bodyDiv w:val="1"/>
      <w:marLeft w:val="0"/>
      <w:marRight w:val="0"/>
      <w:marTop w:val="0"/>
      <w:marBottom w:val="0"/>
      <w:divBdr>
        <w:top w:val="none" w:sz="0" w:space="0" w:color="auto"/>
        <w:left w:val="none" w:sz="0" w:space="0" w:color="auto"/>
        <w:bottom w:val="none" w:sz="0" w:space="0" w:color="auto"/>
        <w:right w:val="none" w:sz="0" w:space="0" w:color="auto"/>
      </w:divBdr>
    </w:div>
    <w:div w:id="1893806685">
      <w:bodyDiv w:val="1"/>
      <w:marLeft w:val="0"/>
      <w:marRight w:val="0"/>
      <w:marTop w:val="0"/>
      <w:marBottom w:val="0"/>
      <w:divBdr>
        <w:top w:val="none" w:sz="0" w:space="0" w:color="auto"/>
        <w:left w:val="none" w:sz="0" w:space="0" w:color="auto"/>
        <w:bottom w:val="none" w:sz="0" w:space="0" w:color="auto"/>
        <w:right w:val="none" w:sz="0" w:space="0" w:color="auto"/>
      </w:divBdr>
    </w:div>
    <w:div w:id="20553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www.metalnrg.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metalnrg.com"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C174-8761-49C9-A376-36FABC0C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16973</Words>
  <Characters>96750</Characters>
  <Application>Microsoft Office Word</Application>
  <DocSecurity>4</DocSecurity>
  <Lines>806</Lines>
  <Paragraphs>226</Paragraphs>
  <ScaleCrop>false</ScaleCrop>
  <HeadingPairs>
    <vt:vector size="2" baseType="variant">
      <vt:variant>
        <vt:lpstr>Title</vt:lpstr>
      </vt:variant>
      <vt:variant>
        <vt:i4>1</vt:i4>
      </vt:variant>
    </vt:vector>
  </HeadingPairs>
  <TitlesOfParts>
    <vt:vector size="1" baseType="lpstr">
      <vt:lpstr>Tracey Smitherman, Executive Assistant</vt:lpstr>
    </vt:vector>
  </TitlesOfParts>
  <Company>LRM</Company>
  <LinksUpToDate>false</LinksUpToDate>
  <CharactersWithSpaces>113497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Tracey Smitherman, Executive Assistant</dc:title>
  <dc:creator>windell.callaghan@cindele.com</dc:creator>
  <cp:lastModifiedBy>Rod Venables</cp:lastModifiedBy>
  <cp:revision>2</cp:revision>
  <cp:lastPrinted>2021-04-28T09:58:00Z</cp:lastPrinted>
  <dcterms:created xsi:type="dcterms:W3CDTF">2021-04-30T14:12:00Z</dcterms:created>
  <dcterms:modified xsi:type="dcterms:W3CDTF">2021-04-30T14:12:00Z</dcterms:modified>
</cp:coreProperties>
</file>