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35DD3" w14:textId="1F9C6D51" w:rsidR="00927A26" w:rsidRDefault="00884478" w:rsidP="00B84F18">
      <w:pPr>
        <w:jc w:val="center"/>
        <w:rPr>
          <w:b/>
        </w:rPr>
      </w:pPr>
      <w:r>
        <w:rPr>
          <w:b/>
        </w:rPr>
        <w:t xml:space="preserve">National World </w:t>
      </w:r>
      <w:r w:rsidR="00196BEB">
        <w:rPr>
          <w:b/>
        </w:rPr>
        <w:t>p</w:t>
      </w:r>
      <w:r>
        <w:rPr>
          <w:b/>
        </w:rPr>
        <w:t xml:space="preserve">lc </w:t>
      </w:r>
    </w:p>
    <w:p w14:paraId="4544DD4B" w14:textId="12EC576E" w:rsidR="00B84F18" w:rsidRPr="00DC1615" w:rsidRDefault="00884478" w:rsidP="00B84F18">
      <w:pPr>
        <w:jc w:val="center"/>
      </w:pPr>
      <w:r w:rsidRPr="00DC1615">
        <w:rPr>
          <w:i/>
          <w:color w:val="000000"/>
        </w:rPr>
        <w:t xml:space="preserve">(Incorporated and registered in England and Wales with No: </w:t>
      </w:r>
      <w:r>
        <w:rPr>
          <w:bCs/>
          <w:i/>
          <w:color w:val="000000"/>
        </w:rPr>
        <w:t>12021298</w:t>
      </w:r>
      <w:r w:rsidR="00423E88">
        <w:rPr>
          <w:bCs/>
          <w:i/>
          <w:color w:val="000000"/>
        </w:rPr>
        <w:t>)</w:t>
      </w:r>
    </w:p>
    <w:p w14:paraId="7DEA5FA2" w14:textId="76E45FC3" w:rsidR="00B84F18" w:rsidRPr="00DC1615" w:rsidRDefault="00884478" w:rsidP="00B84F18">
      <w:pPr>
        <w:pStyle w:val="NoSpacing"/>
        <w:jc w:val="center"/>
        <w:rPr>
          <w:rFonts w:asciiTheme="minorHAnsi" w:hAnsiTheme="minorHAnsi"/>
          <w:b/>
        </w:rPr>
      </w:pPr>
      <w:r w:rsidRPr="00DC1615">
        <w:rPr>
          <w:rFonts w:asciiTheme="minorHAnsi" w:hAnsiTheme="minorHAnsi"/>
          <w:b/>
        </w:rPr>
        <w:t xml:space="preserve">Resolutions Passed at </w:t>
      </w:r>
      <w:r>
        <w:rPr>
          <w:rFonts w:asciiTheme="minorHAnsi" w:hAnsiTheme="minorHAnsi"/>
          <w:b/>
        </w:rPr>
        <w:t>Annual General Meeting</w:t>
      </w:r>
    </w:p>
    <w:p w14:paraId="2363BE71" w14:textId="77777777" w:rsidR="00B84F18" w:rsidRPr="00DC1615" w:rsidRDefault="00BB68A5" w:rsidP="00B84F18">
      <w:pPr>
        <w:pStyle w:val="NoSpacing"/>
        <w:jc w:val="both"/>
        <w:rPr>
          <w:rFonts w:asciiTheme="minorHAnsi" w:hAnsiTheme="minorHAnsi"/>
        </w:rPr>
      </w:pPr>
    </w:p>
    <w:p w14:paraId="448DC0CE" w14:textId="7C69517D" w:rsidR="00B84F18" w:rsidRPr="00DC1615" w:rsidRDefault="00884478" w:rsidP="00B84F18">
      <w:pPr>
        <w:pStyle w:val="NoSpacing"/>
        <w:jc w:val="both"/>
        <w:rPr>
          <w:rFonts w:asciiTheme="minorHAnsi" w:hAnsiTheme="minorHAnsi"/>
        </w:rPr>
      </w:pPr>
      <w:r w:rsidRPr="00DC1615">
        <w:rPr>
          <w:rFonts w:asciiTheme="minorHAnsi" w:hAnsiTheme="minorHAnsi"/>
        </w:rPr>
        <w:t xml:space="preserve">The following resolutions of </w:t>
      </w:r>
      <w:r>
        <w:rPr>
          <w:rFonts w:asciiTheme="minorHAnsi" w:hAnsiTheme="minorHAnsi"/>
        </w:rPr>
        <w:t xml:space="preserve">National World </w:t>
      </w:r>
      <w:r w:rsidR="00196BEB">
        <w:rPr>
          <w:rFonts w:asciiTheme="minorHAnsi" w:hAnsiTheme="minorHAnsi"/>
        </w:rPr>
        <w:t>p</w:t>
      </w:r>
      <w:r>
        <w:rPr>
          <w:rFonts w:asciiTheme="minorHAnsi" w:hAnsiTheme="minorHAnsi"/>
        </w:rPr>
        <w:t xml:space="preserve">lc </w:t>
      </w:r>
      <w:r w:rsidRPr="00DC1615">
        <w:rPr>
          <w:rFonts w:asciiTheme="minorHAnsi" w:hAnsiTheme="minorHAnsi"/>
        </w:rPr>
        <w:t>(the “Company”) were passed at the</w:t>
      </w:r>
      <w:r>
        <w:rPr>
          <w:rFonts w:asciiTheme="minorHAnsi" w:hAnsiTheme="minorHAnsi"/>
        </w:rPr>
        <w:t xml:space="preserve"> Annual General Meeting </w:t>
      </w:r>
      <w:r w:rsidRPr="00DC1615">
        <w:rPr>
          <w:rFonts w:asciiTheme="minorHAnsi" w:hAnsiTheme="minorHAnsi"/>
        </w:rPr>
        <w:t xml:space="preserve">of the Company held </w:t>
      </w:r>
      <w:r w:rsidR="003259E0">
        <w:rPr>
          <w:rFonts w:asciiTheme="minorHAnsi" w:hAnsiTheme="minorHAnsi"/>
        </w:rPr>
        <w:t>on 30</w:t>
      </w:r>
      <w:r w:rsidR="00196BEB">
        <w:rPr>
          <w:rFonts w:asciiTheme="minorHAnsi" w:hAnsiTheme="minorHAnsi"/>
        </w:rPr>
        <w:t xml:space="preserve"> May 202</w:t>
      </w:r>
      <w:r w:rsidR="003259E0">
        <w:rPr>
          <w:rFonts w:asciiTheme="minorHAnsi" w:hAnsiTheme="minorHAnsi"/>
        </w:rPr>
        <w:t>4</w:t>
      </w:r>
      <w:r w:rsidRPr="00DC1615">
        <w:rPr>
          <w:rFonts w:asciiTheme="minorHAnsi" w:hAnsiTheme="minorHAnsi"/>
        </w:rPr>
        <w:t xml:space="preserve">. Resolutions </w:t>
      </w:r>
      <w:r>
        <w:rPr>
          <w:rFonts w:asciiTheme="minorHAnsi" w:hAnsiTheme="minorHAnsi"/>
        </w:rPr>
        <w:t>1 to 1</w:t>
      </w:r>
      <w:r w:rsidR="003259E0">
        <w:rPr>
          <w:rFonts w:asciiTheme="minorHAnsi" w:hAnsiTheme="minorHAnsi"/>
        </w:rPr>
        <w:t>3</w:t>
      </w:r>
      <w:r>
        <w:rPr>
          <w:rFonts w:asciiTheme="minorHAnsi" w:hAnsiTheme="minorHAnsi"/>
        </w:rPr>
        <w:t xml:space="preserve"> </w:t>
      </w:r>
      <w:r w:rsidRPr="00DC1615">
        <w:rPr>
          <w:rFonts w:asciiTheme="minorHAnsi" w:hAnsiTheme="minorHAnsi"/>
        </w:rPr>
        <w:t>were passed as ordinary resolutions</w:t>
      </w:r>
      <w:r w:rsidR="005A400D">
        <w:rPr>
          <w:rFonts w:asciiTheme="minorHAnsi" w:hAnsiTheme="minorHAnsi"/>
        </w:rPr>
        <w:t xml:space="preserve">, </w:t>
      </w:r>
      <w:r w:rsidR="005A400D" w:rsidRPr="00BB68A5">
        <w:rPr>
          <w:rFonts w:asciiTheme="minorHAnsi" w:hAnsiTheme="minorHAnsi"/>
        </w:rPr>
        <w:t>Resolution 14 was withdrawn by the Chairman.</w:t>
      </w:r>
    </w:p>
    <w:p w14:paraId="0D2A6AD1" w14:textId="77777777" w:rsidR="00B84F18" w:rsidRDefault="00BB68A5" w:rsidP="00426F5C">
      <w:pPr>
        <w:autoSpaceDE w:val="0"/>
        <w:autoSpaceDN w:val="0"/>
        <w:adjustRightInd w:val="0"/>
        <w:spacing w:after="0" w:line="240" w:lineRule="auto"/>
        <w:jc w:val="both"/>
        <w:rPr>
          <w:rFonts w:cstheme="minorHAnsi"/>
          <w:b/>
          <w:bCs/>
          <w:lang w:val="en-GB"/>
        </w:rPr>
      </w:pPr>
    </w:p>
    <w:p w14:paraId="00C2D75D" w14:textId="08645F38" w:rsidR="00393346" w:rsidRDefault="00884478" w:rsidP="00393346">
      <w:pPr>
        <w:pStyle w:val="Heading2"/>
      </w:pPr>
      <w:r w:rsidRPr="00426F5C">
        <w:t xml:space="preserve">Resolution </w:t>
      </w:r>
      <w:r>
        <w:t>1 (Ordinary)</w:t>
      </w:r>
      <w:bookmarkStart w:id="0" w:name="_GoBack"/>
      <w:bookmarkEnd w:id="0"/>
    </w:p>
    <w:p w14:paraId="1F4DF278" w14:textId="17450C41" w:rsidR="00604F6C" w:rsidRPr="00604F6C" w:rsidRDefault="00884478" w:rsidP="00604F6C">
      <w:pPr>
        <w:spacing w:before="20" w:line="230" w:lineRule="exact"/>
        <w:jc w:val="both"/>
        <w:textAlignment w:val="baseline"/>
        <w:rPr>
          <w:rFonts w:eastAsia="Arial" w:cstheme="minorHAnsi"/>
          <w:color w:val="000000"/>
        </w:rPr>
      </w:pPr>
      <w:r w:rsidRPr="00604F6C">
        <w:rPr>
          <w:rFonts w:eastAsia="Arial" w:cstheme="minorHAnsi"/>
          <w:color w:val="000000"/>
        </w:rPr>
        <w:t xml:space="preserve">To receive the Annual Report and Accounts for the 52 weeks ending </w:t>
      </w:r>
      <w:r w:rsidR="00196BEB">
        <w:rPr>
          <w:rFonts w:eastAsia="Arial" w:cstheme="minorHAnsi"/>
          <w:color w:val="000000"/>
        </w:rPr>
        <w:t>3</w:t>
      </w:r>
      <w:r w:rsidR="004A1D6F">
        <w:rPr>
          <w:rFonts w:eastAsia="Arial" w:cstheme="minorHAnsi"/>
          <w:color w:val="000000"/>
        </w:rPr>
        <w:t xml:space="preserve">0 </w:t>
      </w:r>
      <w:r w:rsidR="00196BEB">
        <w:rPr>
          <w:rFonts w:eastAsia="Arial" w:cstheme="minorHAnsi"/>
          <w:color w:val="000000"/>
        </w:rPr>
        <w:t>December</w:t>
      </w:r>
      <w:r w:rsidRPr="00604F6C">
        <w:rPr>
          <w:rFonts w:eastAsia="Arial" w:cstheme="minorHAnsi"/>
          <w:color w:val="000000"/>
        </w:rPr>
        <w:t xml:space="preserve"> 202</w:t>
      </w:r>
      <w:r w:rsidR="004A1D6F">
        <w:rPr>
          <w:rFonts w:eastAsia="Arial" w:cstheme="minorHAnsi"/>
          <w:color w:val="000000"/>
        </w:rPr>
        <w:t>3</w:t>
      </w:r>
      <w:r>
        <w:rPr>
          <w:rFonts w:eastAsia="Arial" w:cstheme="minorHAnsi"/>
          <w:color w:val="000000"/>
        </w:rPr>
        <w:t>.</w:t>
      </w:r>
    </w:p>
    <w:p w14:paraId="12ED444F" w14:textId="61CE0A6B" w:rsidR="00426F5C" w:rsidRDefault="00884478" w:rsidP="00393346">
      <w:pPr>
        <w:pStyle w:val="Heading2"/>
      </w:pPr>
      <w:r w:rsidRPr="00426F5C">
        <w:t xml:space="preserve">Resolution 2 </w:t>
      </w:r>
      <w:r>
        <w:t>(Ordinary)</w:t>
      </w:r>
    </w:p>
    <w:p w14:paraId="387296B2" w14:textId="0A54A240" w:rsidR="00604F6C" w:rsidRPr="00604F6C" w:rsidRDefault="00884478" w:rsidP="00604F6C">
      <w:pPr>
        <w:spacing w:before="24" w:line="230" w:lineRule="exact"/>
        <w:jc w:val="both"/>
        <w:textAlignment w:val="baseline"/>
        <w:rPr>
          <w:rFonts w:eastAsia="Arial" w:cstheme="minorHAnsi"/>
          <w:color w:val="000000"/>
          <w:spacing w:val="1"/>
        </w:rPr>
      </w:pPr>
      <w:r w:rsidRPr="00604F6C">
        <w:rPr>
          <w:rFonts w:eastAsia="Arial" w:cstheme="minorHAnsi"/>
          <w:color w:val="000000"/>
          <w:spacing w:val="1"/>
        </w:rPr>
        <w:t>To approve the directors’ remunera</w:t>
      </w:r>
      <w:r w:rsidR="00196BEB">
        <w:rPr>
          <w:rFonts w:eastAsia="Arial" w:cstheme="minorHAnsi"/>
          <w:color w:val="000000"/>
          <w:spacing w:val="1"/>
        </w:rPr>
        <w:t>tion report contained on pages 5</w:t>
      </w:r>
      <w:r w:rsidR="004A1D6F">
        <w:rPr>
          <w:rFonts w:eastAsia="Arial" w:cstheme="minorHAnsi"/>
          <w:color w:val="000000"/>
          <w:spacing w:val="1"/>
        </w:rPr>
        <w:t>4</w:t>
      </w:r>
      <w:r w:rsidRPr="00604F6C">
        <w:rPr>
          <w:rFonts w:eastAsia="Arial" w:cstheme="minorHAnsi"/>
          <w:color w:val="000000"/>
          <w:spacing w:val="1"/>
        </w:rPr>
        <w:t xml:space="preserve"> to </w:t>
      </w:r>
      <w:r w:rsidR="004A1D6F">
        <w:rPr>
          <w:rFonts w:eastAsia="Arial" w:cstheme="minorHAnsi"/>
          <w:color w:val="000000"/>
          <w:spacing w:val="1"/>
        </w:rPr>
        <w:t>71</w:t>
      </w:r>
      <w:r w:rsidRPr="00604F6C">
        <w:rPr>
          <w:rFonts w:eastAsia="Arial" w:cstheme="minorHAnsi"/>
          <w:color w:val="000000"/>
          <w:spacing w:val="1"/>
        </w:rPr>
        <w:t xml:space="preserve"> of the Annual Report</w:t>
      </w:r>
      <w:r w:rsidRPr="00604F6C">
        <w:rPr>
          <w:rFonts w:eastAsia="Arial" w:cstheme="minorHAnsi"/>
          <w:color w:val="000000"/>
        </w:rPr>
        <w:t>.</w:t>
      </w:r>
    </w:p>
    <w:p w14:paraId="2D1BE3F0" w14:textId="3EF86C8E" w:rsidR="00426F5C" w:rsidRDefault="00884478" w:rsidP="00393346">
      <w:pPr>
        <w:pStyle w:val="Heading2"/>
      </w:pPr>
      <w:r w:rsidRPr="00426F5C">
        <w:t xml:space="preserve">Resolution 3 </w:t>
      </w:r>
      <w:r>
        <w:t>(Ordinary)</w:t>
      </w:r>
    </w:p>
    <w:p w14:paraId="6EC2B757" w14:textId="5CBD0FC6" w:rsidR="00196BEB" w:rsidRDefault="00196BEB" w:rsidP="00196BEB">
      <w:pPr>
        <w:spacing w:before="24" w:line="230" w:lineRule="exact"/>
        <w:jc w:val="both"/>
        <w:textAlignment w:val="baseline"/>
        <w:rPr>
          <w:rFonts w:ascii="Calibri" w:eastAsia="Arial" w:hAnsi="Calibri" w:cs="Calibri"/>
          <w:color w:val="000000"/>
          <w:spacing w:val="1"/>
          <w:sz w:val="18"/>
          <w:szCs w:val="20"/>
          <w:lang w:val="en-GB"/>
        </w:rPr>
      </w:pPr>
      <w:r>
        <w:rPr>
          <w:rFonts w:ascii="Calibri" w:eastAsia="Arial" w:hAnsi="Calibri" w:cs="Calibri"/>
          <w:color w:val="000000"/>
          <w:spacing w:val="1"/>
        </w:rPr>
        <w:t>To declare a final dividend of 0.5</w:t>
      </w:r>
      <w:r w:rsidR="004A1D6F">
        <w:rPr>
          <w:rFonts w:ascii="Calibri" w:eastAsia="Arial" w:hAnsi="Calibri" w:cs="Calibri"/>
          <w:color w:val="000000"/>
          <w:spacing w:val="1"/>
        </w:rPr>
        <w:t>5</w:t>
      </w:r>
      <w:r>
        <w:rPr>
          <w:rFonts w:ascii="Calibri" w:eastAsia="Arial" w:hAnsi="Calibri" w:cs="Calibri"/>
          <w:color w:val="000000"/>
          <w:spacing w:val="1"/>
        </w:rPr>
        <w:t xml:space="preserve">p per ordinary share which will be paid on </w:t>
      </w:r>
      <w:r w:rsidR="004A1D6F">
        <w:rPr>
          <w:rFonts w:ascii="Calibri" w:eastAsia="Arial" w:hAnsi="Calibri" w:cs="Calibri"/>
          <w:color w:val="000000"/>
          <w:spacing w:val="1"/>
        </w:rPr>
        <w:t>10 July 2024</w:t>
      </w:r>
      <w:r>
        <w:rPr>
          <w:rFonts w:ascii="Calibri" w:eastAsia="Arial" w:hAnsi="Calibri" w:cs="Calibri"/>
          <w:color w:val="000000"/>
          <w:spacing w:val="1"/>
        </w:rPr>
        <w:t xml:space="preserve"> to all Shareholders who are on the registe</w:t>
      </w:r>
      <w:r w:rsidR="004A1D6F">
        <w:rPr>
          <w:rFonts w:ascii="Calibri" w:eastAsia="Arial" w:hAnsi="Calibri" w:cs="Calibri"/>
          <w:color w:val="000000"/>
          <w:spacing w:val="1"/>
        </w:rPr>
        <w:t>r of members of the Company on 7</w:t>
      </w:r>
      <w:r>
        <w:rPr>
          <w:rFonts w:ascii="Calibri" w:eastAsia="Arial" w:hAnsi="Calibri" w:cs="Calibri"/>
          <w:color w:val="000000"/>
          <w:spacing w:val="1"/>
        </w:rPr>
        <w:t xml:space="preserve"> June 202</w:t>
      </w:r>
      <w:r w:rsidR="004A1D6F">
        <w:rPr>
          <w:rFonts w:ascii="Calibri" w:eastAsia="Arial" w:hAnsi="Calibri" w:cs="Calibri"/>
          <w:color w:val="000000"/>
          <w:spacing w:val="1"/>
        </w:rPr>
        <w:t>4</w:t>
      </w:r>
      <w:r>
        <w:rPr>
          <w:rFonts w:ascii="Calibri" w:eastAsia="Arial" w:hAnsi="Calibri" w:cs="Calibri"/>
          <w:color w:val="000000"/>
          <w:spacing w:val="1"/>
        </w:rPr>
        <w:t>.</w:t>
      </w:r>
    </w:p>
    <w:p w14:paraId="26CD4FE9" w14:textId="2B4738C1" w:rsidR="00426F5C" w:rsidRDefault="00196BEB" w:rsidP="00196BEB">
      <w:pPr>
        <w:pStyle w:val="Heading2"/>
      </w:pPr>
      <w:r w:rsidRPr="00426F5C">
        <w:t xml:space="preserve"> </w:t>
      </w:r>
      <w:r w:rsidR="00884478" w:rsidRPr="00426F5C">
        <w:t xml:space="preserve">Resolution 4 </w:t>
      </w:r>
      <w:r w:rsidR="00884478">
        <w:t>(Ordinary)</w:t>
      </w:r>
    </w:p>
    <w:p w14:paraId="3AD853D3" w14:textId="34182C56" w:rsidR="00E34717" w:rsidRP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reappoint Mr. </w:t>
      </w:r>
      <w:r w:rsidR="00196BEB" w:rsidRPr="00E34717">
        <w:rPr>
          <w:rFonts w:eastAsia="Arial" w:cstheme="minorHAnsi"/>
          <w:color w:val="000000"/>
          <w:spacing w:val="1"/>
        </w:rPr>
        <w:t xml:space="preserve">David Montgomery </w:t>
      </w:r>
      <w:r w:rsidRPr="00E34717">
        <w:rPr>
          <w:rFonts w:eastAsia="Arial" w:cstheme="minorHAnsi"/>
          <w:color w:val="000000"/>
          <w:spacing w:val="1"/>
        </w:rPr>
        <w:t xml:space="preserve">as a director. </w:t>
      </w:r>
    </w:p>
    <w:p w14:paraId="6BB790E7" w14:textId="58C8B703" w:rsidR="00426F5C" w:rsidRDefault="00884478" w:rsidP="00393346">
      <w:pPr>
        <w:pStyle w:val="Heading2"/>
      </w:pPr>
      <w:r w:rsidRPr="00426F5C">
        <w:t xml:space="preserve">Resolution 5 </w:t>
      </w:r>
      <w:r>
        <w:t>(Ordinary)</w:t>
      </w:r>
    </w:p>
    <w:p w14:paraId="2721D1BF" w14:textId="42C36E49" w:rsidR="00E34717" w:rsidRP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reappoint Mr. Mark </w:t>
      </w:r>
      <w:proofErr w:type="spellStart"/>
      <w:r w:rsidRPr="00E34717">
        <w:rPr>
          <w:rFonts w:eastAsia="Arial" w:cstheme="minorHAnsi"/>
          <w:color w:val="000000"/>
          <w:spacing w:val="1"/>
        </w:rPr>
        <w:t>Hollinshead</w:t>
      </w:r>
      <w:proofErr w:type="spellEnd"/>
      <w:r w:rsidRPr="00E34717">
        <w:rPr>
          <w:rFonts w:eastAsia="Arial" w:cstheme="minorHAnsi"/>
          <w:color w:val="000000"/>
          <w:spacing w:val="1"/>
        </w:rPr>
        <w:t xml:space="preserve"> as a director. </w:t>
      </w:r>
    </w:p>
    <w:p w14:paraId="7C3AAFAA" w14:textId="70501C92" w:rsidR="00426F5C" w:rsidRDefault="00884478" w:rsidP="00393346">
      <w:pPr>
        <w:pStyle w:val="Heading2"/>
      </w:pPr>
      <w:r w:rsidRPr="00426F5C">
        <w:t xml:space="preserve">Resolution 6 </w:t>
      </w:r>
      <w:r>
        <w:t>(Ordinary)</w:t>
      </w:r>
    </w:p>
    <w:p w14:paraId="4C65108A" w14:textId="4735987C" w:rsidR="00E34717" w:rsidRP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reappoint Mr. </w:t>
      </w:r>
      <w:r w:rsidR="00196BEB">
        <w:rPr>
          <w:rFonts w:eastAsia="Arial" w:cstheme="minorHAnsi"/>
          <w:color w:val="000000"/>
          <w:spacing w:val="1"/>
        </w:rPr>
        <w:t>John Rowe</w:t>
      </w:r>
      <w:r w:rsidRPr="00E34717">
        <w:rPr>
          <w:rFonts w:eastAsia="Arial" w:cstheme="minorHAnsi"/>
          <w:color w:val="000000"/>
          <w:spacing w:val="1"/>
        </w:rPr>
        <w:t xml:space="preserve"> as a director. </w:t>
      </w:r>
    </w:p>
    <w:p w14:paraId="2B3C3993" w14:textId="5CD15EF1" w:rsidR="00426F5C" w:rsidRDefault="00884478" w:rsidP="00393346">
      <w:pPr>
        <w:pStyle w:val="Heading2"/>
      </w:pPr>
      <w:r w:rsidRPr="00426F5C">
        <w:t xml:space="preserve">Resolution 7 </w:t>
      </w:r>
      <w:r>
        <w:t>(Ordinary)</w:t>
      </w:r>
    </w:p>
    <w:p w14:paraId="67341BD0" w14:textId="6E280378" w:rsidR="00E34717" w:rsidRP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reappoint Mr. </w:t>
      </w:r>
      <w:r w:rsidR="00196BEB" w:rsidRPr="00E34717">
        <w:rPr>
          <w:rFonts w:eastAsia="Arial" w:cstheme="minorHAnsi"/>
          <w:color w:val="000000"/>
          <w:spacing w:val="1"/>
        </w:rPr>
        <w:t xml:space="preserve">Daniel </w:t>
      </w:r>
      <w:proofErr w:type="spellStart"/>
      <w:r w:rsidR="00196BEB" w:rsidRPr="00E34717">
        <w:rPr>
          <w:rFonts w:eastAsia="Arial" w:cstheme="minorHAnsi"/>
          <w:color w:val="000000"/>
          <w:spacing w:val="1"/>
        </w:rPr>
        <w:t>Cammiade</w:t>
      </w:r>
      <w:proofErr w:type="spellEnd"/>
      <w:r w:rsidRPr="00E34717">
        <w:rPr>
          <w:rFonts w:eastAsia="Arial" w:cstheme="minorHAnsi"/>
          <w:color w:val="000000"/>
          <w:spacing w:val="1"/>
        </w:rPr>
        <w:t xml:space="preserve"> as a director. </w:t>
      </w:r>
    </w:p>
    <w:p w14:paraId="7CC09578" w14:textId="47BA20EB" w:rsidR="00393346" w:rsidRDefault="00884478" w:rsidP="00393346">
      <w:pPr>
        <w:pStyle w:val="Heading2"/>
      </w:pPr>
      <w:r w:rsidRPr="00393346">
        <w:t>Resolution 8</w:t>
      </w:r>
      <w:r>
        <w:t xml:space="preserve"> (Ordinary)</w:t>
      </w:r>
    </w:p>
    <w:p w14:paraId="4A8DA213" w14:textId="3C5281D1" w:rsidR="00E34717" w:rsidRP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reappoint Mr. </w:t>
      </w:r>
      <w:r w:rsidR="00196BEB" w:rsidRPr="00E34717">
        <w:rPr>
          <w:rFonts w:eastAsia="Arial" w:cstheme="minorHAnsi"/>
          <w:color w:val="000000"/>
          <w:spacing w:val="1"/>
        </w:rPr>
        <w:t>David Fordham</w:t>
      </w:r>
      <w:r w:rsidRPr="00E34717">
        <w:rPr>
          <w:rFonts w:eastAsia="Arial" w:cstheme="minorHAnsi"/>
          <w:color w:val="000000"/>
          <w:spacing w:val="1"/>
        </w:rPr>
        <w:t xml:space="preserve"> as a director.</w:t>
      </w:r>
    </w:p>
    <w:p w14:paraId="033305CC" w14:textId="7DAC8756" w:rsidR="00393346" w:rsidRDefault="00884478" w:rsidP="00393346">
      <w:pPr>
        <w:pStyle w:val="Heading2"/>
      </w:pPr>
      <w:r w:rsidRPr="00393346">
        <w:t>Resolution 9</w:t>
      </w:r>
      <w:r>
        <w:t xml:space="preserve"> (Ordinary)</w:t>
      </w:r>
    </w:p>
    <w:p w14:paraId="7038F67E" w14:textId="37578F59" w:rsidR="00E34717" w:rsidRDefault="00884478"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 xml:space="preserve">To </w:t>
      </w:r>
      <w:r w:rsidR="00EE6141">
        <w:rPr>
          <w:rFonts w:eastAsia="Arial" w:cstheme="minorHAnsi"/>
          <w:color w:val="000000"/>
          <w:spacing w:val="1"/>
        </w:rPr>
        <w:t>re</w:t>
      </w:r>
      <w:r w:rsidRPr="00E34717">
        <w:rPr>
          <w:rFonts w:eastAsia="Arial" w:cstheme="minorHAnsi"/>
          <w:color w:val="000000"/>
          <w:spacing w:val="1"/>
        </w:rPr>
        <w:t xml:space="preserve">appoint Mr. David </w:t>
      </w:r>
      <w:r w:rsidR="00196BEB">
        <w:rPr>
          <w:rFonts w:eastAsia="Arial" w:cstheme="minorHAnsi"/>
          <w:color w:val="000000"/>
          <w:spacing w:val="1"/>
        </w:rPr>
        <w:t>Lindsay</w:t>
      </w:r>
      <w:r w:rsidRPr="00E34717">
        <w:rPr>
          <w:rFonts w:eastAsia="Arial" w:cstheme="minorHAnsi"/>
          <w:color w:val="000000"/>
          <w:spacing w:val="1"/>
        </w:rPr>
        <w:t xml:space="preserve"> as a director.</w:t>
      </w:r>
    </w:p>
    <w:p w14:paraId="22C4F5F4" w14:textId="10F03D65" w:rsidR="00EE6141" w:rsidRDefault="00EE6141" w:rsidP="00EE6141">
      <w:pPr>
        <w:pStyle w:val="Heading2"/>
      </w:pPr>
      <w:r w:rsidRPr="00393346">
        <w:t xml:space="preserve">Resolution </w:t>
      </w:r>
      <w:r>
        <w:t>10 (Ordinary)</w:t>
      </w:r>
    </w:p>
    <w:p w14:paraId="3BE28D08" w14:textId="67312A0A" w:rsidR="00EE6141" w:rsidRDefault="00EE6141" w:rsidP="00EE6141">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To appoint Mr</w:t>
      </w:r>
      <w:r>
        <w:rPr>
          <w:rFonts w:eastAsia="Arial" w:cstheme="minorHAnsi"/>
          <w:color w:val="000000"/>
          <w:spacing w:val="1"/>
        </w:rPr>
        <w:t>s. Sheree Manning</w:t>
      </w:r>
      <w:r w:rsidRPr="00E34717">
        <w:rPr>
          <w:rFonts w:eastAsia="Arial" w:cstheme="minorHAnsi"/>
          <w:color w:val="000000"/>
          <w:spacing w:val="1"/>
        </w:rPr>
        <w:t xml:space="preserve"> as a director.</w:t>
      </w:r>
    </w:p>
    <w:p w14:paraId="791C469D" w14:textId="4415755A" w:rsidR="00EE6141" w:rsidRDefault="00EE6141" w:rsidP="00EE6141">
      <w:pPr>
        <w:pStyle w:val="Heading2"/>
      </w:pPr>
      <w:r>
        <w:t>Resolution 11 (Ordinary)</w:t>
      </w:r>
    </w:p>
    <w:p w14:paraId="54357B38" w14:textId="7AC573FE" w:rsidR="00EE6141" w:rsidRPr="00E34717" w:rsidRDefault="00EE6141" w:rsidP="00E34717">
      <w:pPr>
        <w:spacing w:before="24" w:line="230" w:lineRule="exact"/>
        <w:jc w:val="both"/>
        <w:textAlignment w:val="baseline"/>
        <w:rPr>
          <w:rFonts w:eastAsia="Arial" w:cstheme="minorHAnsi"/>
          <w:color w:val="000000"/>
          <w:spacing w:val="1"/>
        </w:rPr>
      </w:pPr>
      <w:r w:rsidRPr="00E34717">
        <w:rPr>
          <w:rFonts w:eastAsia="Arial" w:cstheme="minorHAnsi"/>
          <w:color w:val="000000"/>
          <w:spacing w:val="1"/>
        </w:rPr>
        <w:t>To appoint Mr</w:t>
      </w:r>
      <w:r>
        <w:rPr>
          <w:rFonts w:eastAsia="Arial" w:cstheme="minorHAnsi"/>
          <w:color w:val="000000"/>
          <w:spacing w:val="1"/>
        </w:rPr>
        <w:t>s. Andrea Davies</w:t>
      </w:r>
      <w:r w:rsidRPr="00E34717">
        <w:rPr>
          <w:rFonts w:eastAsia="Arial" w:cstheme="minorHAnsi"/>
          <w:color w:val="000000"/>
          <w:spacing w:val="1"/>
        </w:rPr>
        <w:t xml:space="preserve"> as a director.</w:t>
      </w:r>
    </w:p>
    <w:p w14:paraId="4EFBC89D" w14:textId="1AC7E02D" w:rsidR="00393346" w:rsidRDefault="00884478" w:rsidP="00393346">
      <w:pPr>
        <w:pStyle w:val="Heading2"/>
      </w:pPr>
      <w:r w:rsidRPr="00393346">
        <w:lastRenderedPageBreak/>
        <w:t>Re</w:t>
      </w:r>
      <w:r w:rsidR="00196BEB">
        <w:t>solution 1</w:t>
      </w:r>
      <w:r w:rsidR="003259E0">
        <w:t>2</w:t>
      </w:r>
      <w:r>
        <w:t xml:space="preserve"> (Ordinary)</w:t>
      </w:r>
    </w:p>
    <w:p w14:paraId="4FEF1B35" w14:textId="10A0301E" w:rsidR="00E34717" w:rsidRPr="000A3378" w:rsidRDefault="00884478" w:rsidP="007F00E7">
      <w:pPr>
        <w:spacing w:before="24"/>
        <w:jc w:val="both"/>
        <w:textAlignment w:val="baseline"/>
        <w:rPr>
          <w:rFonts w:eastAsia="Arial" w:cstheme="minorHAnsi"/>
          <w:b/>
          <w:color w:val="000000"/>
        </w:rPr>
      </w:pPr>
      <w:r w:rsidRPr="000A3378">
        <w:rPr>
          <w:rFonts w:eastAsia="Arial" w:cstheme="minorHAnsi"/>
          <w:color w:val="000000"/>
          <w:spacing w:val="1"/>
        </w:rPr>
        <w:t>To reappoint Crowe U.K. LLP as auditors from the conclusion of the AGM until the conclusion of the next general meeting before which accounts are laid and to authorise the directors to fix the auditors’ remuneration.</w:t>
      </w:r>
    </w:p>
    <w:p w14:paraId="2C4C1457" w14:textId="1E11F2D9" w:rsidR="00393346" w:rsidRDefault="00196BEB" w:rsidP="00393346">
      <w:pPr>
        <w:pStyle w:val="Heading2"/>
      </w:pPr>
      <w:r>
        <w:t>Resolution 1</w:t>
      </w:r>
      <w:r w:rsidR="003259E0">
        <w:t>3</w:t>
      </w:r>
      <w:r w:rsidR="00884478">
        <w:t xml:space="preserve"> (Ordinary)</w:t>
      </w:r>
    </w:p>
    <w:p w14:paraId="6467CC3B" w14:textId="494961FD" w:rsidR="00590F94" w:rsidRPr="005A400D" w:rsidRDefault="00884478" w:rsidP="00590F94">
      <w:pPr>
        <w:pStyle w:val="O-BodyTextJ"/>
        <w:spacing w:after="0" w:line="276" w:lineRule="auto"/>
        <w:rPr>
          <w:rFonts w:asciiTheme="minorHAnsi" w:hAnsiTheme="minorHAnsi" w:cstheme="minorHAnsi"/>
          <w:b/>
          <w:bCs/>
          <w:sz w:val="22"/>
          <w:szCs w:val="22"/>
        </w:rPr>
      </w:pPr>
      <w:r w:rsidRPr="00590F94">
        <w:rPr>
          <w:rFonts w:asciiTheme="minorHAnsi" w:hAnsiTheme="minorHAnsi" w:cstheme="minorHAnsi"/>
          <w:sz w:val="22"/>
          <w:szCs w:val="22"/>
        </w:rPr>
        <w:t>To renew, for the period ending on the date of the Company’s annual general meeting in 202</w:t>
      </w:r>
      <w:r w:rsidR="00EE6141">
        <w:rPr>
          <w:rFonts w:asciiTheme="minorHAnsi" w:hAnsiTheme="minorHAnsi" w:cstheme="minorHAnsi"/>
          <w:sz w:val="22"/>
          <w:szCs w:val="22"/>
        </w:rPr>
        <w:t xml:space="preserve">5 </w:t>
      </w:r>
      <w:r w:rsidRPr="00590F94">
        <w:rPr>
          <w:rFonts w:asciiTheme="minorHAnsi" w:hAnsiTheme="minorHAnsi" w:cstheme="minorHAnsi"/>
          <w:sz w:val="22"/>
          <w:szCs w:val="22"/>
        </w:rPr>
        <w:t xml:space="preserve"> or, if earlier, at the close of business of </w:t>
      </w:r>
      <w:r w:rsidR="00EE6141">
        <w:rPr>
          <w:rFonts w:asciiTheme="minorHAnsi" w:hAnsiTheme="minorHAnsi" w:cstheme="minorHAnsi"/>
          <w:sz w:val="22"/>
          <w:szCs w:val="22"/>
        </w:rPr>
        <w:t>30</w:t>
      </w:r>
      <w:r w:rsidRPr="00590F94">
        <w:rPr>
          <w:rFonts w:asciiTheme="minorHAnsi" w:hAnsiTheme="minorHAnsi" w:cstheme="minorHAnsi"/>
          <w:sz w:val="22"/>
          <w:szCs w:val="22"/>
        </w:rPr>
        <w:t xml:space="preserve"> August 202</w:t>
      </w:r>
      <w:r w:rsidR="00EE6141">
        <w:rPr>
          <w:rFonts w:asciiTheme="minorHAnsi" w:hAnsiTheme="minorHAnsi" w:cstheme="minorHAnsi"/>
          <w:sz w:val="22"/>
          <w:szCs w:val="22"/>
        </w:rPr>
        <w:t>5</w:t>
      </w:r>
      <w:r w:rsidRPr="00590F94">
        <w:rPr>
          <w:rFonts w:asciiTheme="minorHAnsi" w:hAnsiTheme="minorHAnsi" w:cstheme="minorHAnsi"/>
          <w:sz w:val="22"/>
          <w:szCs w:val="22"/>
        </w:rPr>
        <w:t xml:space="preserve"> (being 15 months after the date of the forthcoming AGM) the authority and power conferred on the directors by the Company’s articles of association ("</w:t>
      </w:r>
      <w:r w:rsidRPr="00590F94">
        <w:rPr>
          <w:rFonts w:asciiTheme="minorHAnsi" w:hAnsiTheme="minorHAnsi" w:cstheme="minorHAnsi"/>
          <w:b/>
          <w:bCs/>
          <w:sz w:val="22"/>
          <w:szCs w:val="22"/>
        </w:rPr>
        <w:t>Articles</w:t>
      </w:r>
      <w:r w:rsidRPr="00590F94">
        <w:rPr>
          <w:rFonts w:asciiTheme="minorHAnsi" w:hAnsiTheme="minorHAnsi" w:cstheme="minorHAnsi"/>
          <w:sz w:val="22"/>
          <w:szCs w:val="22"/>
        </w:rPr>
        <w:t>") to allot relevant securities up to an aggregate nominal amount equal to the Section 551 of the 2006 Act amount of £17</w:t>
      </w:r>
      <w:r w:rsidR="00EE6141">
        <w:rPr>
          <w:rFonts w:asciiTheme="minorHAnsi" w:hAnsiTheme="minorHAnsi" w:cstheme="minorHAnsi"/>
          <w:sz w:val="22"/>
          <w:szCs w:val="22"/>
        </w:rPr>
        <w:t>8</w:t>
      </w:r>
      <w:r w:rsidRPr="00590F94">
        <w:rPr>
          <w:rFonts w:asciiTheme="minorHAnsi" w:hAnsiTheme="minorHAnsi" w:cstheme="minorHAnsi"/>
          <w:sz w:val="22"/>
          <w:szCs w:val="22"/>
        </w:rPr>
        <w:t>,</w:t>
      </w:r>
      <w:r w:rsidR="00EE6141">
        <w:rPr>
          <w:rFonts w:asciiTheme="minorHAnsi" w:hAnsiTheme="minorHAnsi" w:cstheme="minorHAnsi"/>
          <w:sz w:val="22"/>
          <w:szCs w:val="22"/>
        </w:rPr>
        <w:t>442.66</w:t>
      </w:r>
      <w:r w:rsidRPr="00590F94">
        <w:rPr>
          <w:rFonts w:asciiTheme="minorHAnsi" w:hAnsiTheme="minorHAnsi" w:cstheme="minorHAnsi"/>
          <w:sz w:val="22"/>
          <w:szCs w:val="22"/>
        </w:rPr>
        <w:t xml:space="preserve"> representing the aggregate nominal value of two thirds of the ordinary shares of nominal value 0.1 pence each in the capital of the Company (the “</w:t>
      </w:r>
      <w:r w:rsidRPr="00590F94">
        <w:rPr>
          <w:rFonts w:asciiTheme="minorHAnsi" w:hAnsiTheme="minorHAnsi" w:cstheme="minorHAnsi"/>
          <w:b/>
          <w:bCs/>
          <w:sz w:val="22"/>
          <w:szCs w:val="22"/>
        </w:rPr>
        <w:t>Ordinary Shares</w:t>
      </w:r>
      <w:r w:rsidRPr="00590F94">
        <w:rPr>
          <w:rFonts w:asciiTheme="minorHAnsi" w:hAnsiTheme="minorHAnsi" w:cstheme="minorHAnsi"/>
          <w:sz w:val="22"/>
          <w:szCs w:val="22"/>
        </w:rPr>
        <w:t>”), provided that in relation to any allotment of relevant securities in excess of £8</w:t>
      </w:r>
      <w:r w:rsidR="00EE6141">
        <w:rPr>
          <w:rFonts w:asciiTheme="minorHAnsi" w:hAnsiTheme="minorHAnsi" w:cstheme="minorHAnsi"/>
          <w:sz w:val="22"/>
          <w:szCs w:val="22"/>
        </w:rPr>
        <w:t>9</w:t>
      </w:r>
      <w:r w:rsidRPr="00590F94">
        <w:rPr>
          <w:rFonts w:asciiTheme="minorHAnsi" w:hAnsiTheme="minorHAnsi" w:cstheme="minorHAnsi"/>
          <w:sz w:val="22"/>
          <w:szCs w:val="22"/>
        </w:rPr>
        <w:t>,</w:t>
      </w:r>
      <w:r w:rsidR="00EE6141">
        <w:rPr>
          <w:rFonts w:asciiTheme="minorHAnsi" w:hAnsiTheme="minorHAnsi" w:cstheme="minorHAnsi"/>
          <w:sz w:val="22"/>
          <w:szCs w:val="22"/>
        </w:rPr>
        <w:t>221.33</w:t>
      </w:r>
      <w:r w:rsidRPr="00590F94">
        <w:rPr>
          <w:rFonts w:asciiTheme="minorHAnsi" w:hAnsiTheme="minorHAnsi" w:cstheme="minorHAnsi"/>
          <w:sz w:val="22"/>
          <w:szCs w:val="22"/>
        </w:rPr>
        <w:t xml:space="preserve"> representing the aggregate nominal value of one third of the Ordinary Shares, such authority shall only be used if the relevant securities are equity securities (as defined in Section 560(1) of the 2006 Act and they are allotted in connection with a rights issue or other pre-emptive issues of equity shares which </w:t>
      </w:r>
      <w:r w:rsidRPr="005A400D">
        <w:rPr>
          <w:rFonts w:asciiTheme="minorHAnsi" w:hAnsiTheme="minorHAnsi" w:cstheme="minorHAnsi"/>
          <w:sz w:val="22"/>
          <w:szCs w:val="22"/>
        </w:rPr>
        <w:t>satisfies the conditions and may be subject to all or any of the exclusions specified in (b)(</w:t>
      </w:r>
      <w:proofErr w:type="spellStart"/>
      <w:r w:rsidRPr="005A400D">
        <w:rPr>
          <w:rFonts w:asciiTheme="minorHAnsi" w:hAnsiTheme="minorHAnsi" w:cstheme="minorHAnsi"/>
          <w:sz w:val="22"/>
          <w:szCs w:val="22"/>
        </w:rPr>
        <w:t>i</w:t>
      </w:r>
      <w:proofErr w:type="spellEnd"/>
      <w:r w:rsidRPr="005A400D">
        <w:rPr>
          <w:rFonts w:asciiTheme="minorHAnsi" w:hAnsiTheme="minorHAnsi" w:cstheme="minorHAnsi"/>
          <w:sz w:val="22"/>
          <w:szCs w:val="22"/>
        </w:rPr>
        <w:t>) of Resolution 1</w:t>
      </w:r>
      <w:r w:rsidR="00EE6141" w:rsidRPr="005A400D">
        <w:rPr>
          <w:rFonts w:asciiTheme="minorHAnsi" w:hAnsiTheme="minorHAnsi" w:cstheme="minorHAnsi"/>
          <w:sz w:val="22"/>
          <w:szCs w:val="22"/>
        </w:rPr>
        <w:t>4</w:t>
      </w:r>
      <w:r w:rsidRPr="005A400D">
        <w:rPr>
          <w:rFonts w:asciiTheme="minorHAnsi" w:hAnsiTheme="minorHAnsi" w:cstheme="minorHAnsi"/>
          <w:sz w:val="22"/>
          <w:szCs w:val="22"/>
        </w:rPr>
        <w:t>, provided that the Company may before such expiry, variation or revocation make an offer or agreement which would or might require such relevant or equity securities to be allotted after such expiry, variation or revocation and the directors of the Company may allot relevant or equity securities pursuant to such an offer or agreement as if the authority conferred hereby had not expired or been varied or revoked.</w:t>
      </w:r>
    </w:p>
    <w:p w14:paraId="5CB4CC48" w14:textId="77777777" w:rsidR="0075311D" w:rsidRPr="005A400D" w:rsidRDefault="0075311D" w:rsidP="0075311D">
      <w:pPr>
        <w:pStyle w:val="Heading2"/>
      </w:pPr>
      <w:r w:rsidRPr="005A400D">
        <w:t>Resolution 14 (Special)</w:t>
      </w:r>
    </w:p>
    <w:p w14:paraId="37A7BB65" w14:textId="3E1D8BB0" w:rsidR="0075311D" w:rsidRPr="005A400D" w:rsidRDefault="005A400D" w:rsidP="005A400D">
      <w:pPr>
        <w:pStyle w:val="O-BodyTextJ"/>
        <w:spacing w:after="0" w:line="276" w:lineRule="auto"/>
        <w:rPr>
          <w:rFonts w:asciiTheme="minorHAnsi" w:hAnsiTheme="minorHAnsi" w:cstheme="minorHAnsi"/>
          <w:sz w:val="22"/>
          <w:szCs w:val="22"/>
        </w:rPr>
      </w:pPr>
      <w:r w:rsidRPr="005A400D">
        <w:rPr>
          <w:rFonts w:asciiTheme="minorHAnsi" w:hAnsiTheme="minorHAnsi" w:cstheme="minorHAnsi"/>
          <w:sz w:val="22"/>
          <w:szCs w:val="22"/>
        </w:rPr>
        <w:t>Withdrawn</w:t>
      </w:r>
      <w:r w:rsidR="001F07FB">
        <w:rPr>
          <w:rFonts w:asciiTheme="minorHAnsi" w:hAnsiTheme="minorHAnsi" w:cstheme="minorHAnsi"/>
          <w:sz w:val="22"/>
          <w:szCs w:val="22"/>
        </w:rPr>
        <w:t>.</w:t>
      </w:r>
    </w:p>
    <w:p w14:paraId="15A909A2" w14:textId="652EA523" w:rsidR="00393346" w:rsidRDefault="00401200" w:rsidP="00927A26">
      <w:pPr>
        <w:ind w:left="426" w:hanging="426"/>
        <w:jc w:val="both"/>
        <w:rPr>
          <w:rFonts w:cstheme="minorHAnsi"/>
          <w:bCs/>
          <w:lang w:val="en-GB"/>
        </w:rPr>
      </w:pPr>
      <w:r>
        <w:rPr>
          <w:rFonts w:cstheme="minorHAnsi"/>
          <w:bCs/>
          <w:noProof/>
          <w:lang w:val="en-GB" w:eastAsia="en-GB"/>
        </w:rPr>
        <w:drawing>
          <wp:anchor distT="0" distB="0" distL="114300" distR="114300" simplePos="0" relativeHeight="251658240" behindDoc="1" locked="0" layoutInCell="1" allowOverlap="1" wp14:anchorId="4CF9EDE6" wp14:editId="32598DB5">
            <wp:simplePos x="0" y="0"/>
            <wp:positionH relativeFrom="column">
              <wp:posOffset>-55245</wp:posOffset>
            </wp:positionH>
            <wp:positionV relativeFrom="paragraph">
              <wp:posOffset>348615</wp:posOffset>
            </wp:positionV>
            <wp:extent cx="1905000" cy="565771"/>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ugie's Signature.tiff"/>
                    <pic:cNvPicPr/>
                  </pic:nvPicPr>
                  <pic:blipFill>
                    <a:blip r:embed="rId6">
                      <a:extLst>
                        <a:ext uri="{28A0092B-C50C-407E-A947-70E740481C1C}">
                          <a14:useLocalDpi xmlns:a14="http://schemas.microsoft.com/office/drawing/2010/main" val="0"/>
                        </a:ext>
                      </a:extLst>
                    </a:blip>
                    <a:stretch>
                      <a:fillRect/>
                    </a:stretch>
                  </pic:blipFill>
                  <pic:spPr>
                    <a:xfrm>
                      <a:off x="0" y="0"/>
                      <a:ext cx="1905000" cy="565771"/>
                    </a:xfrm>
                    <a:prstGeom prst="rect">
                      <a:avLst/>
                    </a:prstGeom>
                  </pic:spPr>
                </pic:pic>
              </a:graphicData>
            </a:graphic>
            <wp14:sizeRelH relativeFrom="margin">
              <wp14:pctWidth>0</wp14:pctWidth>
            </wp14:sizeRelH>
            <wp14:sizeRelV relativeFrom="margin">
              <wp14:pctHeight>0</wp14:pctHeight>
            </wp14:sizeRelV>
          </wp:anchor>
        </w:drawing>
      </w:r>
    </w:p>
    <w:p w14:paraId="36521EF4" w14:textId="4BAA73F0" w:rsidR="00080EB4" w:rsidRPr="00EE5161" w:rsidRDefault="00080EB4" w:rsidP="00927A26">
      <w:pPr>
        <w:ind w:left="426" w:hanging="426"/>
        <w:jc w:val="both"/>
        <w:rPr>
          <w:rFonts w:cstheme="minorHAnsi"/>
          <w:bCs/>
          <w:lang w:val="en-GB"/>
        </w:rPr>
      </w:pPr>
    </w:p>
    <w:p w14:paraId="1F44789F" w14:textId="309E3810" w:rsidR="00B84F18" w:rsidRDefault="00884478" w:rsidP="00B84F18">
      <w:pPr>
        <w:autoSpaceDE w:val="0"/>
        <w:autoSpaceDN w:val="0"/>
        <w:adjustRightInd w:val="0"/>
        <w:spacing w:after="0" w:line="240" w:lineRule="auto"/>
        <w:jc w:val="both"/>
        <w:rPr>
          <w:rFonts w:cstheme="minorHAnsi"/>
          <w:bCs/>
          <w:lang w:val="en-GB"/>
        </w:rPr>
      </w:pPr>
      <w:r>
        <w:rPr>
          <w:rFonts w:cstheme="minorHAnsi"/>
          <w:bCs/>
          <w:lang w:val="en-GB"/>
        </w:rPr>
        <w:t>_________________</w:t>
      </w:r>
      <w:r w:rsidR="00401200">
        <w:rPr>
          <w:rFonts w:cstheme="minorHAnsi"/>
          <w:bCs/>
          <w:lang w:val="en-GB"/>
        </w:rPr>
        <w:t>___</w:t>
      </w:r>
      <w:r>
        <w:rPr>
          <w:rFonts w:cstheme="minorHAnsi"/>
          <w:bCs/>
          <w:lang w:val="en-GB"/>
        </w:rPr>
        <w:t>_______</w:t>
      </w:r>
    </w:p>
    <w:p w14:paraId="6AD2CAA5" w14:textId="0FD0C7DA" w:rsidR="00884478" w:rsidRDefault="000354A7" w:rsidP="00927A26">
      <w:pPr>
        <w:autoSpaceDE w:val="0"/>
        <w:autoSpaceDN w:val="0"/>
        <w:adjustRightInd w:val="0"/>
        <w:spacing w:after="0" w:line="240" w:lineRule="auto"/>
        <w:jc w:val="both"/>
        <w:rPr>
          <w:rFonts w:cstheme="minorHAnsi"/>
          <w:bCs/>
          <w:lang w:val="en-GB"/>
        </w:rPr>
      </w:pPr>
      <w:r>
        <w:rPr>
          <w:rFonts w:cstheme="minorHAnsi"/>
          <w:bCs/>
          <w:lang w:val="en-GB"/>
        </w:rPr>
        <w:t>Douglas Easton, Company Secretary</w:t>
      </w:r>
      <w:r w:rsidR="00884478">
        <w:rPr>
          <w:rFonts w:cstheme="minorHAnsi"/>
          <w:bCs/>
          <w:lang w:val="en-GB"/>
        </w:rPr>
        <w:t xml:space="preserve"> </w:t>
      </w:r>
    </w:p>
    <w:p w14:paraId="5CDF19AF" w14:textId="731828BE" w:rsidR="00B84F18" w:rsidRPr="00B84F18" w:rsidRDefault="00A010BA" w:rsidP="00927A26">
      <w:pPr>
        <w:autoSpaceDE w:val="0"/>
        <w:autoSpaceDN w:val="0"/>
        <w:adjustRightInd w:val="0"/>
        <w:spacing w:after="0" w:line="240" w:lineRule="auto"/>
        <w:jc w:val="both"/>
        <w:rPr>
          <w:rFonts w:cstheme="minorHAnsi"/>
          <w:bCs/>
          <w:lang w:val="en-GB"/>
        </w:rPr>
      </w:pPr>
      <w:r>
        <w:rPr>
          <w:rFonts w:cstheme="minorHAnsi"/>
          <w:bCs/>
          <w:lang w:val="en-GB"/>
        </w:rPr>
        <w:t>30</w:t>
      </w:r>
      <w:r w:rsidR="00884478">
        <w:rPr>
          <w:rFonts w:cstheme="minorHAnsi"/>
          <w:bCs/>
          <w:lang w:val="en-GB"/>
        </w:rPr>
        <w:t xml:space="preserve"> May 202</w:t>
      </w:r>
      <w:r>
        <w:rPr>
          <w:rFonts w:cstheme="minorHAnsi"/>
          <w:bCs/>
          <w:lang w:val="en-GB"/>
        </w:rPr>
        <w:t>4</w:t>
      </w:r>
    </w:p>
    <w:sectPr w:rsidR="00B84F18" w:rsidRPr="00B84F18" w:rsidSect="00690671">
      <w:pgSz w:w="11907" w:h="16840" w:code="9"/>
      <w:pgMar w:top="1440" w:right="1797" w:bottom="1440" w:left="179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2020"/>
    <w:multiLevelType w:val="hybridMultilevel"/>
    <w:tmpl w:val="05E0DD96"/>
    <w:lvl w:ilvl="0" w:tplc="01B4D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D87C24"/>
    <w:multiLevelType w:val="hybridMultilevel"/>
    <w:tmpl w:val="BDC48134"/>
    <w:lvl w:ilvl="0" w:tplc="DDF23E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C7AA3"/>
    <w:multiLevelType w:val="multilevel"/>
    <w:tmpl w:val="2488D234"/>
    <w:name w:val="zzmpLNMain||LNMain|2|1|0|1|2|41||1|2|0||1|2|0||1|2|0||1|2|0||1|2|0||1|2|0||1|2|0||1|2|0||"/>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pPr>
        <w:tabs>
          <w:tab w:val="num" w:pos="720"/>
        </w:tabs>
        <w:ind w:left="720" w:hanging="720"/>
      </w:pPr>
      <w:rPr>
        <w:rFonts w:ascii="Arial" w:hAnsi="Arial" w:cs="Arial"/>
        <w:b w:val="0"/>
        <w:i w:val="0"/>
        <w:caps w:val="0"/>
        <w:color w:val="auto"/>
        <w:sz w:val="21"/>
        <w:u w:val="no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18"/>
        <w:szCs w:val="12"/>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18"/>
        <w:szCs w:val="12"/>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3" w15:restartNumberingAfterBreak="0">
    <w:nsid w:val="2B3E26A6"/>
    <w:multiLevelType w:val="hybridMultilevel"/>
    <w:tmpl w:val="05E0DD96"/>
    <w:lvl w:ilvl="0" w:tplc="01B4D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4479E"/>
    <w:multiLevelType w:val="hybridMultilevel"/>
    <w:tmpl w:val="62C6B308"/>
    <w:lvl w:ilvl="0" w:tplc="848C5C84">
      <w:start w:val="1"/>
      <w:numFmt w:val="decimal"/>
      <w:lvlText w:val="Resolu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497C20"/>
    <w:multiLevelType w:val="hybridMultilevel"/>
    <w:tmpl w:val="4390731C"/>
    <w:lvl w:ilvl="0" w:tplc="1362D980">
      <w:start w:val="1"/>
      <w:numFmt w:val="decimal"/>
      <w:lvlText w:val="Resolu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78"/>
    <w:rsid w:val="000354A7"/>
    <w:rsid w:val="00080EB4"/>
    <w:rsid w:val="00196BEB"/>
    <w:rsid w:val="001F07FB"/>
    <w:rsid w:val="003259E0"/>
    <w:rsid w:val="00401200"/>
    <w:rsid w:val="00423E88"/>
    <w:rsid w:val="004A1D6F"/>
    <w:rsid w:val="005A400D"/>
    <w:rsid w:val="005D6851"/>
    <w:rsid w:val="0075311D"/>
    <w:rsid w:val="007718FE"/>
    <w:rsid w:val="00787509"/>
    <w:rsid w:val="007906ED"/>
    <w:rsid w:val="007F00E7"/>
    <w:rsid w:val="0080716A"/>
    <w:rsid w:val="00884478"/>
    <w:rsid w:val="00A010BA"/>
    <w:rsid w:val="00BB68A5"/>
    <w:rsid w:val="00E63429"/>
    <w:rsid w:val="00EE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213"/>
  <w15:docId w15:val="{8197C88D-7E03-4090-A8A8-FCEFFBA3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paragraph" w:styleId="Heading2">
    <w:name w:val="heading 2"/>
    <w:basedOn w:val="Normal"/>
    <w:next w:val="Normal"/>
    <w:link w:val="Heading2Char"/>
    <w:uiPriority w:val="9"/>
    <w:unhideWhenUsed/>
    <w:qFormat/>
    <w:rsid w:val="00393346"/>
    <w:pPr>
      <w:spacing w:before="240"/>
      <w:ind w:left="425" w:hanging="425"/>
      <w:jc w:val="both"/>
      <w:outlineLvl w:val="1"/>
    </w:pPr>
    <w:rPr>
      <w:rFonts w:cstheme="minorHAns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F5C"/>
    <w:pPr>
      <w:ind w:left="720"/>
      <w:contextualSpacing/>
    </w:pPr>
  </w:style>
  <w:style w:type="paragraph" w:styleId="NoSpacing">
    <w:name w:val="No Spacing"/>
    <w:uiPriority w:val="99"/>
    <w:qFormat/>
    <w:rsid w:val="00B84F18"/>
    <w:pPr>
      <w:spacing w:after="0" w:line="240" w:lineRule="auto"/>
    </w:pPr>
    <w:rPr>
      <w:rFonts w:ascii="Calibri" w:eastAsia="Calibri" w:hAnsi="Calibri" w:cs="Times New Roman"/>
    </w:rPr>
  </w:style>
  <w:style w:type="character" w:styleId="Strong">
    <w:name w:val="Strong"/>
    <w:basedOn w:val="DefaultParagraphFont"/>
    <w:uiPriority w:val="22"/>
    <w:qFormat/>
    <w:rsid w:val="00B84F18"/>
    <w:rPr>
      <w:b/>
      <w:bCs/>
    </w:rPr>
  </w:style>
  <w:style w:type="paragraph" w:styleId="BalloonText">
    <w:name w:val="Balloon Text"/>
    <w:basedOn w:val="Normal"/>
    <w:link w:val="BalloonTextChar"/>
    <w:uiPriority w:val="99"/>
    <w:semiHidden/>
    <w:unhideWhenUsed/>
    <w:rsid w:val="00F86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D3"/>
    <w:rPr>
      <w:rFonts w:ascii="Segoe UI" w:hAnsi="Segoe UI" w:cs="Segoe UI"/>
      <w:sz w:val="18"/>
      <w:szCs w:val="18"/>
      <w:lang w:val="en-IE"/>
    </w:rPr>
  </w:style>
  <w:style w:type="character" w:styleId="CommentReference">
    <w:name w:val="annotation reference"/>
    <w:basedOn w:val="DefaultParagraphFont"/>
    <w:uiPriority w:val="99"/>
    <w:semiHidden/>
    <w:unhideWhenUsed/>
    <w:rsid w:val="00EE5161"/>
    <w:rPr>
      <w:sz w:val="16"/>
      <w:szCs w:val="16"/>
    </w:rPr>
  </w:style>
  <w:style w:type="paragraph" w:styleId="CommentText">
    <w:name w:val="annotation text"/>
    <w:basedOn w:val="Normal"/>
    <w:link w:val="CommentTextChar"/>
    <w:uiPriority w:val="99"/>
    <w:semiHidden/>
    <w:unhideWhenUsed/>
    <w:rsid w:val="00EE5161"/>
    <w:pPr>
      <w:spacing w:line="240" w:lineRule="auto"/>
    </w:pPr>
    <w:rPr>
      <w:sz w:val="20"/>
      <w:szCs w:val="20"/>
    </w:rPr>
  </w:style>
  <w:style w:type="character" w:customStyle="1" w:styleId="CommentTextChar">
    <w:name w:val="Comment Text Char"/>
    <w:basedOn w:val="DefaultParagraphFont"/>
    <w:link w:val="CommentText"/>
    <w:uiPriority w:val="99"/>
    <w:semiHidden/>
    <w:rsid w:val="00EE5161"/>
    <w:rPr>
      <w:sz w:val="20"/>
      <w:szCs w:val="20"/>
      <w:lang w:val="en-IE"/>
    </w:rPr>
  </w:style>
  <w:style w:type="paragraph" w:styleId="CommentSubject">
    <w:name w:val="annotation subject"/>
    <w:basedOn w:val="CommentText"/>
    <w:next w:val="CommentText"/>
    <w:link w:val="CommentSubjectChar"/>
    <w:uiPriority w:val="99"/>
    <w:semiHidden/>
    <w:unhideWhenUsed/>
    <w:rsid w:val="00EE5161"/>
    <w:rPr>
      <w:b/>
      <w:bCs/>
    </w:rPr>
  </w:style>
  <w:style w:type="character" w:customStyle="1" w:styleId="CommentSubjectChar">
    <w:name w:val="Comment Subject Char"/>
    <w:basedOn w:val="CommentTextChar"/>
    <w:link w:val="CommentSubject"/>
    <w:uiPriority w:val="99"/>
    <w:semiHidden/>
    <w:rsid w:val="00EE5161"/>
    <w:rPr>
      <w:b/>
      <w:bCs/>
      <w:sz w:val="20"/>
      <w:szCs w:val="20"/>
      <w:lang w:val="en-IE"/>
    </w:rPr>
  </w:style>
  <w:style w:type="paragraph" w:styleId="Revision">
    <w:name w:val="Revision"/>
    <w:hidden/>
    <w:uiPriority w:val="99"/>
    <w:semiHidden/>
    <w:rsid w:val="00EE5161"/>
    <w:pPr>
      <w:spacing w:after="0" w:line="240" w:lineRule="auto"/>
    </w:pPr>
    <w:rPr>
      <w:lang w:val="en-IE"/>
    </w:rPr>
  </w:style>
  <w:style w:type="character" w:customStyle="1" w:styleId="Heading2Char">
    <w:name w:val="Heading 2 Char"/>
    <w:basedOn w:val="DefaultParagraphFont"/>
    <w:link w:val="Heading2"/>
    <w:uiPriority w:val="9"/>
    <w:rsid w:val="00393346"/>
    <w:rPr>
      <w:rFonts w:cstheme="minorHAnsi"/>
      <w:b/>
      <w:bCs/>
    </w:rPr>
  </w:style>
  <w:style w:type="paragraph" w:customStyle="1" w:styleId="O-BodyTextJ">
    <w:name w:val="O-Body Text (J)"/>
    <w:aliases w:val="3Body,s13"/>
    <w:basedOn w:val="Normal"/>
    <w:link w:val="O-BodyTextJChar"/>
    <w:uiPriority w:val="7"/>
    <w:qFormat/>
    <w:rsid w:val="00590F94"/>
    <w:pPr>
      <w:spacing w:after="240" w:line="300" w:lineRule="atLeast"/>
      <w:jc w:val="both"/>
    </w:pPr>
    <w:rPr>
      <w:rFonts w:ascii="Arial" w:eastAsia="Times New Roman" w:hAnsi="Arial" w:cs="Times New Roman"/>
      <w:sz w:val="21"/>
      <w:szCs w:val="21"/>
      <w:lang w:val="en-GB"/>
    </w:rPr>
  </w:style>
  <w:style w:type="character" w:customStyle="1" w:styleId="O-BodyTextJChar">
    <w:name w:val="O-Body Text (J) Char"/>
    <w:aliases w:val="3Body Char,s13 Char"/>
    <w:basedOn w:val="DefaultParagraphFont"/>
    <w:link w:val="O-BodyTextJ"/>
    <w:uiPriority w:val="7"/>
    <w:rsid w:val="00590F94"/>
    <w:rPr>
      <w:rFonts w:ascii="Arial" w:eastAsia="Times New Roman" w:hAnsi="Arial" w:cs="Times New Roman"/>
      <w:sz w:val="21"/>
      <w:szCs w:val="21"/>
    </w:rPr>
  </w:style>
  <w:style w:type="paragraph" w:customStyle="1" w:styleId="LNMainL1">
    <w:name w:val="LNMain_L1"/>
    <w:basedOn w:val="Normal"/>
    <w:next w:val="LNMainL2"/>
    <w:rsid w:val="00590F94"/>
    <w:pPr>
      <w:keepNext/>
      <w:numPr>
        <w:numId w:val="6"/>
      </w:numPr>
      <w:spacing w:after="240" w:line="300" w:lineRule="atLeast"/>
      <w:jc w:val="both"/>
      <w:outlineLvl w:val="0"/>
    </w:pPr>
    <w:rPr>
      <w:rFonts w:ascii="Arial" w:eastAsia="Times New Roman" w:hAnsi="Arial" w:cs="Times New Roman"/>
      <w:b/>
      <w:caps/>
      <w:sz w:val="21"/>
      <w:szCs w:val="20"/>
      <w:lang w:val="en-GB" w:eastAsia="x-none"/>
    </w:rPr>
  </w:style>
  <w:style w:type="paragraph" w:customStyle="1" w:styleId="LNMainL2">
    <w:name w:val="LNMain_L2"/>
    <w:basedOn w:val="LNMainL1"/>
    <w:rsid w:val="00590F94"/>
    <w:pPr>
      <w:keepNext w:val="0"/>
      <w:numPr>
        <w:ilvl w:val="1"/>
      </w:numPr>
      <w:outlineLvl w:val="1"/>
    </w:pPr>
    <w:rPr>
      <w:b w:val="0"/>
      <w:caps w:val="0"/>
    </w:rPr>
  </w:style>
  <w:style w:type="paragraph" w:customStyle="1" w:styleId="LNMainL3">
    <w:name w:val="LNMain_L3"/>
    <w:basedOn w:val="LNMainL2"/>
    <w:link w:val="LNMainL3Char"/>
    <w:rsid w:val="00590F94"/>
    <w:pPr>
      <w:numPr>
        <w:ilvl w:val="2"/>
      </w:numPr>
      <w:outlineLvl w:val="2"/>
    </w:pPr>
  </w:style>
  <w:style w:type="character" w:customStyle="1" w:styleId="LNMainL3Char">
    <w:name w:val="LNMain_L3 Char"/>
    <w:link w:val="LNMainL3"/>
    <w:rsid w:val="00590F94"/>
    <w:rPr>
      <w:rFonts w:ascii="Arial" w:eastAsia="Times New Roman" w:hAnsi="Arial" w:cs="Times New Roman"/>
      <w:sz w:val="21"/>
      <w:szCs w:val="20"/>
      <w:lang w:eastAsia="x-none"/>
    </w:rPr>
  </w:style>
  <w:style w:type="paragraph" w:customStyle="1" w:styleId="LNMainL4">
    <w:name w:val="LNMain_L4"/>
    <w:basedOn w:val="LNMainL3"/>
    <w:link w:val="LNMainL4Char"/>
    <w:rsid w:val="00590F94"/>
    <w:pPr>
      <w:numPr>
        <w:ilvl w:val="3"/>
      </w:numPr>
      <w:outlineLvl w:val="3"/>
    </w:pPr>
  </w:style>
  <w:style w:type="character" w:customStyle="1" w:styleId="LNMainL4Char">
    <w:name w:val="LNMain_L4 Char"/>
    <w:link w:val="LNMainL4"/>
    <w:rsid w:val="00590F94"/>
    <w:rPr>
      <w:rFonts w:ascii="Arial" w:eastAsia="Times New Roman" w:hAnsi="Arial" w:cs="Times New Roman"/>
      <w:sz w:val="21"/>
      <w:szCs w:val="20"/>
      <w:lang w:eastAsia="x-none"/>
    </w:rPr>
  </w:style>
  <w:style w:type="paragraph" w:customStyle="1" w:styleId="LNMainL5">
    <w:name w:val="LNMain_L5"/>
    <w:basedOn w:val="LNMainL4"/>
    <w:rsid w:val="00590F94"/>
    <w:pPr>
      <w:numPr>
        <w:ilvl w:val="4"/>
      </w:numPr>
      <w:tabs>
        <w:tab w:val="clear" w:pos="2880"/>
        <w:tab w:val="num" w:pos="360"/>
      </w:tabs>
      <w:outlineLvl w:val="4"/>
    </w:pPr>
  </w:style>
  <w:style w:type="paragraph" w:customStyle="1" w:styleId="LNMainL6">
    <w:name w:val="LNMain_L6"/>
    <w:basedOn w:val="LNMainL5"/>
    <w:rsid w:val="00590F94"/>
    <w:pPr>
      <w:numPr>
        <w:ilvl w:val="5"/>
      </w:numPr>
      <w:tabs>
        <w:tab w:val="clear" w:pos="3600"/>
        <w:tab w:val="num" w:pos="360"/>
      </w:tabs>
      <w:outlineLvl w:val="5"/>
    </w:pPr>
  </w:style>
  <w:style w:type="paragraph" w:customStyle="1" w:styleId="LNMainL7">
    <w:name w:val="LNMain_L7"/>
    <w:basedOn w:val="LNMainL6"/>
    <w:rsid w:val="00590F94"/>
    <w:pPr>
      <w:numPr>
        <w:ilvl w:val="6"/>
      </w:numPr>
      <w:tabs>
        <w:tab w:val="clear" w:pos="2160"/>
        <w:tab w:val="num" w:pos="360"/>
      </w:tabs>
      <w:outlineLvl w:val="6"/>
    </w:pPr>
  </w:style>
  <w:style w:type="paragraph" w:customStyle="1" w:styleId="LNMainL8">
    <w:name w:val="LNMain_L8"/>
    <w:basedOn w:val="LNMainL7"/>
    <w:rsid w:val="00590F94"/>
    <w:pPr>
      <w:numPr>
        <w:ilvl w:val="7"/>
      </w:numPr>
      <w:tabs>
        <w:tab w:val="clear" w:pos="2880"/>
        <w:tab w:val="num" w:pos="360"/>
      </w:tabs>
      <w:outlineLvl w:val="7"/>
    </w:pPr>
  </w:style>
  <w:style w:type="paragraph" w:customStyle="1" w:styleId="LNMainL9">
    <w:name w:val="LNMain_L9"/>
    <w:basedOn w:val="LNMainL8"/>
    <w:rsid w:val="00590F94"/>
    <w:pPr>
      <w:numPr>
        <w:ilvl w:val="8"/>
      </w:numPr>
      <w:tabs>
        <w:tab w:val="clear" w:pos="360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0186">
      <w:bodyDiv w:val="1"/>
      <w:marLeft w:val="0"/>
      <w:marRight w:val="0"/>
      <w:marTop w:val="0"/>
      <w:marBottom w:val="0"/>
      <w:divBdr>
        <w:top w:val="none" w:sz="0" w:space="0" w:color="auto"/>
        <w:left w:val="none" w:sz="0" w:space="0" w:color="auto"/>
        <w:bottom w:val="none" w:sz="0" w:space="0" w:color="auto"/>
        <w:right w:val="none" w:sz="0" w:space="0" w:color="auto"/>
      </w:divBdr>
    </w:div>
    <w:div w:id="2750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E279-9039-4BCF-B847-F58044F5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Obeng</dc:creator>
  <cp:lastModifiedBy>Linda Hawkins</cp:lastModifiedBy>
  <cp:revision>6</cp:revision>
  <cp:lastPrinted>2018-06-25T10:22:00Z</cp:lastPrinted>
  <dcterms:created xsi:type="dcterms:W3CDTF">2024-06-04T11:16:00Z</dcterms:created>
  <dcterms:modified xsi:type="dcterms:W3CDTF">2024-06-06T10:36:00Z</dcterms:modified>
</cp:coreProperties>
</file>