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2B95D" w14:textId="26EC3E6A" w:rsidR="005C4E20" w:rsidRDefault="005C4E20" w:rsidP="00C52F52">
      <w:pPr>
        <w:spacing w:after="0" w:line="240" w:lineRule="auto"/>
        <w:jc w:val="center"/>
        <w:rPr>
          <w:rFonts w:asciiTheme="minorHAnsi" w:hAnsiTheme="minorHAnsi" w:cstheme="minorHAnsi"/>
          <w:b/>
          <w:sz w:val="22"/>
        </w:rPr>
      </w:pPr>
      <w:r>
        <w:rPr>
          <w:rFonts w:asciiTheme="minorHAnsi" w:hAnsiTheme="minorHAnsi" w:cstheme="minorHAnsi"/>
          <w:b/>
          <w:sz w:val="22"/>
        </w:rPr>
        <w:t xml:space="preserve">Company number: </w:t>
      </w:r>
      <w:r w:rsidRPr="005C4E20">
        <w:rPr>
          <w:rFonts w:asciiTheme="minorHAnsi" w:hAnsiTheme="minorHAnsi" w:cstheme="minorHAnsi"/>
          <w:b/>
          <w:sz w:val="22"/>
        </w:rPr>
        <w:t>11444019</w:t>
      </w:r>
    </w:p>
    <w:p w14:paraId="6EDB59DF" w14:textId="77777777" w:rsidR="005C4E20" w:rsidRDefault="005C4E20" w:rsidP="00C52F52">
      <w:pPr>
        <w:spacing w:after="0" w:line="240" w:lineRule="auto"/>
        <w:jc w:val="center"/>
        <w:rPr>
          <w:rFonts w:asciiTheme="minorHAnsi" w:hAnsiTheme="minorHAnsi" w:cstheme="minorHAnsi"/>
          <w:b/>
          <w:sz w:val="22"/>
        </w:rPr>
      </w:pPr>
    </w:p>
    <w:p w14:paraId="6A3F91CA" w14:textId="533101FB" w:rsidR="00DE65AD" w:rsidRPr="00C52F52" w:rsidRDefault="00DE65AD" w:rsidP="00C52F52">
      <w:pPr>
        <w:spacing w:after="0" w:line="240" w:lineRule="auto"/>
        <w:jc w:val="center"/>
        <w:rPr>
          <w:rFonts w:asciiTheme="minorHAnsi" w:hAnsiTheme="minorHAnsi" w:cstheme="minorHAnsi"/>
          <w:b/>
          <w:sz w:val="22"/>
        </w:rPr>
      </w:pPr>
      <w:r w:rsidRPr="00C52F52">
        <w:rPr>
          <w:rFonts w:asciiTheme="minorHAnsi" w:hAnsiTheme="minorHAnsi" w:cstheme="minorHAnsi"/>
          <w:b/>
          <w:sz w:val="22"/>
        </w:rPr>
        <w:t>M&amp;G plc</w:t>
      </w:r>
      <w:r w:rsidR="00332EDD">
        <w:rPr>
          <w:rFonts w:asciiTheme="minorHAnsi" w:hAnsiTheme="minorHAnsi" w:cstheme="minorHAnsi"/>
          <w:b/>
          <w:sz w:val="22"/>
        </w:rPr>
        <w:t xml:space="preserve"> (the ‘Company’)</w:t>
      </w:r>
    </w:p>
    <w:p w14:paraId="23C8D3F1" w14:textId="77777777" w:rsidR="00DE65AD" w:rsidRPr="00C52F52" w:rsidRDefault="00DE65AD" w:rsidP="00C52F52">
      <w:pPr>
        <w:spacing w:after="0" w:line="240" w:lineRule="auto"/>
        <w:jc w:val="center"/>
        <w:rPr>
          <w:rFonts w:asciiTheme="minorHAnsi" w:hAnsiTheme="minorHAnsi" w:cstheme="minorHAnsi"/>
          <w:b/>
          <w:sz w:val="22"/>
        </w:rPr>
      </w:pPr>
    </w:p>
    <w:p w14:paraId="6A778B0E" w14:textId="1B0E2CFB" w:rsidR="00DE65AD" w:rsidRPr="00C52F52" w:rsidRDefault="00DE65AD" w:rsidP="00C52F52">
      <w:pPr>
        <w:spacing w:after="0" w:line="240" w:lineRule="auto"/>
        <w:jc w:val="center"/>
        <w:rPr>
          <w:rFonts w:asciiTheme="minorHAnsi" w:hAnsiTheme="minorHAnsi" w:cstheme="minorHAnsi"/>
          <w:b/>
          <w:sz w:val="22"/>
        </w:rPr>
      </w:pPr>
      <w:r w:rsidRPr="00C52F52">
        <w:rPr>
          <w:rFonts w:asciiTheme="minorHAnsi" w:hAnsiTheme="minorHAnsi" w:cstheme="minorHAnsi"/>
          <w:b/>
          <w:sz w:val="22"/>
        </w:rPr>
        <w:t>RESOLUTIONS PASSED AS SPECIAL BUSINESS ON 2</w:t>
      </w:r>
      <w:r w:rsidR="006927D3">
        <w:rPr>
          <w:rFonts w:asciiTheme="minorHAnsi" w:hAnsiTheme="minorHAnsi" w:cstheme="minorHAnsi"/>
          <w:b/>
          <w:sz w:val="22"/>
        </w:rPr>
        <w:t>5</w:t>
      </w:r>
      <w:r w:rsidRPr="00C52F52">
        <w:rPr>
          <w:rFonts w:asciiTheme="minorHAnsi" w:hAnsiTheme="minorHAnsi" w:cstheme="minorHAnsi"/>
          <w:b/>
          <w:sz w:val="22"/>
        </w:rPr>
        <w:t xml:space="preserve"> MAY 202</w:t>
      </w:r>
      <w:r w:rsidR="006927D3">
        <w:rPr>
          <w:rFonts w:asciiTheme="minorHAnsi" w:hAnsiTheme="minorHAnsi" w:cstheme="minorHAnsi"/>
          <w:b/>
          <w:sz w:val="22"/>
        </w:rPr>
        <w:t>2</w:t>
      </w:r>
    </w:p>
    <w:p w14:paraId="071E955F" w14:textId="77777777" w:rsidR="00DE65AD" w:rsidRPr="00C52F52" w:rsidRDefault="00DE65AD" w:rsidP="00C52F52">
      <w:pPr>
        <w:spacing w:after="0" w:line="240" w:lineRule="auto"/>
        <w:jc w:val="center"/>
        <w:rPr>
          <w:rFonts w:asciiTheme="minorHAnsi" w:hAnsiTheme="minorHAnsi" w:cstheme="minorHAnsi"/>
          <w:b/>
          <w:sz w:val="22"/>
        </w:rPr>
      </w:pPr>
    </w:p>
    <w:p w14:paraId="3B550599" w14:textId="77777777" w:rsidR="00DE65AD" w:rsidRPr="00C52F52" w:rsidRDefault="00DE65AD" w:rsidP="00C52F52">
      <w:pPr>
        <w:spacing w:after="0" w:line="240" w:lineRule="auto"/>
        <w:jc w:val="center"/>
        <w:rPr>
          <w:rFonts w:asciiTheme="minorHAnsi" w:hAnsiTheme="minorHAnsi" w:cstheme="minorHAnsi"/>
          <w:b/>
          <w:sz w:val="22"/>
        </w:rPr>
      </w:pPr>
    </w:p>
    <w:p w14:paraId="47C49F3D" w14:textId="1F7BAE1D" w:rsidR="00DE65AD" w:rsidRPr="00C52F52" w:rsidRDefault="00DE65AD" w:rsidP="00EE1C8E">
      <w:pPr>
        <w:spacing w:after="0" w:line="240" w:lineRule="auto"/>
        <w:jc w:val="both"/>
        <w:rPr>
          <w:rFonts w:asciiTheme="minorHAnsi" w:hAnsiTheme="minorHAnsi" w:cstheme="minorHAnsi"/>
          <w:sz w:val="22"/>
        </w:rPr>
      </w:pPr>
      <w:r w:rsidRPr="00C52F52">
        <w:rPr>
          <w:rFonts w:asciiTheme="minorHAnsi" w:hAnsiTheme="minorHAnsi" w:cstheme="minorHAnsi"/>
          <w:sz w:val="22"/>
        </w:rPr>
        <w:t xml:space="preserve">At the Company’s Annual General Meeting which was duly convened and held at 10 Fenchurch Avenue, London EC3M 5AG </w:t>
      </w:r>
      <w:r w:rsidR="007C228F">
        <w:rPr>
          <w:rFonts w:asciiTheme="minorHAnsi" w:hAnsiTheme="minorHAnsi" w:cstheme="minorHAnsi"/>
          <w:sz w:val="22"/>
        </w:rPr>
        <w:t>(with facilities for in person and virtual attendance and participation</w:t>
      </w:r>
      <w:r w:rsidR="004815B5">
        <w:rPr>
          <w:rFonts w:asciiTheme="minorHAnsi" w:hAnsiTheme="minorHAnsi" w:cstheme="minorHAnsi"/>
          <w:sz w:val="22"/>
        </w:rPr>
        <w:t xml:space="preserve">) </w:t>
      </w:r>
      <w:r w:rsidRPr="00C52F52">
        <w:rPr>
          <w:rFonts w:asciiTheme="minorHAnsi" w:hAnsiTheme="minorHAnsi" w:cstheme="minorHAnsi"/>
          <w:sz w:val="22"/>
        </w:rPr>
        <w:t>on Wednesday 2</w:t>
      </w:r>
      <w:r w:rsidR="006927D3">
        <w:rPr>
          <w:rFonts w:asciiTheme="minorHAnsi" w:hAnsiTheme="minorHAnsi" w:cstheme="minorHAnsi"/>
          <w:sz w:val="22"/>
        </w:rPr>
        <w:t>5</w:t>
      </w:r>
      <w:r w:rsidRPr="00C52F52">
        <w:rPr>
          <w:rFonts w:asciiTheme="minorHAnsi" w:hAnsiTheme="minorHAnsi" w:cstheme="minorHAnsi"/>
          <w:sz w:val="22"/>
        </w:rPr>
        <w:t xml:space="preserve"> May 202</w:t>
      </w:r>
      <w:r w:rsidR="006927D3">
        <w:rPr>
          <w:rFonts w:asciiTheme="minorHAnsi" w:hAnsiTheme="minorHAnsi" w:cstheme="minorHAnsi"/>
          <w:sz w:val="22"/>
        </w:rPr>
        <w:t>2</w:t>
      </w:r>
      <w:r w:rsidRPr="00C52F52">
        <w:rPr>
          <w:rFonts w:asciiTheme="minorHAnsi" w:hAnsiTheme="minorHAnsi" w:cstheme="minorHAnsi"/>
          <w:sz w:val="22"/>
        </w:rPr>
        <w:t xml:space="preserve">, the following resolutions were passed </w:t>
      </w:r>
      <w:r w:rsidR="00CD2D6C" w:rsidRPr="00C52F52">
        <w:rPr>
          <w:rFonts w:asciiTheme="minorHAnsi" w:hAnsiTheme="minorHAnsi" w:cstheme="minorHAnsi"/>
          <w:sz w:val="22"/>
        </w:rPr>
        <w:t>under</w:t>
      </w:r>
      <w:r w:rsidRPr="00C52F52">
        <w:rPr>
          <w:rFonts w:asciiTheme="minorHAnsi" w:hAnsiTheme="minorHAnsi" w:cstheme="minorHAnsi"/>
          <w:sz w:val="22"/>
        </w:rPr>
        <w:t xml:space="preserve"> special business. </w:t>
      </w:r>
    </w:p>
    <w:p w14:paraId="5D1DCD23" w14:textId="77777777" w:rsidR="00DE65AD" w:rsidRPr="00C52F52" w:rsidRDefault="00DE65AD" w:rsidP="00EE1C8E">
      <w:pPr>
        <w:spacing w:after="0" w:line="240" w:lineRule="auto"/>
        <w:jc w:val="both"/>
        <w:rPr>
          <w:rFonts w:asciiTheme="minorHAnsi" w:hAnsiTheme="minorHAnsi" w:cstheme="minorHAnsi"/>
          <w:sz w:val="22"/>
        </w:rPr>
      </w:pPr>
    </w:p>
    <w:p w14:paraId="5B5399B8" w14:textId="72EF3F41" w:rsidR="00DE65AD" w:rsidRPr="00C52F52" w:rsidRDefault="00DE65AD" w:rsidP="00EE1C8E">
      <w:pPr>
        <w:spacing w:after="0" w:line="240" w:lineRule="auto"/>
        <w:jc w:val="both"/>
        <w:rPr>
          <w:rFonts w:asciiTheme="minorHAnsi" w:hAnsiTheme="minorHAnsi" w:cstheme="minorHAnsi"/>
          <w:sz w:val="22"/>
        </w:rPr>
      </w:pPr>
      <w:r w:rsidRPr="000E661D">
        <w:rPr>
          <w:rFonts w:asciiTheme="minorHAnsi" w:hAnsiTheme="minorHAnsi" w:cstheme="minorHAnsi"/>
          <w:sz w:val="22"/>
        </w:rPr>
        <w:t xml:space="preserve">Resolutions </w:t>
      </w:r>
      <w:r w:rsidR="00FA56BE" w:rsidRPr="000E661D">
        <w:rPr>
          <w:rFonts w:asciiTheme="minorHAnsi" w:hAnsiTheme="minorHAnsi" w:cstheme="minorHAnsi"/>
          <w:sz w:val="22"/>
        </w:rPr>
        <w:t>1</w:t>
      </w:r>
      <w:r w:rsidR="001F114A">
        <w:rPr>
          <w:rFonts w:asciiTheme="minorHAnsi" w:hAnsiTheme="minorHAnsi" w:cstheme="minorHAnsi"/>
          <w:sz w:val="22"/>
        </w:rPr>
        <w:t>4</w:t>
      </w:r>
      <w:r w:rsidRPr="000E661D">
        <w:rPr>
          <w:rFonts w:asciiTheme="minorHAnsi" w:hAnsiTheme="minorHAnsi" w:cstheme="minorHAnsi"/>
          <w:sz w:val="22"/>
        </w:rPr>
        <w:t xml:space="preserve"> </w:t>
      </w:r>
      <w:r w:rsidR="00C52F52" w:rsidRPr="000E661D">
        <w:rPr>
          <w:rFonts w:asciiTheme="minorHAnsi" w:hAnsiTheme="minorHAnsi" w:cstheme="minorHAnsi"/>
          <w:sz w:val="22"/>
        </w:rPr>
        <w:t>to</w:t>
      </w:r>
      <w:r w:rsidRPr="000E661D">
        <w:rPr>
          <w:rFonts w:asciiTheme="minorHAnsi" w:hAnsiTheme="minorHAnsi" w:cstheme="minorHAnsi"/>
          <w:sz w:val="22"/>
        </w:rPr>
        <w:t xml:space="preserve"> </w:t>
      </w:r>
      <w:r w:rsidR="001F114A">
        <w:rPr>
          <w:rFonts w:asciiTheme="minorHAnsi" w:hAnsiTheme="minorHAnsi" w:cstheme="minorHAnsi"/>
          <w:sz w:val="22"/>
        </w:rPr>
        <w:t>17</w:t>
      </w:r>
      <w:r w:rsidR="00C52F52" w:rsidRPr="00FA56BE">
        <w:rPr>
          <w:rFonts w:asciiTheme="minorHAnsi" w:hAnsiTheme="minorHAnsi" w:cstheme="minorHAnsi"/>
          <w:sz w:val="22"/>
        </w:rPr>
        <w:t xml:space="preserve"> (inclusive)</w:t>
      </w:r>
      <w:r w:rsidRPr="00FA56BE">
        <w:rPr>
          <w:rFonts w:asciiTheme="minorHAnsi" w:hAnsiTheme="minorHAnsi" w:cstheme="minorHAnsi"/>
          <w:sz w:val="22"/>
        </w:rPr>
        <w:t xml:space="preserve"> were passed as ordinary resolutions, and </w:t>
      </w:r>
      <w:r w:rsidR="00FA56BE" w:rsidRPr="00FA56BE">
        <w:rPr>
          <w:rFonts w:asciiTheme="minorHAnsi" w:hAnsiTheme="minorHAnsi" w:cstheme="minorHAnsi"/>
          <w:sz w:val="22"/>
        </w:rPr>
        <w:t>R</w:t>
      </w:r>
      <w:r w:rsidRPr="00FA56BE">
        <w:rPr>
          <w:rFonts w:asciiTheme="minorHAnsi" w:hAnsiTheme="minorHAnsi" w:cstheme="minorHAnsi"/>
          <w:sz w:val="22"/>
        </w:rPr>
        <w:t xml:space="preserve">esolutions </w:t>
      </w:r>
      <w:r w:rsidR="00FA56BE" w:rsidRPr="000E661D">
        <w:rPr>
          <w:rFonts w:asciiTheme="minorHAnsi" w:hAnsiTheme="minorHAnsi" w:cstheme="minorHAnsi"/>
          <w:sz w:val="22"/>
        </w:rPr>
        <w:t>1</w:t>
      </w:r>
      <w:r w:rsidR="000E661D" w:rsidRPr="000E661D">
        <w:rPr>
          <w:rFonts w:asciiTheme="minorHAnsi" w:hAnsiTheme="minorHAnsi" w:cstheme="minorHAnsi"/>
          <w:sz w:val="22"/>
        </w:rPr>
        <w:t>8</w:t>
      </w:r>
      <w:r w:rsidRPr="000E661D">
        <w:rPr>
          <w:rFonts w:asciiTheme="minorHAnsi" w:hAnsiTheme="minorHAnsi" w:cstheme="minorHAnsi"/>
          <w:sz w:val="22"/>
        </w:rPr>
        <w:t xml:space="preserve"> </w:t>
      </w:r>
      <w:r w:rsidR="00C52F52" w:rsidRPr="000E661D">
        <w:rPr>
          <w:rFonts w:asciiTheme="minorHAnsi" w:hAnsiTheme="minorHAnsi" w:cstheme="minorHAnsi"/>
          <w:sz w:val="22"/>
        </w:rPr>
        <w:t>to</w:t>
      </w:r>
      <w:r w:rsidRPr="000E661D">
        <w:rPr>
          <w:rFonts w:asciiTheme="minorHAnsi" w:hAnsiTheme="minorHAnsi" w:cstheme="minorHAnsi"/>
          <w:sz w:val="22"/>
        </w:rPr>
        <w:t xml:space="preserve"> </w:t>
      </w:r>
      <w:r w:rsidR="000E661D">
        <w:rPr>
          <w:rFonts w:asciiTheme="minorHAnsi" w:hAnsiTheme="minorHAnsi" w:cstheme="minorHAnsi"/>
          <w:sz w:val="22"/>
        </w:rPr>
        <w:t>21</w:t>
      </w:r>
      <w:r w:rsidRPr="00FA56BE">
        <w:rPr>
          <w:rFonts w:asciiTheme="minorHAnsi" w:hAnsiTheme="minorHAnsi" w:cstheme="minorHAnsi"/>
          <w:sz w:val="22"/>
        </w:rPr>
        <w:t xml:space="preserve"> (inclusive) as special</w:t>
      </w:r>
      <w:r w:rsidRPr="00C52F52">
        <w:rPr>
          <w:rFonts w:asciiTheme="minorHAnsi" w:hAnsiTheme="minorHAnsi" w:cstheme="minorHAnsi"/>
          <w:sz w:val="22"/>
        </w:rPr>
        <w:t xml:space="preserve"> resolutions. </w:t>
      </w:r>
    </w:p>
    <w:p w14:paraId="5CDC020D" w14:textId="78AB9342" w:rsidR="009A37DC" w:rsidRDefault="009A37DC" w:rsidP="00EE1C8E">
      <w:pPr>
        <w:spacing w:after="0" w:line="240" w:lineRule="auto"/>
        <w:jc w:val="both"/>
        <w:rPr>
          <w:rFonts w:asciiTheme="minorHAnsi" w:hAnsiTheme="minorHAnsi" w:cstheme="minorHAnsi"/>
          <w:sz w:val="22"/>
        </w:rPr>
      </w:pPr>
    </w:p>
    <w:p w14:paraId="693D3599" w14:textId="77777777" w:rsidR="00FA56BE" w:rsidRPr="00C52F52" w:rsidRDefault="00FA56BE" w:rsidP="00EE1C8E">
      <w:pPr>
        <w:spacing w:after="0" w:line="240" w:lineRule="auto"/>
        <w:jc w:val="both"/>
        <w:rPr>
          <w:rFonts w:asciiTheme="minorHAnsi" w:hAnsiTheme="minorHAnsi" w:cstheme="minorHAnsi"/>
          <w:sz w:val="22"/>
        </w:rPr>
      </w:pPr>
    </w:p>
    <w:p w14:paraId="649A5E09" w14:textId="77777777" w:rsidR="00362080" w:rsidRPr="00362080" w:rsidRDefault="00362080" w:rsidP="00EE1C8E">
      <w:pPr>
        <w:pStyle w:val="Pa7"/>
        <w:spacing w:line="240" w:lineRule="auto"/>
        <w:jc w:val="both"/>
        <w:rPr>
          <w:rFonts w:asciiTheme="minorHAnsi" w:hAnsiTheme="minorHAnsi" w:cstheme="minorHAnsi"/>
          <w:b/>
          <w:bCs/>
          <w:sz w:val="22"/>
          <w:szCs w:val="22"/>
        </w:rPr>
      </w:pPr>
      <w:r w:rsidRPr="00362080">
        <w:rPr>
          <w:rFonts w:asciiTheme="minorHAnsi" w:hAnsiTheme="minorHAnsi" w:cstheme="minorHAnsi"/>
          <w:b/>
          <w:bCs/>
          <w:sz w:val="22"/>
          <w:szCs w:val="22"/>
        </w:rPr>
        <w:t>Political donations</w:t>
      </w:r>
    </w:p>
    <w:p w14:paraId="37E5916A" w14:textId="343B5E38" w:rsidR="00362080" w:rsidRPr="00362080" w:rsidRDefault="00362080" w:rsidP="00EE1C8E">
      <w:pPr>
        <w:pStyle w:val="Pa7"/>
        <w:spacing w:line="240" w:lineRule="auto"/>
        <w:jc w:val="both"/>
        <w:rPr>
          <w:rFonts w:asciiTheme="minorHAnsi" w:hAnsiTheme="minorHAnsi" w:cstheme="minorHAnsi"/>
          <w:sz w:val="22"/>
          <w:szCs w:val="22"/>
        </w:rPr>
      </w:pPr>
      <w:r w:rsidRPr="00362080">
        <w:rPr>
          <w:rFonts w:asciiTheme="minorHAnsi" w:hAnsiTheme="minorHAnsi" w:cstheme="minorHAnsi"/>
          <w:sz w:val="22"/>
          <w:szCs w:val="22"/>
        </w:rPr>
        <w:t>Resolution 14</w:t>
      </w:r>
    </w:p>
    <w:p w14:paraId="7D086F43" w14:textId="77777777" w:rsidR="00362080" w:rsidRPr="00362080" w:rsidRDefault="00362080" w:rsidP="00EE1C8E">
      <w:pPr>
        <w:autoSpaceDE w:val="0"/>
        <w:autoSpaceDN w:val="0"/>
        <w:adjustRightInd w:val="0"/>
        <w:jc w:val="both"/>
        <w:rPr>
          <w:rFonts w:asciiTheme="minorHAnsi" w:hAnsiTheme="minorHAnsi" w:cstheme="minorHAnsi"/>
          <w:sz w:val="22"/>
        </w:rPr>
      </w:pPr>
      <w:r w:rsidRPr="00362080">
        <w:rPr>
          <w:rFonts w:asciiTheme="minorHAnsi" w:hAnsiTheme="minorHAnsi" w:cstheme="minorHAnsi"/>
          <w:sz w:val="22"/>
        </w:rPr>
        <w:t>That, in accordance with sections 366 and 367 of the Companies Act 2006 (the ‘Act’), the Company is, and all companies that are, at any time during the period for which this resolution has effect, subsidiaries of the Company (as defined in the Act) are, authorised in aggregate to:</w:t>
      </w:r>
    </w:p>
    <w:p w14:paraId="1557A631" w14:textId="77777777" w:rsidR="00362080" w:rsidRPr="00362080" w:rsidRDefault="00362080" w:rsidP="00EE1C8E">
      <w:pPr>
        <w:pStyle w:val="ListParagraph"/>
        <w:numPr>
          <w:ilvl w:val="0"/>
          <w:numId w:val="22"/>
        </w:numPr>
        <w:autoSpaceDE w:val="0"/>
        <w:autoSpaceDN w:val="0"/>
        <w:adjustRightInd w:val="0"/>
        <w:spacing w:after="0" w:line="240" w:lineRule="auto"/>
        <w:jc w:val="both"/>
        <w:rPr>
          <w:rFonts w:asciiTheme="minorHAnsi" w:hAnsiTheme="minorHAnsi" w:cstheme="minorHAnsi"/>
          <w:sz w:val="22"/>
        </w:rPr>
      </w:pPr>
      <w:r w:rsidRPr="00362080">
        <w:rPr>
          <w:rFonts w:asciiTheme="minorHAnsi" w:hAnsiTheme="minorHAnsi" w:cstheme="minorHAnsi"/>
          <w:sz w:val="22"/>
        </w:rPr>
        <w:t>make political donations to political parties and/or independent electoral candidates not exceeding £100,000 in total;</w:t>
      </w:r>
    </w:p>
    <w:p w14:paraId="5E8F723A" w14:textId="77777777" w:rsidR="00362080" w:rsidRPr="00362080" w:rsidRDefault="00362080" w:rsidP="00EE1C8E">
      <w:pPr>
        <w:pStyle w:val="ListParagraph"/>
        <w:numPr>
          <w:ilvl w:val="0"/>
          <w:numId w:val="22"/>
        </w:numPr>
        <w:autoSpaceDE w:val="0"/>
        <w:autoSpaceDN w:val="0"/>
        <w:adjustRightInd w:val="0"/>
        <w:spacing w:after="0" w:line="240" w:lineRule="auto"/>
        <w:jc w:val="both"/>
        <w:rPr>
          <w:rFonts w:asciiTheme="minorHAnsi" w:hAnsiTheme="minorHAnsi" w:cstheme="minorHAnsi"/>
          <w:sz w:val="22"/>
        </w:rPr>
      </w:pPr>
      <w:r w:rsidRPr="00362080">
        <w:rPr>
          <w:rFonts w:asciiTheme="minorHAnsi" w:hAnsiTheme="minorHAnsi" w:cstheme="minorHAnsi"/>
          <w:sz w:val="22"/>
        </w:rPr>
        <w:t>make political donations to political organisations other than political parties not exceeding £100,000 in total; and</w:t>
      </w:r>
    </w:p>
    <w:p w14:paraId="401DFF66" w14:textId="77777777" w:rsidR="00362080" w:rsidRPr="00362080" w:rsidRDefault="00362080" w:rsidP="00EE1C8E">
      <w:pPr>
        <w:pStyle w:val="ListParagraph"/>
        <w:numPr>
          <w:ilvl w:val="0"/>
          <w:numId w:val="22"/>
        </w:numPr>
        <w:autoSpaceDE w:val="0"/>
        <w:autoSpaceDN w:val="0"/>
        <w:adjustRightInd w:val="0"/>
        <w:spacing w:after="0" w:line="240" w:lineRule="auto"/>
        <w:jc w:val="both"/>
        <w:rPr>
          <w:rFonts w:asciiTheme="minorHAnsi" w:hAnsiTheme="minorHAnsi" w:cstheme="minorHAnsi"/>
          <w:sz w:val="22"/>
        </w:rPr>
      </w:pPr>
      <w:r w:rsidRPr="00362080">
        <w:rPr>
          <w:rFonts w:asciiTheme="minorHAnsi" w:hAnsiTheme="minorHAnsi" w:cstheme="minorHAnsi"/>
          <w:sz w:val="22"/>
        </w:rPr>
        <w:t>incur political expenditure not exceeding £100,000 in total,</w:t>
      </w:r>
    </w:p>
    <w:p w14:paraId="1FC17264" w14:textId="77777777" w:rsidR="00362080" w:rsidRDefault="00362080" w:rsidP="00EE1C8E">
      <w:pPr>
        <w:autoSpaceDE w:val="0"/>
        <w:autoSpaceDN w:val="0"/>
        <w:adjustRightInd w:val="0"/>
        <w:jc w:val="both"/>
        <w:rPr>
          <w:rFonts w:asciiTheme="minorHAnsi" w:hAnsiTheme="minorHAnsi" w:cstheme="minorHAnsi"/>
          <w:sz w:val="22"/>
        </w:rPr>
      </w:pPr>
    </w:p>
    <w:p w14:paraId="0FE8C795" w14:textId="238FA533" w:rsidR="00362080" w:rsidRPr="00362080" w:rsidRDefault="00362080" w:rsidP="00EE1C8E">
      <w:pPr>
        <w:autoSpaceDE w:val="0"/>
        <w:autoSpaceDN w:val="0"/>
        <w:adjustRightInd w:val="0"/>
        <w:jc w:val="both"/>
        <w:rPr>
          <w:rFonts w:asciiTheme="minorHAnsi" w:hAnsiTheme="minorHAnsi" w:cstheme="minorHAnsi"/>
          <w:sz w:val="22"/>
        </w:rPr>
      </w:pPr>
      <w:r w:rsidRPr="00362080">
        <w:rPr>
          <w:rFonts w:asciiTheme="minorHAnsi" w:hAnsiTheme="minorHAnsi" w:cstheme="minorHAnsi"/>
          <w:sz w:val="22"/>
        </w:rPr>
        <w:t>(as such terms are defined in sections 363 to 365 of the Act) in each case during the period beginning with the date of passing this resolution until the conclusion of the Company’s annual general meeting to be held in 2023 (or, if earlier, 30 June 2023). In any event, the aggregate amount of political donations and political expenditure made or incurred under this authority shall not exceed £100,000, save that the Company may make offers and enter into agreements under</w:t>
      </w:r>
      <w:r w:rsidR="00EE1C8E">
        <w:rPr>
          <w:rFonts w:asciiTheme="minorHAnsi" w:hAnsiTheme="minorHAnsi" w:cstheme="minorHAnsi"/>
          <w:sz w:val="22"/>
        </w:rPr>
        <w:t xml:space="preserve"> </w:t>
      </w:r>
      <w:r w:rsidRPr="00362080">
        <w:rPr>
          <w:rFonts w:asciiTheme="minorHAnsi" w:hAnsiTheme="minorHAnsi" w:cstheme="minorHAnsi"/>
          <w:sz w:val="22"/>
        </w:rPr>
        <w:t>this authority prior to its expiry which would, or might, require such expenditure after expiry, and</w:t>
      </w:r>
      <w:r w:rsidR="00EE1C8E">
        <w:rPr>
          <w:rFonts w:asciiTheme="minorHAnsi" w:hAnsiTheme="minorHAnsi" w:cstheme="minorHAnsi"/>
          <w:sz w:val="22"/>
        </w:rPr>
        <w:t xml:space="preserve"> </w:t>
      </w:r>
      <w:r w:rsidRPr="00362080">
        <w:rPr>
          <w:rFonts w:asciiTheme="minorHAnsi" w:hAnsiTheme="minorHAnsi" w:cstheme="minorHAnsi"/>
          <w:sz w:val="22"/>
        </w:rPr>
        <w:t>the Directors may permit such expenditure in pursuance of any such offer or agreement as if the said authority had not expired.</w:t>
      </w:r>
    </w:p>
    <w:p w14:paraId="72933ABC" w14:textId="77777777" w:rsidR="000E661D" w:rsidRDefault="000E661D" w:rsidP="00EE1C8E">
      <w:pPr>
        <w:pStyle w:val="Pa7"/>
        <w:spacing w:line="240" w:lineRule="auto"/>
        <w:jc w:val="both"/>
        <w:rPr>
          <w:rFonts w:asciiTheme="minorHAnsi" w:hAnsiTheme="minorHAnsi" w:cstheme="minorHAnsi"/>
          <w:b/>
          <w:bCs/>
          <w:sz w:val="22"/>
          <w:szCs w:val="22"/>
        </w:rPr>
      </w:pPr>
      <w:r>
        <w:rPr>
          <w:rFonts w:asciiTheme="minorHAnsi" w:hAnsiTheme="minorHAnsi" w:cstheme="minorHAnsi"/>
          <w:b/>
          <w:bCs/>
          <w:sz w:val="22"/>
          <w:szCs w:val="22"/>
        </w:rPr>
        <w:t>Say on climate</w:t>
      </w:r>
    </w:p>
    <w:p w14:paraId="01249BFA" w14:textId="696D6263" w:rsidR="000E661D" w:rsidRDefault="000E661D" w:rsidP="00EE1C8E">
      <w:pPr>
        <w:pStyle w:val="Pa7"/>
        <w:spacing w:line="240" w:lineRule="auto"/>
        <w:jc w:val="both"/>
        <w:rPr>
          <w:rFonts w:asciiTheme="minorHAnsi" w:hAnsiTheme="minorHAnsi" w:cstheme="minorHAnsi"/>
          <w:sz w:val="22"/>
          <w:szCs w:val="22"/>
        </w:rPr>
      </w:pPr>
      <w:r>
        <w:rPr>
          <w:rFonts w:asciiTheme="minorHAnsi" w:hAnsiTheme="minorHAnsi" w:cstheme="minorHAnsi"/>
          <w:sz w:val="22"/>
          <w:szCs w:val="22"/>
        </w:rPr>
        <w:t>Resolution 15</w:t>
      </w:r>
    </w:p>
    <w:p w14:paraId="24646BF9" w14:textId="56A79CA3" w:rsidR="000E661D" w:rsidRPr="00E34CE6" w:rsidRDefault="000E661D" w:rsidP="00EE1C8E">
      <w:pPr>
        <w:pStyle w:val="Default"/>
        <w:jc w:val="both"/>
        <w:rPr>
          <w:rFonts w:asciiTheme="minorHAnsi" w:hAnsiTheme="minorHAnsi" w:cstheme="minorHAnsi"/>
          <w:sz w:val="22"/>
          <w:szCs w:val="22"/>
        </w:rPr>
      </w:pPr>
      <w:r w:rsidRPr="00E34CE6">
        <w:rPr>
          <w:rFonts w:asciiTheme="minorHAnsi" w:hAnsiTheme="minorHAnsi" w:cstheme="minorHAnsi"/>
          <w:sz w:val="22"/>
          <w:szCs w:val="22"/>
        </w:rPr>
        <w:t xml:space="preserve">To approve the Company’s Climate Transition Plan as published on the Company’s website at </w:t>
      </w:r>
      <w:r w:rsidRPr="00E34CE6">
        <w:rPr>
          <w:rFonts w:asciiTheme="minorHAnsi" w:hAnsiTheme="minorHAnsi" w:cstheme="minorHAnsi"/>
          <w:b/>
          <w:bCs/>
          <w:sz w:val="22"/>
          <w:szCs w:val="22"/>
        </w:rPr>
        <w:t xml:space="preserve">mandgplc.com </w:t>
      </w:r>
      <w:r w:rsidRPr="00E34CE6">
        <w:rPr>
          <w:rFonts w:asciiTheme="minorHAnsi" w:hAnsiTheme="minorHAnsi" w:cstheme="minorHAnsi"/>
          <w:sz w:val="22"/>
          <w:szCs w:val="22"/>
        </w:rPr>
        <w:t>and the Company’s climate-related financial disclosure for 2021 as set out on pages 44-57 of the 2021 Annual Report.</w:t>
      </w:r>
    </w:p>
    <w:p w14:paraId="00F93BEE" w14:textId="77777777" w:rsidR="000E661D" w:rsidRDefault="000E661D" w:rsidP="00EE1C8E">
      <w:pPr>
        <w:pStyle w:val="Pa7"/>
        <w:spacing w:line="240" w:lineRule="auto"/>
        <w:jc w:val="both"/>
        <w:rPr>
          <w:rFonts w:asciiTheme="minorHAnsi" w:hAnsiTheme="minorHAnsi" w:cstheme="minorHAnsi"/>
          <w:b/>
          <w:bCs/>
          <w:sz w:val="22"/>
          <w:szCs w:val="22"/>
        </w:rPr>
      </w:pPr>
    </w:p>
    <w:p w14:paraId="5E74B165" w14:textId="77777777" w:rsidR="00362080" w:rsidRPr="00362080" w:rsidRDefault="00362080" w:rsidP="00EE1C8E">
      <w:pPr>
        <w:pStyle w:val="Pa7"/>
        <w:spacing w:line="240" w:lineRule="auto"/>
        <w:jc w:val="both"/>
        <w:rPr>
          <w:rFonts w:asciiTheme="minorHAnsi" w:hAnsiTheme="minorHAnsi" w:cstheme="minorHAnsi"/>
          <w:b/>
          <w:bCs/>
          <w:sz w:val="22"/>
          <w:szCs w:val="22"/>
        </w:rPr>
      </w:pPr>
      <w:r w:rsidRPr="00362080">
        <w:rPr>
          <w:rFonts w:asciiTheme="minorHAnsi" w:hAnsiTheme="minorHAnsi" w:cstheme="minorHAnsi"/>
          <w:b/>
          <w:bCs/>
          <w:sz w:val="22"/>
          <w:szCs w:val="22"/>
        </w:rPr>
        <w:t>Authority to allot shares</w:t>
      </w:r>
    </w:p>
    <w:p w14:paraId="3DC65824" w14:textId="77777777" w:rsidR="00362080" w:rsidRPr="00362080" w:rsidRDefault="00362080" w:rsidP="00EE1C8E">
      <w:pPr>
        <w:pStyle w:val="Pa7"/>
        <w:spacing w:line="240" w:lineRule="auto"/>
        <w:jc w:val="both"/>
        <w:rPr>
          <w:rFonts w:asciiTheme="minorHAnsi" w:hAnsiTheme="minorHAnsi" w:cstheme="minorHAnsi"/>
          <w:sz w:val="22"/>
          <w:szCs w:val="22"/>
        </w:rPr>
      </w:pPr>
      <w:r w:rsidRPr="00362080">
        <w:rPr>
          <w:rFonts w:asciiTheme="minorHAnsi" w:hAnsiTheme="minorHAnsi" w:cstheme="minorHAnsi"/>
          <w:sz w:val="22"/>
          <w:szCs w:val="22"/>
        </w:rPr>
        <w:t>Resolution 16</w:t>
      </w:r>
    </w:p>
    <w:p w14:paraId="7D303EDB" w14:textId="77777777" w:rsidR="00362080" w:rsidRDefault="00362080" w:rsidP="00EE1C8E">
      <w:pPr>
        <w:pStyle w:val="Bodytext"/>
        <w:spacing w:after="0"/>
        <w:jc w:val="both"/>
        <w:rPr>
          <w:rFonts w:cstheme="minorHAnsi"/>
        </w:rPr>
      </w:pPr>
      <w:r>
        <w:rPr>
          <w:rFonts w:asciiTheme="minorHAnsi" w:hAnsiTheme="minorHAnsi" w:cstheme="minorHAnsi"/>
          <w:color w:val="auto"/>
          <w:sz w:val="22"/>
          <w:szCs w:val="22"/>
        </w:rPr>
        <w:t xml:space="preserve">That the Directors be hereby generally and unconditionally authorised pursuant to section 551 of the Act to allot shares in the Company and to grant rights to subscribe for or to convert any security into shares in the Company up to an aggregate nominal amount of </w:t>
      </w:r>
      <w:r>
        <w:rPr>
          <w:rFonts w:asciiTheme="minorHAnsi" w:hAnsiTheme="minorHAnsi" w:cstheme="minorHAnsi"/>
          <w:sz w:val="22"/>
        </w:rPr>
        <w:t>£43,278,625</w:t>
      </w:r>
      <w:r>
        <w:rPr>
          <w:rFonts w:asciiTheme="minorHAnsi" w:hAnsiTheme="minorHAnsi" w:cstheme="minorHAnsi"/>
          <w:color w:val="auto"/>
          <w:sz w:val="22"/>
          <w:szCs w:val="22"/>
        </w:rPr>
        <w:t xml:space="preserve">, being approximately one third of the nominal value of the Company’s issued share capital as at </w:t>
      </w:r>
      <w:r>
        <w:rPr>
          <w:rFonts w:cstheme="minorHAnsi"/>
        </w:rPr>
        <w:t>4</w:t>
      </w:r>
      <w:r>
        <w:rPr>
          <w:rFonts w:asciiTheme="minorHAnsi" w:hAnsiTheme="minorHAnsi" w:cstheme="minorHAnsi"/>
          <w:color w:val="auto"/>
          <w:sz w:val="22"/>
          <w:szCs w:val="22"/>
        </w:rPr>
        <w:t xml:space="preserve"> April 2022 (the latest practicable date prior to the publication of this Notice) (such amount to be reduced by the nominal amount allotted or granted under, if passed, Resolution 17, so that in total no more than </w:t>
      </w:r>
      <w:r>
        <w:rPr>
          <w:rFonts w:asciiTheme="minorHAnsi" w:hAnsiTheme="minorHAnsi" w:cstheme="minorHAnsi"/>
          <w:sz w:val="22"/>
        </w:rPr>
        <w:t xml:space="preserve">£43,278,625 can </w:t>
      </w:r>
      <w:r>
        <w:rPr>
          <w:rFonts w:asciiTheme="minorHAnsi" w:hAnsiTheme="minorHAnsi" w:cstheme="minorHAnsi"/>
          <w:color w:val="auto"/>
          <w:sz w:val="22"/>
          <w:szCs w:val="22"/>
        </w:rPr>
        <w:t>be allotted under this Resolution 16 and, if passed, Resolution 17)</w:t>
      </w:r>
      <w:r>
        <w:rPr>
          <w:rFonts w:cstheme="minorHAnsi"/>
        </w:rPr>
        <w:t>.</w:t>
      </w:r>
    </w:p>
    <w:p w14:paraId="3EE85956" w14:textId="77777777" w:rsidR="00362080" w:rsidRDefault="00362080" w:rsidP="00EE1C8E">
      <w:pPr>
        <w:pStyle w:val="Bodytext"/>
        <w:spacing w:after="0"/>
        <w:jc w:val="both"/>
        <w:rPr>
          <w:rFonts w:cstheme="minorHAnsi"/>
        </w:rPr>
      </w:pPr>
    </w:p>
    <w:p w14:paraId="72B802CB" w14:textId="77777777" w:rsidR="00362080" w:rsidRDefault="00362080" w:rsidP="00EE1C8E">
      <w:pPr>
        <w:pStyle w:val="Bodytext"/>
        <w:spacing w:after="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This authority shall apply until the conclusion of the Company’s annual general meeting to be held in 2023 (or, if earlier, 30 June 2023), but in each case, so that the Company may make offers or enter into any agreements during the relevant period which would, or might, require shares to be allotted or rights to subscribe for or convert securities into shares to be granted after the authority expires and the Directors may allot shares or grant rights to subscribe or convert securities into shares in pursuance of such offer or agreement as if the authority conferred hereby had not expired.  </w:t>
      </w:r>
    </w:p>
    <w:p w14:paraId="18501BB0" w14:textId="77777777" w:rsidR="00362080" w:rsidRDefault="00362080" w:rsidP="00EE1C8E">
      <w:pPr>
        <w:pStyle w:val="Bodytext"/>
        <w:spacing w:after="0"/>
        <w:jc w:val="both"/>
        <w:rPr>
          <w:rFonts w:asciiTheme="minorHAnsi" w:hAnsiTheme="minorHAnsi" w:cstheme="minorHAnsi"/>
          <w:color w:val="auto"/>
          <w:sz w:val="22"/>
          <w:szCs w:val="22"/>
        </w:rPr>
      </w:pPr>
    </w:p>
    <w:p w14:paraId="5442DED1" w14:textId="77777777" w:rsidR="00362080" w:rsidRDefault="00362080" w:rsidP="00EE1C8E">
      <w:pPr>
        <w:pStyle w:val="Bodytext"/>
        <w:spacing w:after="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This Resolution 16 shall be read alongside Resolution 17 which, if passed, confers the authority to allot shares and grant rights to subscribe for or convert securities into shares, in each case in connection with the issue of Mandatory Convertible Securities.  </w:t>
      </w:r>
    </w:p>
    <w:p w14:paraId="6BEFC1D2" w14:textId="77777777" w:rsidR="00362080" w:rsidRPr="00362080" w:rsidRDefault="00362080" w:rsidP="00EE1C8E">
      <w:pPr>
        <w:spacing w:after="0" w:line="240" w:lineRule="auto"/>
        <w:jc w:val="both"/>
        <w:rPr>
          <w:rFonts w:asciiTheme="minorHAnsi" w:hAnsiTheme="minorHAnsi" w:cstheme="minorHAnsi"/>
          <w:sz w:val="22"/>
        </w:rPr>
      </w:pPr>
    </w:p>
    <w:p w14:paraId="67EB933E" w14:textId="77777777" w:rsidR="00362080" w:rsidRPr="00362080" w:rsidRDefault="00362080" w:rsidP="00EE1C8E">
      <w:pPr>
        <w:spacing w:after="0" w:line="240" w:lineRule="auto"/>
        <w:jc w:val="both"/>
        <w:rPr>
          <w:rFonts w:asciiTheme="minorHAnsi" w:hAnsiTheme="minorHAnsi" w:cstheme="minorHAnsi"/>
          <w:b/>
          <w:bCs/>
          <w:sz w:val="22"/>
        </w:rPr>
      </w:pPr>
      <w:bookmarkStart w:id="0" w:name="_Hlk34892783"/>
      <w:r w:rsidRPr="00362080">
        <w:rPr>
          <w:rFonts w:asciiTheme="minorHAnsi" w:hAnsiTheme="minorHAnsi" w:cstheme="minorHAnsi"/>
          <w:b/>
          <w:bCs/>
          <w:sz w:val="22"/>
        </w:rPr>
        <w:t>Authority to allot Mandatory Convertible Securities (‘MCS’)</w:t>
      </w:r>
    </w:p>
    <w:p w14:paraId="537C9866" w14:textId="77777777" w:rsidR="00362080" w:rsidRPr="00362080" w:rsidRDefault="00362080" w:rsidP="00EE1C8E">
      <w:pPr>
        <w:spacing w:after="0" w:line="240" w:lineRule="auto"/>
        <w:jc w:val="both"/>
        <w:rPr>
          <w:rFonts w:asciiTheme="minorHAnsi" w:hAnsiTheme="minorHAnsi" w:cstheme="minorHAnsi"/>
          <w:sz w:val="22"/>
        </w:rPr>
      </w:pPr>
      <w:r w:rsidRPr="00362080">
        <w:rPr>
          <w:rFonts w:asciiTheme="minorHAnsi" w:hAnsiTheme="minorHAnsi" w:cstheme="minorHAnsi"/>
          <w:sz w:val="22"/>
        </w:rPr>
        <w:t>Resolution 17</w:t>
      </w:r>
    </w:p>
    <w:p w14:paraId="6DEF69F4" w14:textId="77777777" w:rsidR="00362080" w:rsidRDefault="00362080" w:rsidP="00EE1C8E">
      <w:pPr>
        <w:spacing w:after="0" w:line="240" w:lineRule="auto"/>
        <w:jc w:val="both"/>
        <w:rPr>
          <w:rFonts w:asciiTheme="minorHAnsi" w:hAnsiTheme="minorHAnsi" w:cstheme="minorHAnsi"/>
          <w:sz w:val="22"/>
        </w:rPr>
      </w:pPr>
      <w:r>
        <w:rPr>
          <w:rFonts w:asciiTheme="minorHAnsi" w:hAnsiTheme="minorHAnsi" w:cstheme="minorHAnsi"/>
          <w:sz w:val="22"/>
        </w:rPr>
        <w:t xml:space="preserve">That the Directors be hereby generally and unconditionally authorised pursuant to section 551 of the Act to allot shares and to grant rights to subscribe for or to convert any security into shares in relation to any issue by the Company or any subsidiary or subsidiary undertaking of the Company (together, the ‘Group’) of MCS that automatically convert into, or are exchanged for, ordinary shares in the Company in prescribed circumstances, where the Directors consider that such an issuance of MCS would be desirable, including in connection with, or for the purposes of, complying with or maintaining compliance with the regulatory capital requirements or targets applicable to the Company or to the Group from time to time: </w:t>
      </w:r>
    </w:p>
    <w:p w14:paraId="14C09ADF" w14:textId="77777777" w:rsidR="00362080" w:rsidRPr="00362080" w:rsidRDefault="00362080" w:rsidP="00EE1C8E">
      <w:pPr>
        <w:spacing w:after="0" w:line="240" w:lineRule="auto"/>
        <w:jc w:val="both"/>
        <w:rPr>
          <w:rFonts w:asciiTheme="minorHAnsi" w:hAnsiTheme="minorHAnsi" w:cstheme="minorHAnsi"/>
          <w:sz w:val="22"/>
        </w:rPr>
      </w:pPr>
    </w:p>
    <w:p w14:paraId="3C021FC6" w14:textId="77777777" w:rsidR="00362080" w:rsidRPr="00362080" w:rsidRDefault="00362080" w:rsidP="00EE1C8E">
      <w:pPr>
        <w:spacing w:after="0" w:line="240" w:lineRule="auto"/>
        <w:jc w:val="both"/>
        <w:rPr>
          <w:rFonts w:asciiTheme="minorHAnsi" w:hAnsiTheme="minorHAnsi" w:cstheme="minorHAnsi"/>
          <w:sz w:val="22"/>
        </w:rPr>
      </w:pPr>
      <w:r w:rsidRPr="00362080">
        <w:rPr>
          <w:rFonts w:asciiTheme="minorHAnsi" w:hAnsiTheme="minorHAnsi" w:cstheme="minorHAnsi"/>
          <w:sz w:val="22"/>
        </w:rPr>
        <w:t xml:space="preserve">up to an aggregate nominal amount of </w:t>
      </w:r>
      <w:r>
        <w:rPr>
          <w:rFonts w:asciiTheme="minorHAnsi" w:hAnsiTheme="minorHAnsi" w:cstheme="minorHAnsi"/>
          <w:sz w:val="22"/>
        </w:rPr>
        <w:t>£43,278,625</w:t>
      </w:r>
      <w:r w:rsidRPr="00362080">
        <w:rPr>
          <w:rFonts w:asciiTheme="minorHAnsi" w:hAnsiTheme="minorHAnsi" w:cstheme="minorHAnsi"/>
          <w:sz w:val="22"/>
        </w:rPr>
        <w:t xml:space="preserve">, being approximately one third of the nominal value of the Company’s issued share capital as at 4 April 2022 (the latest practicable date prior to the publication of this Notice) such amount to be reduced by the nominal amount allotted or granted under Resolution 16; so that in total no more than </w:t>
      </w:r>
      <w:r>
        <w:rPr>
          <w:rFonts w:asciiTheme="minorHAnsi" w:hAnsiTheme="minorHAnsi" w:cstheme="minorHAnsi"/>
          <w:sz w:val="22"/>
        </w:rPr>
        <w:t>£43,278,625</w:t>
      </w:r>
      <w:r w:rsidRPr="00362080">
        <w:rPr>
          <w:rFonts w:asciiTheme="minorHAnsi" w:hAnsiTheme="minorHAnsi" w:cstheme="minorHAnsi"/>
          <w:sz w:val="22"/>
        </w:rPr>
        <w:t xml:space="preserve"> can be allotted under Resolution 16 and this Resolution 17; and</w:t>
      </w:r>
    </w:p>
    <w:p w14:paraId="3889C2B3" w14:textId="77777777" w:rsidR="00362080" w:rsidRPr="00362080" w:rsidRDefault="00362080" w:rsidP="00EE1C8E">
      <w:pPr>
        <w:spacing w:after="0" w:line="240" w:lineRule="auto"/>
        <w:jc w:val="both"/>
        <w:rPr>
          <w:rFonts w:asciiTheme="minorHAnsi" w:hAnsiTheme="minorHAnsi" w:cstheme="minorHAnsi"/>
          <w:sz w:val="22"/>
        </w:rPr>
      </w:pPr>
      <w:r w:rsidRPr="00362080">
        <w:rPr>
          <w:rFonts w:asciiTheme="minorHAnsi" w:hAnsiTheme="minorHAnsi" w:cstheme="minorHAnsi"/>
          <w:sz w:val="22"/>
        </w:rPr>
        <w:t>subject to applicable law and regulation, at such subscription or conversion prices (or such maximum or minimum subscription or conversion price methodologies) as may be determined by the Directors from time to time.</w:t>
      </w:r>
    </w:p>
    <w:p w14:paraId="17FF29B7" w14:textId="77777777" w:rsidR="00362080" w:rsidRPr="00362080" w:rsidRDefault="00362080" w:rsidP="00EE1C8E">
      <w:pPr>
        <w:spacing w:after="0" w:line="240" w:lineRule="auto"/>
        <w:jc w:val="both"/>
        <w:rPr>
          <w:rFonts w:asciiTheme="minorHAnsi" w:hAnsiTheme="minorHAnsi" w:cstheme="minorHAnsi"/>
          <w:sz w:val="22"/>
        </w:rPr>
      </w:pPr>
    </w:p>
    <w:p w14:paraId="32F01F68" w14:textId="77777777" w:rsidR="00362080" w:rsidRPr="00362080" w:rsidRDefault="00362080" w:rsidP="00EE1C8E">
      <w:pPr>
        <w:spacing w:after="0" w:line="240" w:lineRule="auto"/>
        <w:jc w:val="both"/>
        <w:rPr>
          <w:rFonts w:asciiTheme="minorHAnsi" w:hAnsiTheme="minorHAnsi" w:cstheme="minorHAnsi"/>
          <w:sz w:val="22"/>
        </w:rPr>
      </w:pPr>
      <w:bookmarkStart w:id="1" w:name="_Hlk36476397"/>
      <w:r w:rsidRPr="00362080">
        <w:rPr>
          <w:rFonts w:asciiTheme="minorHAnsi" w:hAnsiTheme="minorHAnsi" w:cstheme="minorHAnsi"/>
          <w:sz w:val="22"/>
        </w:rPr>
        <w:t>This authority shall apply until the conclusion of the Company’s annual general meeting to be held in 202</w:t>
      </w:r>
      <w:bookmarkEnd w:id="1"/>
      <w:r w:rsidRPr="00362080">
        <w:rPr>
          <w:rFonts w:asciiTheme="minorHAnsi" w:hAnsiTheme="minorHAnsi" w:cstheme="minorHAnsi"/>
          <w:sz w:val="22"/>
        </w:rPr>
        <w:t>3 (or, if earlier, 30 June 2023), but in each case, so that the Company may make offers or enter into any agreements during the relevant period which would, or might, require shares to be allotted or rights to subscribe for or to convert securities into shares to be granted after the authority expires, and the Directors may allot shares or grant rights to subscribe for or to convert securities into shares in pursuance of such offer or agreement as if the authority conferred hereby had not expired.</w:t>
      </w:r>
      <w:bookmarkEnd w:id="0"/>
      <w:r w:rsidRPr="00362080">
        <w:rPr>
          <w:rFonts w:asciiTheme="minorHAnsi" w:hAnsiTheme="minorHAnsi" w:cstheme="minorHAnsi"/>
          <w:sz w:val="22"/>
        </w:rPr>
        <w:t xml:space="preserve"> </w:t>
      </w:r>
    </w:p>
    <w:p w14:paraId="40F1AF06" w14:textId="77777777" w:rsidR="00362080" w:rsidRPr="00362080" w:rsidRDefault="00362080" w:rsidP="00EE1C8E">
      <w:pPr>
        <w:spacing w:after="0" w:line="240" w:lineRule="auto"/>
        <w:jc w:val="both"/>
        <w:rPr>
          <w:rFonts w:asciiTheme="minorHAnsi" w:hAnsiTheme="minorHAnsi" w:cstheme="minorHAnsi"/>
          <w:sz w:val="22"/>
        </w:rPr>
      </w:pPr>
    </w:p>
    <w:p w14:paraId="12D455A5" w14:textId="2C97AA02" w:rsidR="00362080" w:rsidRDefault="00362080" w:rsidP="00EE1C8E">
      <w:pPr>
        <w:spacing w:after="0" w:line="240" w:lineRule="auto"/>
        <w:jc w:val="both"/>
        <w:rPr>
          <w:rFonts w:asciiTheme="minorHAnsi" w:hAnsiTheme="minorHAnsi" w:cstheme="minorHAnsi"/>
          <w:sz w:val="22"/>
        </w:rPr>
      </w:pPr>
      <w:r w:rsidRPr="00362080">
        <w:rPr>
          <w:rFonts w:asciiTheme="minorHAnsi" w:hAnsiTheme="minorHAnsi" w:cstheme="minorHAnsi"/>
          <w:sz w:val="22"/>
        </w:rPr>
        <w:t>This Resolution 17 shall be read alongside Resolution 16, which, if passed, confers the authority to allot shares and grant rights to subscribe for or convert securities into shares.</w:t>
      </w:r>
    </w:p>
    <w:p w14:paraId="5161E006" w14:textId="32DC2318" w:rsidR="00362080" w:rsidRDefault="00362080" w:rsidP="00EE1C8E">
      <w:pPr>
        <w:spacing w:after="0" w:line="240" w:lineRule="auto"/>
        <w:jc w:val="both"/>
        <w:rPr>
          <w:rFonts w:asciiTheme="minorHAnsi" w:hAnsiTheme="minorHAnsi" w:cstheme="minorHAnsi"/>
          <w:sz w:val="22"/>
        </w:rPr>
      </w:pPr>
    </w:p>
    <w:p w14:paraId="423B0C30" w14:textId="023FDA05" w:rsidR="00362080" w:rsidRPr="00362080" w:rsidRDefault="00362080" w:rsidP="00EE1C8E">
      <w:pPr>
        <w:spacing w:after="0" w:line="240" w:lineRule="auto"/>
        <w:jc w:val="both"/>
        <w:rPr>
          <w:rFonts w:asciiTheme="minorHAnsi" w:hAnsiTheme="minorHAnsi" w:cstheme="minorHAnsi"/>
          <w:b/>
          <w:bCs/>
          <w:sz w:val="22"/>
        </w:rPr>
      </w:pPr>
      <w:r w:rsidRPr="00362080">
        <w:rPr>
          <w:rFonts w:asciiTheme="minorHAnsi" w:hAnsiTheme="minorHAnsi" w:cstheme="minorHAnsi"/>
          <w:b/>
          <w:bCs/>
          <w:sz w:val="22"/>
        </w:rPr>
        <w:t>Special Resolutions</w:t>
      </w:r>
    </w:p>
    <w:p w14:paraId="5687A37C" w14:textId="77777777" w:rsidR="00362080" w:rsidRPr="00362080" w:rsidRDefault="00362080" w:rsidP="00EE1C8E">
      <w:pPr>
        <w:autoSpaceDE w:val="0"/>
        <w:autoSpaceDN w:val="0"/>
        <w:adjustRightInd w:val="0"/>
        <w:jc w:val="both"/>
        <w:rPr>
          <w:rFonts w:asciiTheme="minorHAnsi" w:hAnsiTheme="minorHAnsi" w:cstheme="minorHAnsi"/>
          <w:sz w:val="22"/>
        </w:rPr>
      </w:pPr>
    </w:p>
    <w:p w14:paraId="58F5E80F" w14:textId="77777777" w:rsidR="00362080" w:rsidRPr="00362080" w:rsidRDefault="00362080" w:rsidP="00EE1C8E">
      <w:pPr>
        <w:pStyle w:val="Pa7"/>
        <w:spacing w:line="240" w:lineRule="auto"/>
        <w:jc w:val="both"/>
        <w:rPr>
          <w:rFonts w:asciiTheme="minorHAnsi" w:hAnsiTheme="minorHAnsi" w:cstheme="minorHAnsi"/>
          <w:b/>
          <w:bCs/>
          <w:sz w:val="22"/>
          <w:szCs w:val="22"/>
        </w:rPr>
      </w:pPr>
      <w:r w:rsidRPr="00362080">
        <w:rPr>
          <w:rFonts w:asciiTheme="minorHAnsi" w:hAnsiTheme="minorHAnsi" w:cstheme="minorHAnsi"/>
          <w:b/>
          <w:bCs/>
          <w:sz w:val="22"/>
          <w:szCs w:val="22"/>
        </w:rPr>
        <w:t>Directors’ authority to disapply pre-emption rights for ordinary shares</w:t>
      </w:r>
    </w:p>
    <w:p w14:paraId="6CD45F7D" w14:textId="77777777" w:rsidR="00362080" w:rsidRPr="00362080" w:rsidRDefault="00362080" w:rsidP="00EE1C8E">
      <w:pPr>
        <w:pStyle w:val="Pa7"/>
        <w:spacing w:line="240" w:lineRule="auto"/>
        <w:jc w:val="both"/>
        <w:rPr>
          <w:rFonts w:asciiTheme="minorHAnsi" w:hAnsiTheme="minorHAnsi" w:cstheme="minorHAnsi"/>
          <w:sz w:val="22"/>
          <w:szCs w:val="22"/>
        </w:rPr>
      </w:pPr>
      <w:r w:rsidRPr="00362080">
        <w:rPr>
          <w:rFonts w:asciiTheme="minorHAnsi" w:hAnsiTheme="minorHAnsi" w:cstheme="minorHAnsi"/>
          <w:sz w:val="22"/>
          <w:szCs w:val="22"/>
        </w:rPr>
        <w:t>Resolution 18</w:t>
      </w:r>
    </w:p>
    <w:p w14:paraId="2A6028A9" w14:textId="77777777" w:rsidR="00362080" w:rsidRPr="00362080" w:rsidRDefault="00362080" w:rsidP="00EE1C8E">
      <w:pPr>
        <w:autoSpaceDE w:val="0"/>
        <w:autoSpaceDN w:val="0"/>
        <w:adjustRightInd w:val="0"/>
        <w:jc w:val="both"/>
        <w:rPr>
          <w:rFonts w:asciiTheme="minorHAnsi" w:hAnsiTheme="minorHAnsi" w:cstheme="minorHAnsi"/>
          <w:sz w:val="22"/>
        </w:rPr>
      </w:pPr>
      <w:r w:rsidRPr="00362080">
        <w:rPr>
          <w:rFonts w:asciiTheme="minorHAnsi" w:hAnsiTheme="minorHAnsi" w:cstheme="minorHAnsi"/>
          <w:sz w:val="22"/>
        </w:rPr>
        <w:t>That, if Resolution 16 is passed, the Directors be hereby generally empowered pursuant to sections 570 and 573 of the Act to allot equity securities (within the meaning of the Act) for cash under the authority given by that resolution and/or to sell ordinary shares held by the Company as treasury shares for cash as if section 561 of the Act did not apply to any such allotment or sale, provided that the power shall be limited to:</w:t>
      </w:r>
    </w:p>
    <w:p w14:paraId="4604A4C0" w14:textId="77777777" w:rsidR="00362080" w:rsidRPr="00362080" w:rsidRDefault="00362080" w:rsidP="00EE1C8E">
      <w:pPr>
        <w:autoSpaceDE w:val="0"/>
        <w:autoSpaceDN w:val="0"/>
        <w:adjustRightInd w:val="0"/>
        <w:jc w:val="both"/>
        <w:rPr>
          <w:rFonts w:asciiTheme="minorHAnsi" w:hAnsiTheme="minorHAnsi" w:cstheme="minorHAnsi"/>
          <w:sz w:val="22"/>
        </w:rPr>
      </w:pPr>
    </w:p>
    <w:p w14:paraId="3B312CEC" w14:textId="77777777" w:rsidR="00362080" w:rsidRPr="00362080" w:rsidRDefault="00362080" w:rsidP="00EE1C8E">
      <w:pPr>
        <w:pStyle w:val="ListParagraph"/>
        <w:numPr>
          <w:ilvl w:val="0"/>
          <w:numId w:val="24"/>
        </w:numPr>
        <w:autoSpaceDE w:val="0"/>
        <w:autoSpaceDN w:val="0"/>
        <w:adjustRightInd w:val="0"/>
        <w:spacing w:after="0" w:line="240" w:lineRule="auto"/>
        <w:jc w:val="both"/>
        <w:rPr>
          <w:rFonts w:asciiTheme="minorHAnsi" w:hAnsiTheme="minorHAnsi" w:cstheme="minorHAnsi"/>
          <w:sz w:val="22"/>
        </w:rPr>
      </w:pPr>
      <w:r w:rsidRPr="00362080">
        <w:rPr>
          <w:rFonts w:asciiTheme="minorHAnsi" w:hAnsiTheme="minorHAnsi" w:cstheme="minorHAnsi"/>
          <w:sz w:val="22"/>
        </w:rPr>
        <w:t>the allotment of equity securities and sale of treasury shares for cash in connection with an offer of, or invitation to apply for, equity securities to:</w:t>
      </w:r>
    </w:p>
    <w:p w14:paraId="68952509" w14:textId="77777777" w:rsidR="00362080" w:rsidRPr="00362080" w:rsidRDefault="00362080" w:rsidP="00EE1C8E">
      <w:pPr>
        <w:pStyle w:val="ListParagraph"/>
        <w:numPr>
          <w:ilvl w:val="0"/>
          <w:numId w:val="25"/>
        </w:numPr>
        <w:autoSpaceDE w:val="0"/>
        <w:autoSpaceDN w:val="0"/>
        <w:adjustRightInd w:val="0"/>
        <w:spacing w:after="0" w:line="240" w:lineRule="auto"/>
        <w:jc w:val="both"/>
        <w:rPr>
          <w:rFonts w:asciiTheme="minorHAnsi" w:hAnsiTheme="minorHAnsi" w:cstheme="minorHAnsi"/>
          <w:sz w:val="22"/>
        </w:rPr>
      </w:pPr>
      <w:r w:rsidRPr="00362080">
        <w:rPr>
          <w:rFonts w:asciiTheme="minorHAnsi" w:hAnsiTheme="minorHAnsi" w:cstheme="minorHAnsi"/>
          <w:sz w:val="22"/>
        </w:rPr>
        <w:t>holders of ordinary shares in proportion (as near as may be practicable) to their existing holdings; and</w:t>
      </w:r>
    </w:p>
    <w:p w14:paraId="3CBAB92A" w14:textId="77777777" w:rsidR="00362080" w:rsidRPr="00362080" w:rsidRDefault="00362080" w:rsidP="00EE1C8E">
      <w:pPr>
        <w:pStyle w:val="ListParagraph"/>
        <w:numPr>
          <w:ilvl w:val="0"/>
          <w:numId w:val="25"/>
        </w:numPr>
        <w:autoSpaceDE w:val="0"/>
        <w:autoSpaceDN w:val="0"/>
        <w:adjustRightInd w:val="0"/>
        <w:spacing w:after="0" w:line="240" w:lineRule="auto"/>
        <w:jc w:val="both"/>
        <w:rPr>
          <w:rFonts w:asciiTheme="minorHAnsi" w:hAnsiTheme="minorHAnsi" w:cstheme="minorHAnsi"/>
          <w:sz w:val="22"/>
        </w:rPr>
      </w:pPr>
      <w:r w:rsidRPr="00362080">
        <w:rPr>
          <w:rFonts w:asciiTheme="minorHAnsi" w:hAnsiTheme="minorHAnsi" w:cstheme="minorHAnsi"/>
          <w:sz w:val="22"/>
        </w:rPr>
        <w:t xml:space="preserve">holders of other equity securities as required by the rights of those securities or, as the Directors otherwise consider it necessary, </w:t>
      </w:r>
    </w:p>
    <w:p w14:paraId="625E5380" w14:textId="77777777" w:rsidR="00362080" w:rsidRPr="00362080" w:rsidRDefault="00362080" w:rsidP="00EE1C8E">
      <w:pPr>
        <w:autoSpaceDE w:val="0"/>
        <w:autoSpaceDN w:val="0"/>
        <w:adjustRightInd w:val="0"/>
        <w:ind w:left="720"/>
        <w:jc w:val="both"/>
        <w:rPr>
          <w:rFonts w:asciiTheme="minorHAnsi" w:hAnsiTheme="minorHAnsi" w:cstheme="minorHAnsi"/>
          <w:sz w:val="22"/>
        </w:rPr>
      </w:pPr>
      <w:r w:rsidRPr="00362080">
        <w:rPr>
          <w:rFonts w:asciiTheme="minorHAnsi" w:hAnsiTheme="minorHAnsi" w:cstheme="minorHAnsi"/>
          <w:sz w:val="22"/>
        </w:rPr>
        <w:t>and so that the Directors may impose any limits or restrictions and make any arrangements which they consider necessary or appropriate to deal with treasury shares, fractional entitlements, record dates, legal, regulatory or practical problems in, or under the laws of, any territory, or any matter whatsoever; and</w:t>
      </w:r>
    </w:p>
    <w:p w14:paraId="57B64E22" w14:textId="77777777" w:rsidR="00362080" w:rsidRPr="00362080" w:rsidRDefault="00362080" w:rsidP="00EE1C8E">
      <w:pPr>
        <w:pStyle w:val="ListParagraph"/>
        <w:numPr>
          <w:ilvl w:val="0"/>
          <w:numId w:val="24"/>
        </w:numPr>
        <w:autoSpaceDE w:val="0"/>
        <w:autoSpaceDN w:val="0"/>
        <w:adjustRightInd w:val="0"/>
        <w:spacing w:after="0" w:line="240" w:lineRule="auto"/>
        <w:jc w:val="both"/>
        <w:rPr>
          <w:rFonts w:asciiTheme="minorHAnsi" w:hAnsiTheme="minorHAnsi" w:cstheme="minorHAnsi"/>
          <w:sz w:val="22"/>
        </w:rPr>
      </w:pPr>
      <w:r w:rsidRPr="00362080">
        <w:rPr>
          <w:rFonts w:asciiTheme="minorHAnsi" w:hAnsiTheme="minorHAnsi" w:cstheme="minorHAnsi"/>
          <w:sz w:val="22"/>
        </w:rPr>
        <w:t>in the case of the authority granted under Resolution 16, the allotment (otherwise than under paragraph (</w:t>
      </w:r>
      <w:proofErr w:type="spellStart"/>
      <w:r w:rsidRPr="00362080">
        <w:rPr>
          <w:rFonts w:asciiTheme="minorHAnsi" w:hAnsiTheme="minorHAnsi" w:cstheme="minorHAnsi"/>
          <w:sz w:val="22"/>
        </w:rPr>
        <w:t>i</w:t>
      </w:r>
      <w:proofErr w:type="spellEnd"/>
      <w:r w:rsidRPr="00362080">
        <w:rPr>
          <w:rFonts w:asciiTheme="minorHAnsi" w:hAnsiTheme="minorHAnsi" w:cstheme="minorHAnsi"/>
          <w:sz w:val="22"/>
        </w:rPr>
        <w:t xml:space="preserve">) above) of equity securities or sale of treasury shares for cash up to an aggregate nominal amount of £6,491,790.. </w:t>
      </w:r>
    </w:p>
    <w:p w14:paraId="07E05921" w14:textId="77777777" w:rsidR="00362080" w:rsidRPr="00362080" w:rsidRDefault="00362080" w:rsidP="00EE1C8E">
      <w:pPr>
        <w:autoSpaceDE w:val="0"/>
        <w:autoSpaceDN w:val="0"/>
        <w:adjustRightInd w:val="0"/>
        <w:jc w:val="both"/>
        <w:rPr>
          <w:rFonts w:asciiTheme="minorHAnsi" w:hAnsiTheme="minorHAnsi" w:cstheme="minorHAnsi"/>
          <w:sz w:val="22"/>
        </w:rPr>
      </w:pPr>
    </w:p>
    <w:p w14:paraId="44C7F43F" w14:textId="77777777" w:rsidR="00362080" w:rsidRPr="00362080" w:rsidRDefault="00362080" w:rsidP="00EE1C8E">
      <w:pPr>
        <w:autoSpaceDE w:val="0"/>
        <w:autoSpaceDN w:val="0"/>
        <w:adjustRightInd w:val="0"/>
        <w:jc w:val="both"/>
        <w:rPr>
          <w:rFonts w:asciiTheme="minorHAnsi" w:hAnsiTheme="minorHAnsi" w:cstheme="minorHAnsi"/>
          <w:sz w:val="22"/>
        </w:rPr>
      </w:pPr>
      <w:r w:rsidRPr="00362080">
        <w:rPr>
          <w:rFonts w:asciiTheme="minorHAnsi" w:hAnsiTheme="minorHAnsi" w:cstheme="minorHAnsi"/>
          <w:sz w:val="22"/>
        </w:rPr>
        <w:t>This power shall apply until the conclusion of the annual general meeting of the Company to be held in 2023 (or, if earlier, 30 June 2023) but in each case, so that the Company may make offers and enter into agreements during the relevant period which would, or might, require equity securities to be allotted (and treasury shares to be sold) after the power expires, and the Directors may allot equity securities (and sell treasury shares) in pursuance of such offer or agreement as if the authority conferred hereby had not expired.</w:t>
      </w:r>
    </w:p>
    <w:p w14:paraId="45F1E3A3" w14:textId="77777777" w:rsidR="00362080" w:rsidRDefault="00362080" w:rsidP="00EE1C8E">
      <w:pPr>
        <w:pStyle w:val="Bodytext"/>
        <w:spacing w:after="0"/>
        <w:jc w:val="both"/>
        <w:rPr>
          <w:rFonts w:cstheme="minorHAnsi"/>
          <w:b/>
          <w:bCs/>
          <w:sz w:val="24"/>
          <w:szCs w:val="24"/>
        </w:rPr>
      </w:pPr>
    </w:p>
    <w:p w14:paraId="6BB6BA61" w14:textId="77777777" w:rsidR="00362080" w:rsidRPr="00362080" w:rsidRDefault="00362080" w:rsidP="00EE1C8E">
      <w:pPr>
        <w:pStyle w:val="Pa7"/>
        <w:spacing w:line="240" w:lineRule="auto"/>
        <w:jc w:val="both"/>
        <w:rPr>
          <w:rFonts w:asciiTheme="minorHAnsi" w:hAnsiTheme="minorHAnsi" w:cstheme="minorHAnsi"/>
          <w:b/>
          <w:bCs/>
          <w:sz w:val="22"/>
          <w:szCs w:val="22"/>
        </w:rPr>
      </w:pPr>
      <w:bookmarkStart w:id="2" w:name="_Hlk34892747"/>
      <w:r w:rsidRPr="00362080">
        <w:rPr>
          <w:rFonts w:asciiTheme="minorHAnsi" w:hAnsiTheme="minorHAnsi" w:cstheme="minorHAnsi"/>
          <w:b/>
          <w:bCs/>
          <w:sz w:val="22"/>
          <w:szCs w:val="22"/>
        </w:rPr>
        <w:t xml:space="preserve">Authority to disapply pre-emption rights for MCS issuances </w:t>
      </w:r>
    </w:p>
    <w:p w14:paraId="5C191718" w14:textId="77777777" w:rsidR="00362080" w:rsidRPr="00362080" w:rsidRDefault="00362080" w:rsidP="00EE1C8E">
      <w:pPr>
        <w:pStyle w:val="Pa7"/>
        <w:spacing w:line="240" w:lineRule="auto"/>
        <w:jc w:val="both"/>
        <w:rPr>
          <w:rFonts w:asciiTheme="minorHAnsi" w:hAnsiTheme="minorHAnsi" w:cstheme="minorHAnsi"/>
          <w:sz w:val="22"/>
          <w:szCs w:val="22"/>
        </w:rPr>
      </w:pPr>
      <w:r w:rsidRPr="00362080">
        <w:rPr>
          <w:rFonts w:asciiTheme="minorHAnsi" w:hAnsiTheme="minorHAnsi" w:cstheme="minorHAnsi"/>
          <w:sz w:val="22"/>
          <w:szCs w:val="22"/>
        </w:rPr>
        <w:t>Resolution 19</w:t>
      </w:r>
    </w:p>
    <w:p w14:paraId="4997D74C" w14:textId="77777777" w:rsidR="00362080" w:rsidRDefault="00362080" w:rsidP="00EE1C8E">
      <w:pPr>
        <w:pStyle w:val="Bodytext"/>
        <w:spacing w:after="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That, if Resolution 17 is passed, the Directors be and are hereby authorised to allot equity securities (within the meaning of the Act) for cash pursuant to the power conferred on the Directors by Resolution 17 as if section 561 of the Act did not apply to such allotment. </w:t>
      </w:r>
    </w:p>
    <w:p w14:paraId="612B67CF" w14:textId="77777777" w:rsidR="00362080" w:rsidRDefault="00362080" w:rsidP="00EE1C8E">
      <w:pPr>
        <w:pStyle w:val="Bodytext"/>
        <w:spacing w:after="0"/>
        <w:jc w:val="both"/>
        <w:rPr>
          <w:rFonts w:asciiTheme="minorHAnsi" w:hAnsiTheme="minorHAnsi" w:cstheme="minorHAnsi"/>
          <w:color w:val="auto"/>
          <w:sz w:val="22"/>
          <w:szCs w:val="22"/>
        </w:rPr>
      </w:pPr>
    </w:p>
    <w:p w14:paraId="593A4AF0" w14:textId="77777777" w:rsidR="00362080" w:rsidRDefault="00362080" w:rsidP="00EE1C8E">
      <w:pPr>
        <w:pStyle w:val="Bodytext"/>
        <w:spacing w:after="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This authority shall apply until the conclusion of the Company’s annual general meeting to be held in 2023, (or, if earlier, 30 June 2023), but in each case so that the Company may make offers and enter into agreements under this authority during the relevant period which would, or might, require equity securities to be allotted (or treasury shares to be sold) after the authority expires, and the Directors may allot equity securities (or sell treasury shares) in pursuance of such offer or agreement as if the authority conferred hereby had not expired. </w:t>
      </w:r>
      <w:bookmarkEnd w:id="2"/>
    </w:p>
    <w:p w14:paraId="251FC51C" w14:textId="77777777" w:rsidR="004815B5" w:rsidRPr="00C52F52" w:rsidRDefault="004815B5" w:rsidP="00EE1C8E">
      <w:pPr>
        <w:pStyle w:val="Default"/>
        <w:jc w:val="both"/>
        <w:rPr>
          <w:rFonts w:asciiTheme="minorHAnsi" w:hAnsiTheme="minorHAnsi" w:cstheme="minorHAnsi"/>
          <w:sz w:val="22"/>
          <w:szCs w:val="22"/>
        </w:rPr>
      </w:pPr>
    </w:p>
    <w:p w14:paraId="355F89B2" w14:textId="77777777" w:rsidR="00362080" w:rsidRPr="00362080" w:rsidRDefault="00362080" w:rsidP="00EE1C8E">
      <w:pPr>
        <w:pStyle w:val="Pa7"/>
        <w:spacing w:line="240" w:lineRule="auto"/>
        <w:jc w:val="both"/>
        <w:rPr>
          <w:rFonts w:asciiTheme="minorHAnsi" w:hAnsiTheme="minorHAnsi" w:cstheme="minorHAnsi"/>
          <w:b/>
          <w:bCs/>
          <w:sz w:val="22"/>
          <w:szCs w:val="22"/>
        </w:rPr>
      </w:pPr>
      <w:r w:rsidRPr="00362080">
        <w:rPr>
          <w:rFonts w:asciiTheme="minorHAnsi" w:hAnsiTheme="minorHAnsi" w:cstheme="minorHAnsi"/>
          <w:b/>
          <w:bCs/>
          <w:sz w:val="22"/>
          <w:szCs w:val="22"/>
        </w:rPr>
        <w:t>Authority to purchase own shares</w:t>
      </w:r>
    </w:p>
    <w:p w14:paraId="2D3240DD" w14:textId="77777777" w:rsidR="00362080" w:rsidRPr="00362080" w:rsidRDefault="00362080" w:rsidP="00EE1C8E">
      <w:pPr>
        <w:pStyle w:val="Pa7"/>
        <w:spacing w:line="240" w:lineRule="auto"/>
        <w:jc w:val="both"/>
        <w:rPr>
          <w:rFonts w:asciiTheme="minorHAnsi" w:hAnsiTheme="minorHAnsi" w:cstheme="minorHAnsi"/>
          <w:sz w:val="22"/>
          <w:szCs w:val="22"/>
        </w:rPr>
      </w:pPr>
      <w:r w:rsidRPr="00362080">
        <w:rPr>
          <w:rFonts w:asciiTheme="minorHAnsi" w:hAnsiTheme="minorHAnsi" w:cstheme="minorHAnsi"/>
          <w:sz w:val="22"/>
          <w:szCs w:val="22"/>
        </w:rPr>
        <w:t>Resolution 20</w:t>
      </w:r>
    </w:p>
    <w:p w14:paraId="2C60785C" w14:textId="77777777" w:rsidR="00A754D7" w:rsidRPr="00362080" w:rsidRDefault="00A754D7" w:rsidP="00EE1C8E">
      <w:pPr>
        <w:autoSpaceDE w:val="0"/>
        <w:autoSpaceDN w:val="0"/>
        <w:adjustRightInd w:val="0"/>
        <w:jc w:val="both"/>
        <w:rPr>
          <w:rFonts w:asciiTheme="minorHAnsi" w:hAnsiTheme="minorHAnsi" w:cstheme="minorHAnsi"/>
          <w:sz w:val="22"/>
        </w:rPr>
      </w:pPr>
      <w:r w:rsidRPr="00362080">
        <w:rPr>
          <w:rFonts w:asciiTheme="minorHAnsi" w:hAnsiTheme="minorHAnsi" w:cstheme="minorHAnsi"/>
          <w:sz w:val="22"/>
        </w:rPr>
        <w:t>That the Company be hereby generally and unconditionally authorised pursuant to section 701 of the Act to make market purchases (as defined in section 693(4) of the Act) of ordinary shares provided that:</w:t>
      </w:r>
    </w:p>
    <w:p w14:paraId="0BF6327F" w14:textId="77777777" w:rsidR="00A754D7" w:rsidRDefault="00A754D7" w:rsidP="00EE1C8E">
      <w:pPr>
        <w:pStyle w:val="ListParagraph"/>
        <w:numPr>
          <w:ilvl w:val="2"/>
          <w:numId w:val="25"/>
        </w:numPr>
        <w:autoSpaceDE w:val="0"/>
        <w:autoSpaceDN w:val="0"/>
        <w:adjustRightInd w:val="0"/>
        <w:ind w:left="709" w:hanging="425"/>
        <w:jc w:val="both"/>
        <w:rPr>
          <w:rFonts w:asciiTheme="minorHAnsi" w:hAnsiTheme="minorHAnsi" w:cstheme="minorHAnsi"/>
          <w:sz w:val="22"/>
        </w:rPr>
      </w:pPr>
      <w:r w:rsidRPr="004E6CE9">
        <w:rPr>
          <w:rFonts w:asciiTheme="minorHAnsi" w:hAnsiTheme="minorHAnsi" w:cstheme="minorHAnsi"/>
          <w:sz w:val="22"/>
        </w:rPr>
        <w:t>the maximum number of ordinary shares which may be purchased is 259,671,700;</w:t>
      </w:r>
    </w:p>
    <w:p w14:paraId="7EFBFA24" w14:textId="77777777" w:rsidR="00A754D7" w:rsidRDefault="00A754D7" w:rsidP="00EE1C8E">
      <w:pPr>
        <w:pStyle w:val="ListParagraph"/>
        <w:autoSpaceDE w:val="0"/>
        <w:autoSpaceDN w:val="0"/>
        <w:adjustRightInd w:val="0"/>
        <w:ind w:left="709"/>
        <w:jc w:val="both"/>
        <w:rPr>
          <w:rFonts w:asciiTheme="minorHAnsi" w:hAnsiTheme="minorHAnsi" w:cstheme="minorHAnsi"/>
          <w:sz w:val="22"/>
        </w:rPr>
      </w:pPr>
    </w:p>
    <w:p w14:paraId="23B82646" w14:textId="77777777" w:rsidR="00A754D7" w:rsidRDefault="00A754D7" w:rsidP="00EE1C8E">
      <w:pPr>
        <w:pStyle w:val="ListParagraph"/>
        <w:numPr>
          <w:ilvl w:val="2"/>
          <w:numId w:val="25"/>
        </w:numPr>
        <w:autoSpaceDE w:val="0"/>
        <w:autoSpaceDN w:val="0"/>
        <w:adjustRightInd w:val="0"/>
        <w:ind w:left="709" w:hanging="425"/>
        <w:jc w:val="both"/>
        <w:rPr>
          <w:rFonts w:asciiTheme="minorHAnsi" w:hAnsiTheme="minorHAnsi" w:cstheme="minorHAnsi"/>
          <w:sz w:val="22"/>
        </w:rPr>
      </w:pPr>
      <w:r w:rsidRPr="004E6CE9">
        <w:rPr>
          <w:rFonts w:asciiTheme="minorHAnsi" w:hAnsiTheme="minorHAnsi" w:cstheme="minorHAnsi"/>
          <w:sz w:val="22"/>
        </w:rPr>
        <w:t>the minimum price (excluding stamp duty and expenses) which may be paid for each such share is £0.05;</w:t>
      </w:r>
    </w:p>
    <w:p w14:paraId="6AA1142F" w14:textId="77777777" w:rsidR="00A754D7" w:rsidRPr="004E6CE9" w:rsidRDefault="00A754D7" w:rsidP="00EE1C8E">
      <w:pPr>
        <w:pStyle w:val="ListParagraph"/>
        <w:jc w:val="both"/>
        <w:rPr>
          <w:rFonts w:asciiTheme="minorHAnsi" w:hAnsiTheme="minorHAnsi" w:cstheme="minorHAnsi"/>
          <w:sz w:val="22"/>
        </w:rPr>
      </w:pPr>
    </w:p>
    <w:p w14:paraId="4090373A" w14:textId="77777777" w:rsidR="00A754D7" w:rsidRPr="004E6CE9" w:rsidRDefault="00A754D7" w:rsidP="00EE1C8E">
      <w:pPr>
        <w:pStyle w:val="ListParagraph"/>
        <w:numPr>
          <w:ilvl w:val="2"/>
          <w:numId w:val="25"/>
        </w:numPr>
        <w:autoSpaceDE w:val="0"/>
        <w:autoSpaceDN w:val="0"/>
        <w:adjustRightInd w:val="0"/>
        <w:ind w:left="709" w:hanging="425"/>
        <w:jc w:val="both"/>
        <w:rPr>
          <w:rFonts w:asciiTheme="minorHAnsi" w:hAnsiTheme="minorHAnsi" w:cstheme="minorHAnsi"/>
          <w:sz w:val="22"/>
        </w:rPr>
      </w:pPr>
      <w:r w:rsidRPr="004E6CE9">
        <w:rPr>
          <w:rFonts w:asciiTheme="minorHAnsi" w:hAnsiTheme="minorHAnsi" w:cstheme="minorHAnsi"/>
          <w:sz w:val="22"/>
        </w:rPr>
        <w:t>the maximum price (excluding stamp duty and expenses) which may be paid for each such share is the higher of:</w:t>
      </w:r>
    </w:p>
    <w:p w14:paraId="77A371FA" w14:textId="77777777" w:rsidR="00A754D7" w:rsidRDefault="00A754D7" w:rsidP="00EE1C8E">
      <w:pPr>
        <w:pStyle w:val="ListParagraph"/>
        <w:numPr>
          <w:ilvl w:val="4"/>
          <w:numId w:val="25"/>
        </w:numPr>
        <w:autoSpaceDE w:val="0"/>
        <w:autoSpaceDN w:val="0"/>
        <w:adjustRightInd w:val="0"/>
        <w:ind w:left="993" w:hanging="284"/>
        <w:jc w:val="both"/>
        <w:rPr>
          <w:rFonts w:asciiTheme="minorHAnsi" w:hAnsiTheme="minorHAnsi" w:cstheme="minorHAnsi"/>
          <w:sz w:val="22"/>
        </w:rPr>
      </w:pPr>
      <w:r w:rsidRPr="004E6CE9">
        <w:rPr>
          <w:rFonts w:asciiTheme="minorHAnsi" w:hAnsiTheme="minorHAnsi" w:cstheme="minorHAnsi"/>
          <w:sz w:val="22"/>
        </w:rPr>
        <w:t>an amount equal to 5% above the average of the middle market quotations for an ordinary share as derived from the London Stock Exchange Daily Official List for the five Business Days immediately preceding the day on which the Company agrees to purchase the ordinary shares; and</w:t>
      </w:r>
    </w:p>
    <w:p w14:paraId="54586FB7" w14:textId="77777777" w:rsidR="00A754D7" w:rsidRPr="004E6CE9" w:rsidRDefault="00A754D7" w:rsidP="00EE1C8E">
      <w:pPr>
        <w:pStyle w:val="ListParagraph"/>
        <w:numPr>
          <w:ilvl w:val="4"/>
          <w:numId w:val="25"/>
        </w:numPr>
        <w:autoSpaceDE w:val="0"/>
        <w:autoSpaceDN w:val="0"/>
        <w:adjustRightInd w:val="0"/>
        <w:ind w:left="993" w:hanging="284"/>
        <w:jc w:val="both"/>
        <w:rPr>
          <w:rFonts w:asciiTheme="minorHAnsi" w:hAnsiTheme="minorHAnsi" w:cstheme="minorHAnsi"/>
          <w:sz w:val="22"/>
        </w:rPr>
      </w:pPr>
      <w:r w:rsidRPr="004E6CE9">
        <w:rPr>
          <w:rFonts w:asciiTheme="minorHAnsi" w:hAnsiTheme="minorHAnsi" w:cstheme="minorHAnsi"/>
          <w:sz w:val="22"/>
        </w:rPr>
        <w:t>the higher of the price of the last independent trade and the highest current independent purchase bid on the trading venues where the purchase is carried out.</w:t>
      </w:r>
    </w:p>
    <w:p w14:paraId="5FC2AEE6" w14:textId="77777777" w:rsidR="00A754D7" w:rsidRPr="00362080" w:rsidRDefault="00A754D7" w:rsidP="00EE1C8E">
      <w:pPr>
        <w:autoSpaceDE w:val="0"/>
        <w:autoSpaceDN w:val="0"/>
        <w:adjustRightInd w:val="0"/>
        <w:jc w:val="both"/>
        <w:rPr>
          <w:rFonts w:asciiTheme="minorHAnsi" w:hAnsiTheme="minorHAnsi" w:cstheme="minorHAnsi"/>
          <w:sz w:val="22"/>
        </w:rPr>
      </w:pPr>
      <w:r w:rsidRPr="00362080">
        <w:rPr>
          <w:rFonts w:asciiTheme="minorHAnsi" w:hAnsiTheme="minorHAnsi" w:cstheme="minorHAnsi"/>
          <w:sz w:val="22"/>
        </w:rPr>
        <w:t>The authority shall apply until the conclusion of the annual general meeting of the Company to be held in 2023 (or, if earlier, 30 June 2023), except in relation to the purchase of shares, the contracts for which are concluded before such expiry and which will or may be completed or executed wholly or partly after such expiry, unless such authority is renewed prior to such time.</w:t>
      </w:r>
    </w:p>
    <w:p w14:paraId="1D3899A9" w14:textId="77777777" w:rsidR="00362080" w:rsidRPr="00362080" w:rsidRDefault="00362080" w:rsidP="00EE1C8E">
      <w:pPr>
        <w:pStyle w:val="Pa7"/>
        <w:spacing w:line="240" w:lineRule="auto"/>
        <w:jc w:val="both"/>
        <w:rPr>
          <w:rFonts w:asciiTheme="minorHAnsi" w:hAnsiTheme="minorHAnsi" w:cstheme="minorHAnsi"/>
          <w:b/>
          <w:bCs/>
          <w:sz w:val="22"/>
          <w:szCs w:val="22"/>
        </w:rPr>
      </w:pPr>
      <w:r w:rsidRPr="00362080">
        <w:rPr>
          <w:rFonts w:asciiTheme="minorHAnsi" w:hAnsiTheme="minorHAnsi" w:cstheme="minorHAnsi"/>
          <w:b/>
          <w:bCs/>
          <w:sz w:val="22"/>
          <w:szCs w:val="22"/>
        </w:rPr>
        <w:t>Notice of general meetings</w:t>
      </w:r>
    </w:p>
    <w:p w14:paraId="1F6BB20D" w14:textId="77777777" w:rsidR="00362080" w:rsidRPr="00362080" w:rsidRDefault="00362080" w:rsidP="00EE1C8E">
      <w:pPr>
        <w:pStyle w:val="Pa7"/>
        <w:spacing w:line="240" w:lineRule="auto"/>
        <w:jc w:val="both"/>
        <w:rPr>
          <w:rFonts w:asciiTheme="minorHAnsi" w:hAnsiTheme="minorHAnsi" w:cstheme="minorHAnsi"/>
          <w:sz w:val="22"/>
          <w:szCs w:val="22"/>
        </w:rPr>
      </w:pPr>
      <w:r w:rsidRPr="00362080">
        <w:rPr>
          <w:rFonts w:asciiTheme="minorHAnsi" w:hAnsiTheme="minorHAnsi" w:cstheme="minorHAnsi"/>
          <w:sz w:val="22"/>
          <w:szCs w:val="22"/>
        </w:rPr>
        <w:t>Resolution 21</w:t>
      </w:r>
    </w:p>
    <w:p w14:paraId="019A6568" w14:textId="77777777" w:rsidR="00362080" w:rsidRPr="00362080" w:rsidRDefault="00362080" w:rsidP="00EE1C8E">
      <w:pPr>
        <w:autoSpaceDE w:val="0"/>
        <w:autoSpaceDN w:val="0"/>
        <w:adjustRightInd w:val="0"/>
        <w:jc w:val="both"/>
        <w:rPr>
          <w:rFonts w:asciiTheme="minorHAnsi" w:hAnsiTheme="minorHAnsi" w:cstheme="minorHAnsi"/>
          <w:sz w:val="22"/>
        </w:rPr>
      </w:pPr>
      <w:r w:rsidRPr="00362080">
        <w:rPr>
          <w:rFonts w:asciiTheme="minorHAnsi" w:hAnsiTheme="minorHAnsi" w:cstheme="minorHAnsi"/>
          <w:sz w:val="22"/>
        </w:rPr>
        <w:t>That the Directors be hereby authorised to call general meetings (other than an annual general meeting) on not less than 14 clear days’ notice.</w:t>
      </w:r>
    </w:p>
    <w:p w14:paraId="3B628AF8" w14:textId="77777777" w:rsidR="004815B5" w:rsidRPr="00C52F52" w:rsidRDefault="004815B5" w:rsidP="00EE1C8E">
      <w:pPr>
        <w:spacing w:after="0" w:line="240" w:lineRule="auto"/>
        <w:jc w:val="both"/>
        <w:rPr>
          <w:rFonts w:asciiTheme="minorHAnsi" w:hAnsiTheme="minorHAnsi" w:cstheme="minorHAnsi"/>
          <w:sz w:val="22"/>
        </w:rPr>
      </w:pPr>
    </w:p>
    <w:sectPr w:rsidR="004815B5" w:rsidRPr="00C52F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F02BF" w14:textId="77777777" w:rsidR="00EE176D" w:rsidRDefault="00EE176D" w:rsidP="00E7657A">
      <w:pPr>
        <w:spacing w:after="0" w:line="240" w:lineRule="auto"/>
      </w:pPr>
      <w:r>
        <w:separator/>
      </w:r>
    </w:p>
  </w:endnote>
  <w:endnote w:type="continuationSeparator" w:id="0">
    <w:p w14:paraId="723B585F" w14:textId="77777777" w:rsidR="00EE176D" w:rsidRDefault="00EE176D" w:rsidP="00E7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fra SemiBold">
    <w:altName w:val="Calibri"/>
    <w:panose1 w:val="00000000000000000000"/>
    <w:charset w:val="00"/>
    <w:family w:val="swiss"/>
    <w:notTrueType/>
    <w:pitch w:val="default"/>
    <w:sig w:usb0="00000003" w:usb1="00000000" w:usb2="00000000" w:usb3="00000000" w:csb0="00000001" w:csb1="00000000"/>
  </w:font>
  <w:font w:name="Infra">
    <w:altName w:val="Cambria"/>
    <w:panose1 w:val="00000000000000000000"/>
    <w:charset w:val="00"/>
    <w:family w:val="swiss"/>
    <w:notTrueType/>
    <w:pitch w:val="default"/>
    <w:sig w:usb0="00000003" w:usb1="00000000" w:usb2="00000000" w:usb3="00000000" w:csb0="00000001" w:csb1="00000000"/>
  </w:font>
  <w:font w:name="Infra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CB358" w14:textId="77777777" w:rsidR="00EE176D" w:rsidRDefault="00EE176D" w:rsidP="00E7657A">
      <w:pPr>
        <w:spacing w:after="0" w:line="240" w:lineRule="auto"/>
      </w:pPr>
      <w:r>
        <w:separator/>
      </w:r>
    </w:p>
  </w:footnote>
  <w:footnote w:type="continuationSeparator" w:id="0">
    <w:p w14:paraId="132C0998" w14:textId="77777777" w:rsidR="00EE176D" w:rsidRDefault="00EE176D" w:rsidP="00E76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4A5A"/>
    <w:multiLevelType w:val="hybridMultilevel"/>
    <w:tmpl w:val="032AD77C"/>
    <w:lvl w:ilvl="0" w:tplc="356CD7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E00E3"/>
    <w:multiLevelType w:val="hybridMultilevel"/>
    <w:tmpl w:val="F9062252"/>
    <w:lvl w:ilvl="0" w:tplc="356CD7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7694A"/>
    <w:multiLevelType w:val="hybridMultilevel"/>
    <w:tmpl w:val="5002B8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4C1EE2"/>
    <w:multiLevelType w:val="hybridMultilevel"/>
    <w:tmpl w:val="758A8DE2"/>
    <w:lvl w:ilvl="0" w:tplc="7E282868">
      <w:start w:val="1"/>
      <w:numFmt w:val="lowerLetter"/>
      <w:lvlText w:val="%1."/>
      <w:lvlJc w:val="left"/>
      <w:pPr>
        <w:ind w:left="1080" w:hanging="360"/>
      </w:pPr>
      <w:rPr>
        <w:sz w:val="22"/>
        <w:szCs w:val="22"/>
      </w:rPr>
    </w:lvl>
    <w:lvl w:ilvl="1" w:tplc="64D6E344">
      <w:start w:val="1"/>
      <w:numFmt w:val="decimal"/>
      <w:lvlText w:val="%2."/>
      <w:lvlJc w:val="left"/>
      <w:pPr>
        <w:ind w:left="1800" w:hanging="360"/>
      </w:pPr>
      <w:rPr>
        <w:b w:val="0"/>
        <w:bCs w:val="0"/>
      </w:rPr>
    </w:lvl>
    <w:lvl w:ilvl="2" w:tplc="4EACA130">
      <w:start w:val="1"/>
      <w:numFmt w:val="lowerRoman"/>
      <w:lvlText w:val="%3."/>
      <w:lvlJc w:val="right"/>
      <w:pPr>
        <w:ind w:left="2520" w:hanging="180"/>
      </w:pPr>
    </w:lvl>
    <w:lvl w:ilvl="3" w:tplc="3278B1AE">
      <w:start w:val="1"/>
      <w:numFmt w:val="decimal"/>
      <w:lvlText w:val="%4."/>
      <w:lvlJc w:val="left"/>
      <w:pPr>
        <w:ind w:left="3240" w:hanging="360"/>
      </w:pPr>
    </w:lvl>
    <w:lvl w:ilvl="4" w:tplc="E30AB94C">
      <w:start w:val="1"/>
      <w:numFmt w:val="lowerLetter"/>
      <w:lvlText w:val="%5."/>
      <w:lvlJc w:val="left"/>
      <w:pPr>
        <w:ind w:left="3960" w:hanging="360"/>
      </w:pPr>
    </w:lvl>
    <w:lvl w:ilvl="5" w:tplc="346C5A02">
      <w:start w:val="1"/>
      <w:numFmt w:val="lowerRoman"/>
      <w:lvlText w:val="%6."/>
      <w:lvlJc w:val="right"/>
      <w:pPr>
        <w:ind w:left="4680" w:hanging="180"/>
      </w:pPr>
    </w:lvl>
    <w:lvl w:ilvl="6" w:tplc="81E80F60">
      <w:start w:val="1"/>
      <w:numFmt w:val="decimal"/>
      <w:lvlText w:val="%7."/>
      <w:lvlJc w:val="left"/>
      <w:pPr>
        <w:ind w:left="5400" w:hanging="360"/>
      </w:pPr>
    </w:lvl>
    <w:lvl w:ilvl="7" w:tplc="53960AE0">
      <w:start w:val="1"/>
      <w:numFmt w:val="lowerLetter"/>
      <w:lvlText w:val="%8."/>
      <w:lvlJc w:val="left"/>
      <w:pPr>
        <w:ind w:left="6120" w:hanging="360"/>
      </w:pPr>
    </w:lvl>
    <w:lvl w:ilvl="8" w:tplc="B5201754">
      <w:start w:val="1"/>
      <w:numFmt w:val="lowerRoman"/>
      <w:lvlText w:val="%9."/>
      <w:lvlJc w:val="right"/>
      <w:pPr>
        <w:ind w:left="6840" w:hanging="180"/>
      </w:pPr>
    </w:lvl>
  </w:abstractNum>
  <w:abstractNum w:abstractNumId="4" w15:restartNumberingAfterBreak="0">
    <w:nsid w:val="2EA53F2C"/>
    <w:multiLevelType w:val="hybridMultilevel"/>
    <w:tmpl w:val="651C3DAC"/>
    <w:lvl w:ilvl="0" w:tplc="1CB80C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145564C"/>
    <w:multiLevelType w:val="hybridMultilevel"/>
    <w:tmpl w:val="AC10576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8B3CB7"/>
    <w:multiLevelType w:val="hybridMultilevel"/>
    <w:tmpl w:val="974A6380"/>
    <w:lvl w:ilvl="0" w:tplc="23F4A5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7DE70E3"/>
    <w:multiLevelType w:val="hybridMultilevel"/>
    <w:tmpl w:val="6BFAF0C2"/>
    <w:lvl w:ilvl="0" w:tplc="0B3C6D86">
      <w:start w:val="1"/>
      <w:numFmt w:val="lowerLetter"/>
      <w:lvlText w:val="%1."/>
      <w:lvlJc w:val="left"/>
      <w:pPr>
        <w:ind w:left="1080" w:hanging="360"/>
      </w:pPr>
      <w:rPr>
        <w:sz w:val="22"/>
        <w:szCs w:val="22"/>
      </w:rPr>
    </w:lvl>
    <w:lvl w:ilvl="1" w:tplc="3DE880B6">
      <w:start w:val="1"/>
      <w:numFmt w:val="lowerLetter"/>
      <w:lvlText w:val="%2."/>
      <w:lvlJc w:val="left"/>
      <w:pPr>
        <w:ind w:left="1800" w:hanging="360"/>
      </w:pPr>
    </w:lvl>
    <w:lvl w:ilvl="2" w:tplc="26E8D4D8">
      <w:start w:val="1"/>
      <w:numFmt w:val="lowerRoman"/>
      <w:lvlText w:val="%3."/>
      <w:lvlJc w:val="right"/>
      <w:pPr>
        <w:ind w:left="2520" w:hanging="180"/>
      </w:pPr>
    </w:lvl>
    <w:lvl w:ilvl="3" w:tplc="019ABD1A">
      <w:start w:val="1"/>
      <w:numFmt w:val="decimal"/>
      <w:lvlText w:val="%4."/>
      <w:lvlJc w:val="left"/>
      <w:pPr>
        <w:ind w:left="3240" w:hanging="360"/>
      </w:pPr>
    </w:lvl>
    <w:lvl w:ilvl="4" w:tplc="349A4976">
      <w:start w:val="1"/>
      <w:numFmt w:val="lowerLetter"/>
      <w:lvlText w:val="%5."/>
      <w:lvlJc w:val="left"/>
      <w:pPr>
        <w:ind w:left="3960" w:hanging="360"/>
      </w:pPr>
    </w:lvl>
    <w:lvl w:ilvl="5" w:tplc="8DA6829E">
      <w:start w:val="1"/>
      <w:numFmt w:val="lowerRoman"/>
      <w:lvlText w:val="%6."/>
      <w:lvlJc w:val="right"/>
      <w:pPr>
        <w:ind w:left="4680" w:hanging="180"/>
      </w:pPr>
    </w:lvl>
    <w:lvl w:ilvl="6" w:tplc="84504F7E">
      <w:start w:val="1"/>
      <w:numFmt w:val="decimal"/>
      <w:lvlText w:val="%7."/>
      <w:lvlJc w:val="left"/>
      <w:pPr>
        <w:ind w:left="5400" w:hanging="360"/>
      </w:pPr>
    </w:lvl>
    <w:lvl w:ilvl="7" w:tplc="0CA445F2">
      <w:start w:val="1"/>
      <w:numFmt w:val="lowerLetter"/>
      <w:lvlText w:val="%8."/>
      <w:lvlJc w:val="left"/>
      <w:pPr>
        <w:ind w:left="6120" w:hanging="360"/>
      </w:pPr>
    </w:lvl>
    <w:lvl w:ilvl="8" w:tplc="AE2EA422">
      <w:start w:val="1"/>
      <w:numFmt w:val="lowerRoman"/>
      <w:lvlText w:val="%9."/>
      <w:lvlJc w:val="right"/>
      <w:pPr>
        <w:ind w:left="6840" w:hanging="180"/>
      </w:pPr>
    </w:lvl>
  </w:abstractNum>
  <w:abstractNum w:abstractNumId="8" w15:restartNumberingAfterBreak="0">
    <w:nsid w:val="38DC0DC7"/>
    <w:multiLevelType w:val="hybridMultilevel"/>
    <w:tmpl w:val="6EE6C816"/>
    <w:lvl w:ilvl="0" w:tplc="356CD7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FF5DD4"/>
    <w:multiLevelType w:val="hybridMultilevel"/>
    <w:tmpl w:val="82D49B92"/>
    <w:lvl w:ilvl="0" w:tplc="1FF20138">
      <w:start w:val="1"/>
      <w:numFmt w:val="lowerRoman"/>
      <w:lvlText w:val="%1."/>
      <w:lvlJc w:val="left"/>
      <w:pPr>
        <w:ind w:left="720" w:hanging="360"/>
      </w:pPr>
      <w:rPr>
        <w:rFonts w:asciiTheme="minorHAnsi" w:eastAsiaTheme="minorHAnsi" w:hAnsiTheme="minorHAnsi" w:cstheme="minorHAnsi"/>
        <w:sz w:val="22"/>
        <w:szCs w:val="22"/>
      </w:rPr>
    </w:lvl>
    <w:lvl w:ilvl="1" w:tplc="FD2287AC">
      <w:start w:val="1"/>
      <w:numFmt w:val="lowerLetter"/>
      <w:lvlText w:val="%2."/>
      <w:lvlJc w:val="left"/>
      <w:pPr>
        <w:ind w:left="1440" w:hanging="360"/>
      </w:pPr>
    </w:lvl>
    <w:lvl w:ilvl="2" w:tplc="73A626DA">
      <w:start w:val="1"/>
      <w:numFmt w:val="lowerRoman"/>
      <w:lvlText w:val="%3."/>
      <w:lvlJc w:val="right"/>
      <w:pPr>
        <w:ind w:left="2160" w:hanging="180"/>
      </w:pPr>
    </w:lvl>
    <w:lvl w:ilvl="3" w:tplc="D524869C">
      <w:start w:val="1"/>
      <w:numFmt w:val="decimal"/>
      <w:lvlText w:val="%4."/>
      <w:lvlJc w:val="left"/>
      <w:pPr>
        <w:ind w:left="2880" w:hanging="360"/>
      </w:pPr>
    </w:lvl>
    <w:lvl w:ilvl="4" w:tplc="9398A1FA">
      <w:start w:val="1"/>
      <w:numFmt w:val="lowerLetter"/>
      <w:lvlText w:val="%5."/>
      <w:lvlJc w:val="left"/>
      <w:pPr>
        <w:ind w:left="3600" w:hanging="360"/>
      </w:pPr>
    </w:lvl>
    <w:lvl w:ilvl="5" w:tplc="5C7C60FC">
      <w:start w:val="1"/>
      <w:numFmt w:val="lowerRoman"/>
      <w:lvlText w:val="%6."/>
      <w:lvlJc w:val="right"/>
      <w:pPr>
        <w:ind w:left="4320" w:hanging="180"/>
      </w:pPr>
    </w:lvl>
    <w:lvl w:ilvl="6" w:tplc="157CB404">
      <w:start w:val="1"/>
      <w:numFmt w:val="decimal"/>
      <w:lvlText w:val="%7."/>
      <w:lvlJc w:val="left"/>
      <w:pPr>
        <w:ind w:left="5040" w:hanging="360"/>
      </w:pPr>
    </w:lvl>
    <w:lvl w:ilvl="7" w:tplc="87C8A616">
      <w:start w:val="1"/>
      <w:numFmt w:val="lowerLetter"/>
      <w:lvlText w:val="%8."/>
      <w:lvlJc w:val="left"/>
      <w:pPr>
        <w:ind w:left="5760" w:hanging="360"/>
      </w:pPr>
    </w:lvl>
    <w:lvl w:ilvl="8" w:tplc="40E6049C">
      <w:start w:val="1"/>
      <w:numFmt w:val="lowerRoman"/>
      <w:lvlText w:val="%9."/>
      <w:lvlJc w:val="right"/>
      <w:pPr>
        <w:ind w:left="6480" w:hanging="180"/>
      </w:pPr>
    </w:lvl>
  </w:abstractNum>
  <w:abstractNum w:abstractNumId="10" w15:restartNumberingAfterBreak="0">
    <w:nsid w:val="39356388"/>
    <w:multiLevelType w:val="hybridMultilevel"/>
    <w:tmpl w:val="510A3E9C"/>
    <w:lvl w:ilvl="0" w:tplc="B29693AE">
      <w:start w:val="1"/>
      <w:numFmt w:val="lowerRoman"/>
      <w:lvlText w:val="%1."/>
      <w:lvlJc w:val="right"/>
      <w:pPr>
        <w:ind w:left="720" w:hanging="360"/>
      </w:pPr>
    </w:lvl>
    <w:lvl w:ilvl="1" w:tplc="F62467F8">
      <w:start w:val="1"/>
      <w:numFmt w:val="lowerLetter"/>
      <w:lvlText w:val="%2."/>
      <w:lvlJc w:val="left"/>
      <w:pPr>
        <w:ind w:left="1440" w:hanging="360"/>
      </w:pPr>
    </w:lvl>
    <w:lvl w:ilvl="2" w:tplc="1BB421F8">
      <w:start w:val="1"/>
      <w:numFmt w:val="lowerRoman"/>
      <w:lvlText w:val="%3."/>
      <w:lvlJc w:val="right"/>
      <w:pPr>
        <w:ind w:left="2160" w:hanging="180"/>
      </w:pPr>
    </w:lvl>
    <w:lvl w:ilvl="3" w:tplc="A4C49368">
      <w:start w:val="1"/>
      <w:numFmt w:val="decimal"/>
      <w:lvlText w:val="%4."/>
      <w:lvlJc w:val="left"/>
      <w:pPr>
        <w:ind w:left="2880" w:hanging="360"/>
      </w:pPr>
    </w:lvl>
    <w:lvl w:ilvl="4" w:tplc="637027E6">
      <w:start w:val="1"/>
      <w:numFmt w:val="lowerLetter"/>
      <w:lvlText w:val="%5."/>
      <w:lvlJc w:val="left"/>
      <w:pPr>
        <w:ind w:left="3600" w:hanging="360"/>
      </w:pPr>
    </w:lvl>
    <w:lvl w:ilvl="5" w:tplc="F93AF362">
      <w:start w:val="1"/>
      <w:numFmt w:val="lowerRoman"/>
      <w:lvlText w:val="%6."/>
      <w:lvlJc w:val="right"/>
      <w:pPr>
        <w:ind w:left="4320" w:hanging="180"/>
      </w:pPr>
    </w:lvl>
    <w:lvl w:ilvl="6" w:tplc="8F6A6222">
      <w:start w:val="1"/>
      <w:numFmt w:val="decimal"/>
      <w:lvlText w:val="%7."/>
      <w:lvlJc w:val="left"/>
      <w:pPr>
        <w:ind w:left="5040" w:hanging="360"/>
      </w:pPr>
    </w:lvl>
    <w:lvl w:ilvl="7" w:tplc="45BA7C52">
      <w:start w:val="1"/>
      <w:numFmt w:val="lowerLetter"/>
      <w:lvlText w:val="%8."/>
      <w:lvlJc w:val="left"/>
      <w:pPr>
        <w:ind w:left="5760" w:hanging="360"/>
      </w:pPr>
    </w:lvl>
    <w:lvl w:ilvl="8" w:tplc="BDFCFACE">
      <w:start w:val="1"/>
      <w:numFmt w:val="lowerRoman"/>
      <w:lvlText w:val="%9."/>
      <w:lvlJc w:val="right"/>
      <w:pPr>
        <w:ind w:left="6480" w:hanging="180"/>
      </w:pPr>
    </w:lvl>
  </w:abstractNum>
  <w:abstractNum w:abstractNumId="11" w15:restartNumberingAfterBreak="0">
    <w:nsid w:val="412D1150"/>
    <w:multiLevelType w:val="hybridMultilevel"/>
    <w:tmpl w:val="8A647F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947CCE"/>
    <w:multiLevelType w:val="hybridMultilevel"/>
    <w:tmpl w:val="167AB956"/>
    <w:lvl w:ilvl="0" w:tplc="B4387A0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42627407"/>
    <w:multiLevelType w:val="hybridMultilevel"/>
    <w:tmpl w:val="878A6190"/>
    <w:lvl w:ilvl="0" w:tplc="356CD7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E0728C"/>
    <w:multiLevelType w:val="hybridMultilevel"/>
    <w:tmpl w:val="0FD6F08E"/>
    <w:lvl w:ilvl="0" w:tplc="4B1AB5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7636304"/>
    <w:multiLevelType w:val="hybridMultilevel"/>
    <w:tmpl w:val="A8101B48"/>
    <w:lvl w:ilvl="0" w:tplc="AFC6E9E8">
      <w:start w:val="1"/>
      <w:numFmt w:val="lowerRoman"/>
      <w:lvlText w:val="%1."/>
      <w:lvlJc w:val="right"/>
      <w:pPr>
        <w:ind w:left="720" w:hanging="360"/>
      </w:pPr>
      <w:rPr>
        <w:sz w:val="22"/>
        <w:szCs w:val="22"/>
      </w:rPr>
    </w:lvl>
    <w:lvl w:ilvl="1" w:tplc="2DCAFC52">
      <w:start w:val="1"/>
      <w:numFmt w:val="lowerLetter"/>
      <w:lvlText w:val="%2."/>
      <w:lvlJc w:val="left"/>
      <w:pPr>
        <w:ind w:left="1440" w:hanging="360"/>
      </w:pPr>
    </w:lvl>
    <w:lvl w:ilvl="2" w:tplc="9D9E3806">
      <w:start w:val="1"/>
      <w:numFmt w:val="lowerRoman"/>
      <w:lvlText w:val="%3."/>
      <w:lvlJc w:val="right"/>
      <w:pPr>
        <w:ind w:left="2160" w:hanging="180"/>
      </w:pPr>
    </w:lvl>
    <w:lvl w:ilvl="3" w:tplc="C4BC11A0">
      <w:start w:val="1"/>
      <w:numFmt w:val="decimal"/>
      <w:lvlText w:val="%4."/>
      <w:lvlJc w:val="left"/>
      <w:pPr>
        <w:ind w:left="2880" w:hanging="360"/>
      </w:pPr>
    </w:lvl>
    <w:lvl w:ilvl="4" w:tplc="69F68184">
      <w:start w:val="1"/>
      <w:numFmt w:val="lowerLetter"/>
      <w:lvlText w:val="%5."/>
      <w:lvlJc w:val="left"/>
      <w:pPr>
        <w:ind w:left="3600" w:hanging="360"/>
      </w:pPr>
    </w:lvl>
    <w:lvl w:ilvl="5" w:tplc="25A457BC">
      <w:start w:val="1"/>
      <w:numFmt w:val="lowerRoman"/>
      <w:lvlText w:val="%6."/>
      <w:lvlJc w:val="right"/>
      <w:pPr>
        <w:ind w:left="4320" w:hanging="180"/>
      </w:pPr>
    </w:lvl>
    <w:lvl w:ilvl="6" w:tplc="4AA403CC">
      <w:start w:val="1"/>
      <w:numFmt w:val="decimal"/>
      <w:lvlText w:val="%7."/>
      <w:lvlJc w:val="left"/>
      <w:pPr>
        <w:ind w:left="5040" w:hanging="360"/>
      </w:pPr>
    </w:lvl>
    <w:lvl w:ilvl="7" w:tplc="0C7894DE">
      <w:start w:val="1"/>
      <w:numFmt w:val="lowerLetter"/>
      <w:lvlText w:val="%8."/>
      <w:lvlJc w:val="left"/>
      <w:pPr>
        <w:ind w:left="5760" w:hanging="360"/>
      </w:pPr>
    </w:lvl>
    <w:lvl w:ilvl="8" w:tplc="A90A9550">
      <w:start w:val="1"/>
      <w:numFmt w:val="lowerRoman"/>
      <w:lvlText w:val="%9."/>
      <w:lvlJc w:val="right"/>
      <w:pPr>
        <w:ind w:left="6480" w:hanging="180"/>
      </w:pPr>
    </w:lvl>
  </w:abstractNum>
  <w:abstractNum w:abstractNumId="16" w15:restartNumberingAfterBreak="0">
    <w:nsid w:val="4BB53468"/>
    <w:multiLevelType w:val="hybridMultilevel"/>
    <w:tmpl w:val="EEC6AA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D07591"/>
    <w:multiLevelType w:val="hybridMultilevel"/>
    <w:tmpl w:val="D50CAB4E"/>
    <w:lvl w:ilvl="0" w:tplc="CE8C6D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444505"/>
    <w:multiLevelType w:val="hybridMultilevel"/>
    <w:tmpl w:val="81F06898"/>
    <w:lvl w:ilvl="0" w:tplc="9BD6F6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567623"/>
    <w:multiLevelType w:val="hybridMultilevel"/>
    <w:tmpl w:val="974A6380"/>
    <w:lvl w:ilvl="0" w:tplc="23F4A5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2690F46"/>
    <w:multiLevelType w:val="hybridMultilevel"/>
    <w:tmpl w:val="F3A6BD14"/>
    <w:lvl w:ilvl="0" w:tplc="BE8CAC5C">
      <w:start w:val="1"/>
      <w:numFmt w:val="lowerRoman"/>
      <w:lvlText w:val="%1."/>
      <w:lvlJc w:val="right"/>
      <w:pPr>
        <w:ind w:left="720" w:hanging="360"/>
      </w:pPr>
    </w:lvl>
    <w:lvl w:ilvl="1" w:tplc="E38AC40C">
      <w:start w:val="1"/>
      <w:numFmt w:val="lowerLetter"/>
      <w:lvlText w:val="%2."/>
      <w:lvlJc w:val="left"/>
      <w:pPr>
        <w:ind w:left="1440" w:hanging="360"/>
      </w:pPr>
    </w:lvl>
    <w:lvl w:ilvl="2" w:tplc="8B1AF146">
      <w:start w:val="1"/>
      <w:numFmt w:val="lowerRoman"/>
      <w:lvlText w:val="%3."/>
      <w:lvlJc w:val="right"/>
      <w:pPr>
        <w:ind w:left="2160" w:hanging="180"/>
      </w:pPr>
    </w:lvl>
    <w:lvl w:ilvl="3" w:tplc="C522510E">
      <w:start w:val="1"/>
      <w:numFmt w:val="decimal"/>
      <w:lvlText w:val="%4."/>
      <w:lvlJc w:val="left"/>
      <w:pPr>
        <w:ind w:left="2880" w:hanging="360"/>
      </w:pPr>
    </w:lvl>
    <w:lvl w:ilvl="4" w:tplc="0810CD68">
      <w:start w:val="1"/>
      <w:numFmt w:val="lowerLetter"/>
      <w:lvlText w:val="%5."/>
      <w:lvlJc w:val="left"/>
      <w:pPr>
        <w:ind w:left="3600" w:hanging="360"/>
      </w:pPr>
    </w:lvl>
    <w:lvl w:ilvl="5" w:tplc="B5807D2C">
      <w:start w:val="1"/>
      <w:numFmt w:val="lowerRoman"/>
      <w:lvlText w:val="%6."/>
      <w:lvlJc w:val="right"/>
      <w:pPr>
        <w:ind w:left="4320" w:hanging="180"/>
      </w:pPr>
    </w:lvl>
    <w:lvl w:ilvl="6" w:tplc="60ECD2F8">
      <w:start w:val="1"/>
      <w:numFmt w:val="decimal"/>
      <w:lvlText w:val="%7."/>
      <w:lvlJc w:val="left"/>
      <w:pPr>
        <w:ind w:left="5040" w:hanging="360"/>
      </w:pPr>
    </w:lvl>
    <w:lvl w:ilvl="7" w:tplc="283A88B2">
      <w:start w:val="1"/>
      <w:numFmt w:val="lowerLetter"/>
      <w:lvlText w:val="%8."/>
      <w:lvlJc w:val="left"/>
      <w:pPr>
        <w:ind w:left="5760" w:hanging="360"/>
      </w:pPr>
    </w:lvl>
    <w:lvl w:ilvl="8" w:tplc="905C99FA">
      <w:start w:val="1"/>
      <w:numFmt w:val="lowerRoman"/>
      <w:lvlText w:val="%9."/>
      <w:lvlJc w:val="right"/>
      <w:pPr>
        <w:ind w:left="6480" w:hanging="180"/>
      </w:pPr>
    </w:lvl>
  </w:abstractNum>
  <w:abstractNum w:abstractNumId="21" w15:restartNumberingAfterBreak="0">
    <w:nsid w:val="67197983"/>
    <w:multiLevelType w:val="hybridMultilevel"/>
    <w:tmpl w:val="01AEEB2A"/>
    <w:lvl w:ilvl="0" w:tplc="D3367E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551EFD"/>
    <w:multiLevelType w:val="hybridMultilevel"/>
    <w:tmpl w:val="F9062252"/>
    <w:lvl w:ilvl="0" w:tplc="356CD7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105456"/>
    <w:multiLevelType w:val="hybridMultilevel"/>
    <w:tmpl w:val="7F320B62"/>
    <w:lvl w:ilvl="0" w:tplc="2634DA78">
      <w:start w:val="1"/>
      <w:numFmt w:val="lowerRoman"/>
      <w:lvlText w:val="%1."/>
      <w:lvlJc w:val="left"/>
      <w:pPr>
        <w:ind w:left="1080" w:hanging="360"/>
      </w:pPr>
      <w:rPr>
        <w:rFonts w:asciiTheme="minorHAnsi" w:eastAsiaTheme="minorHAnsi" w:hAnsiTheme="minorHAnsi" w:cstheme="minorHAns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8047EC"/>
    <w:multiLevelType w:val="hybridMultilevel"/>
    <w:tmpl w:val="3058EE42"/>
    <w:lvl w:ilvl="0" w:tplc="F04E9B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5B2B4C"/>
    <w:multiLevelType w:val="hybridMultilevel"/>
    <w:tmpl w:val="878A6190"/>
    <w:lvl w:ilvl="0" w:tplc="356CD7B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D337F5"/>
    <w:multiLevelType w:val="hybridMultilevel"/>
    <w:tmpl w:val="B9020D54"/>
    <w:lvl w:ilvl="0" w:tplc="2C6A3D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4"/>
  </w:num>
  <w:num w:numId="3">
    <w:abstractNumId w:val="2"/>
  </w:num>
  <w:num w:numId="4">
    <w:abstractNumId w:val="5"/>
  </w:num>
  <w:num w:numId="5">
    <w:abstractNumId w:val="17"/>
  </w:num>
  <w:num w:numId="6">
    <w:abstractNumId w:val="21"/>
  </w:num>
  <w:num w:numId="7">
    <w:abstractNumId w:val="16"/>
  </w:num>
  <w:num w:numId="8">
    <w:abstractNumId w:val="18"/>
  </w:num>
  <w:num w:numId="9">
    <w:abstractNumId w:val="11"/>
  </w:num>
  <w:num w:numId="10">
    <w:abstractNumId w:val="26"/>
  </w:num>
  <w:num w:numId="11">
    <w:abstractNumId w:val="12"/>
  </w:num>
  <w:num w:numId="12">
    <w:abstractNumId w:val="22"/>
  </w:num>
  <w:num w:numId="13">
    <w:abstractNumId w:val="14"/>
  </w:num>
  <w:num w:numId="14">
    <w:abstractNumId w:val="1"/>
  </w:num>
  <w:num w:numId="15">
    <w:abstractNumId w:val="4"/>
  </w:num>
  <w:num w:numId="16">
    <w:abstractNumId w:val="8"/>
  </w:num>
  <w:num w:numId="17">
    <w:abstractNumId w:val="25"/>
  </w:num>
  <w:num w:numId="18">
    <w:abstractNumId w:val="6"/>
  </w:num>
  <w:num w:numId="19">
    <w:abstractNumId w:val="19"/>
  </w:num>
  <w:num w:numId="20">
    <w:abstractNumId w:val="13"/>
  </w:num>
  <w:num w:numId="21">
    <w:abstractNumId w:val="23"/>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99"/>
    <w:rsid w:val="000558B6"/>
    <w:rsid w:val="000D1C95"/>
    <w:rsid w:val="000E661D"/>
    <w:rsid w:val="001F114A"/>
    <w:rsid w:val="0032206F"/>
    <w:rsid w:val="00332EDD"/>
    <w:rsid w:val="00362080"/>
    <w:rsid w:val="00467599"/>
    <w:rsid w:val="004815B5"/>
    <w:rsid w:val="004A0189"/>
    <w:rsid w:val="005C4E20"/>
    <w:rsid w:val="006927D3"/>
    <w:rsid w:val="007C228F"/>
    <w:rsid w:val="009A37DC"/>
    <w:rsid w:val="00A754D7"/>
    <w:rsid w:val="00C06B3B"/>
    <w:rsid w:val="00C52F52"/>
    <w:rsid w:val="00C91732"/>
    <w:rsid w:val="00CB6120"/>
    <w:rsid w:val="00CD2D6C"/>
    <w:rsid w:val="00DE65AD"/>
    <w:rsid w:val="00E34CE6"/>
    <w:rsid w:val="00E7657A"/>
    <w:rsid w:val="00EE176D"/>
    <w:rsid w:val="00EE1C8E"/>
    <w:rsid w:val="00F34347"/>
    <w:rsid w:val="00F41A7A"/>
    <w:rsid w:val="00F9159D"/>
    <w:rsid w:val="00FA56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D182A"/>
  <w15:chartTrackingRefBased/>
  <w15:docId w15:val="{72A2EA9F-6C18-479A-B506-78750597B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5AD"/>
    <w:pPr>
      <w:spacing w:line="256" w:lineRule="auto"/>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2D6C"/>
    <w:pPr>
      <w:autoSpaceDE w:val="0"/>
      <w:autoSpaceDN w:val="0"/>
      <w:adjustRightInd w:val="0"/>
      <w:spacing w:after="0" w:line="240" w:lineRule="auto"/>
    </w:pPr>
    <w:rPr>
      <w:rFonts w:ascii="Infra SemiBold" w:hAnsi="Infra SemiBold" w:cs="Infra SemiBold"/>
      <w:color w:val="000000"/>
      <w:sz w:val="24"/>
      <w:szCs w:val="24"/>
    </w:rPr>
  </w:style>
  <w:style w:type="paragraph" w:customStyle="1" w:styleId="Pa7">
    <w:name w:val="Pa7"/>
    <w:basedOn w:val="Default"/>
    <w:next w:val="Default"/>
    <w:uiPriority w:val="99"/>
    <w:rsid w:val="00CD2D6C"/>
    <w:pPr>
      <w:spacing w:line="201" w:lineRule="atLeast"/>
    </w:pPr>
    <w:rPr>
      <w:rFonts w:cstheme="minorBidi"/>
      <w:color w:val="auto"/>
    </w:rPr>
  </w:style>
  <w:style w:type="paragraph" w:customStyle="1" w:styleId="Pa8">
    <w:name w:val="Pa8"/>
    <w:basedOn w:val="Default"/>
    <w:next w:val="Default"/>
    <w:uiPriority w:val="99"/>
    <w:rsid w:val="00CD2D6C"/>
    <w:pPr>
      <w:spacing w:line="201" w:lineRule="atLeast"/>
    </w:pPr>
    <w:rPr>
      <w:rFonts w:cstheme="minorBidi"/>
      <w:color w:val="auto"/>
    </w:rPr>
  </w:style>
  <w:style w:type="paragraph" w:customStyle="1" w:styleId="Pa3">
    <w:name w:val="Pa3"/>
    <w:basedOn w:val="Default"/>
    <w:next w:val="Default"/>
    <w:uiPriority w:val="99"/>
    <w:rsid w:val="00CD2D6C"/>
    <w:pPr>
      <w:spacing w:line="201" w:lineRule="atLeast"/>
    </w:pPr>
    <w:rPr>
      <w:rFonts w:cstheme="minorBidi"/>
      <w:color w:val="auto"/>
    </w:rPr>
  </w:style>
  <w:style w:type="character" w:customStyle="1" w:styleId="A5">
    <w:name w:val="A5"/>
    <w:uiPriority w:val="99"/>
    <w:rsid w:val="00CD2D6C"/>
    <w:rPr>
      <w:rFonts w:ascii="Infra" w:hAnsi="Infra" w:cs="Infra"/>
      <w:color w:val="000000"/>
      <w:sz w:val="20"/>
      <w:szCs w:val="20"/>
    </w:rPr>
  </w:style>
  <w:style w:type="paragraph" w:customStyle="1" w:styleId="Pa10">
    <w:name w:val="Pa10"/>
    <w:basedOn w:val="Default"/>
    <w:next w:val="Default"/>
    <w:uiPriority w:val="99"/>
    <w:rsid w:val="00C52F52"/>
    <w:pPr>
      <w:spacing w:line="201" w:lineRule="atLeast"/>
    </w:pPr>
    <w:rPr>
      <w:rFonts w:ascii="Infra Medium" w:hAnsi="Infra Medium" w:cstheme="minorBidi"/>
      <w:color w:val="auto"/>
    </w:rPr>
  </w:style>
  <w:style w:type="paragraph" w:styleId="ListParagraph">
    <w:name w:val="List Paragraph"/>
    <w:basedOn w:val="Normal"/>
    <w:uiPriority w:val="34"/>
    <w:qFormat/>
    <w:rsid w:val="00FA56BE"/>
    <w:pPr>
      <w:ind w:left="720"/>
      <w:contextualSpacing/>
    </w:pPr>
  </w:style>
  <w:style w:type="paragraph" w:customStyle="1" w:styleId="Bodytext">
    <w:name w:val="#Body text"/>
    <w:basedOn w:val="Normal"/>
    <w:qFormat/>
    <w:rsid w:val="00362080"/>
    <w:pPr>
      <w:spacing w:after="200" w:line="240" w:lineRule="auto"/>
    </w:pPr>
    <w:rPr>
      <w:rFonts w:ascii="Calibri" w:hAnsi="Calibri"/>
      <w:color w:val="000000" w:themeColor="text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429574">
      <w:bodyDiv w:val="1"/>
      <w:marLeft w:val="0"/>
      <w:marRight w:val="0"/>
      <w:marTop w:val="0"/>
      <w:marBottom w:val="0"/>
      <w:divBdr>
        <w:top w:val="none" w:sz="0" w:space="0" w:color="auto"/>
        <w:left w:val="none" w:sz="0" w:space="0" w:color="auto"/>
        <w:bottom w:val="none" w:sz="0" w:space="0" w:color="auto"/>
        <w:right w:val="none" w:sz="0" w:space="0" w:color="auto"/>
      </w:divBdr>
    </w:div>
    <w:div w:id="413825637">
      <w:bodyDiv w:val="1"/>
      <w:marLeft w:val="0"/>
      <w:marRight w:val="0"/>
      <w:marTop w:val="0"/>
      <w:marBottom w:val="0"/>
      <w:divBdr>
        <w:top w:val="none" w:sz="0" w:space="0" w:color="auto"/>
        <w:left w:val="none" w:sz="0" w:space="0" w:color="auto"/>
        <w:bottom w:val="none" w:sz="0" w:space="0" w:color="auto"/>
        <w:right w:val="none" w:sz="0" w:space="0" w:color="auto"/>
      </w:divBdr>
    </w:div>
    <w:div w:id="435491222">
      <w:bodyDiv w:val="1"/>
      <w:marLeft w:val="0"/>
      <w:marRight w:val="0"/>
      <w:marTop w:val="0"/>
      <w:marBottom w:val="0"/>
      <w:divBdr>
        <w:top w:val="none" w:sz="0" w:space="0" w:color="auto"/>
        <w:left w:val="none" w:sz="0" w:space="0" w:color="auto"/>
        <w:bottom w:val="none" w:sz="0" w:space="0" w:color="auto"/>
        <w:right w:val="none" w:sz="0" w:space="0" w:color="auto"/>
      </w:divBdr>
    </w:div>
    <w:div w:id="611282513">
      <w:bodyDiv w:val="1"/>
      <w:marLeft w:val="0"/>
      <w:marRight w:val="0"/>
      <w:marTop w:val="0"/>
      <w:marBottom w:val="0"/>
      <w:divBdr>
        <w:top w:val="none" w:sz="0" w:space="0" w:color="auto"/>
        <w:left w:val="none" w:sz="0" w:space="0" w:color="auto"/>
        <w:bottom w:val="none" w:sz="0" w:space="0" w:color="auto"/>
        <w:right w:val="none" w:sz="0" w:space="0" w:color="auto"/>
      </w:divBdr>
    </w:div>
    <w:div w:id="802385535">
      <w:bodyDiv w:val="1"/>
      <w:marLeft w:val="0"/>
      <w:marRight w:val="0"/>
      <w:marTop w:val="0"/>
      <w:marBottom w:val="0"/>
      <w:divBdr>
        <w:top w:val="none" w:sz="0" w:space="0" w:color="auto"/>
        <w:left w:val="none" w:sz="0" w:space="0" w:color="auto"/>
        <w:bottom w:val="none" w:sz="0" w:space="0" w:color="auto"/>
        <w:right w:val="none" w:sz="0" w:space="0" w:color="auto"/>
      </w:divBdr>
    </w:div>
    <w:div w:id="953748109">
      <w:bodyDiv w:val="1"/>
      <w:marLeft w:val="0"/>
      <w:marRight w:val="0"/>
      <w:marTop w:val="0"/>
      <w:marBottom w:val="0"/>
      <w:divBdr>
        <w:top w:val="none" w:sz="0" w:space="0" w:color="auto"/>
        <w:left w:val="none" w:sz="0" w:space="0" w:color="auto"/>
        <w:bottom w:val="none" w:sz="0" w:space="0" w:color="auto"/>
        <w:right w:val="none" w:sz="0" w:space="0" w:color="auto"/>
      </w:divBdr>
    </w:div>
    <w:div w:id="1218736783">
      <w:bodyDiv w:val="1"/>
      <w:marLeft w:val="0"/>
      <w:marRight w:val="0"/>
      <w:marTop w:val="0"/>
      <w:marBottom w:val="0"/>
      <w:divBdr>
        <w:top w:val="none" w:sz="0" w:space="0" w:color="auto"/>
        <w:left w:val="none" w:sz="0" w:space="0" w:color="auto"/>
        <w:bottom w:val="none" w:sz="0" w:space="0" w:color="auto"/>
        <w:right w:val="none" w:sz="0" w:space="0" w:color="auto"/>
      </w:divBdr>
    </w:div>
    <w:div w:id="1251625024">
      <w:bodyDiv w:val="1"/>
      <w:marLeft w:val="0"/>
      <w:marRight w:val="0"/>
      <w:marTop w:val="0"/>
      <w:marBottom w:val="0"/>
      <w:divBdr>
        <w:top w:val="none" w:sz="0" w:space="0" w:color="auto"/>
        <w:left w:val="none" w:sz="0" w:space="0" w:color="auto"/>
        <w:bottom w:val="none" w:sz="0" w:space="0" w:color="auto"/>
        <w:right w:val="none" w:sz="0" w:space="0" w:color="auto"/>
      </w:divBdr>
    </w:div>
    <w:div w:id="1301494097">
      <w:bodyDiv w:val="1"/>
      <w:marLeft w:val="0"/>
      <w:marRight w:val="0"/>
      <w:marTop w:val="0"/>
      <w:marBottom w:val="0"/>
      <w:divBdr>
        <w:top w:val="none" w:sz="0" w:space="0" w:color="auto"/>
        <w:left w:val="none" w:sz="0" w:space="0" w:color="auto"/>
        <w:bottom w:val="none" w:sz="0" w:space="0" w:color="auto"/>
        <w:right w:val="none" w:sz="0" w:space="0" w:color="auto"/>
      </w:divBdr>
    </w:div>
    <w:div w:id="1522740302">
      <w:bodyDiv w:val="1"/>
      <w:marLeft w:val="0"/>
      <w:marRight w:val="0"/>
      <w:marTop w:val="0"/>
      <w:marBottom w:val="0"/>
      <w:divBdr>
        <w:top w:val="none" w:sz="0" w:space="0" w:color="auto"/>
        <w:left w:val="none" w:sz="0" w:space="0" w:color="auto"/>
        <w:bottom w:val="none" w:sz="0" w:space="0" w:color="auto"/>
        <w:right w:val="none" w:sz="0" w:space="0" w:color="auto"/>
      </w:divBdr>
    </w:div>
    <w:div w:id="1527019905">
      <w:bodyDiv w:val="1"/>
      <w:marLeft w:val="0"/>
      <w:marRight w:val="0"/>
      <w:marTop w:val="0"/>
      <w:marBottom w:val="0"/>
      <w:divBdr>
        <w:top w:val="none" w:sz="0" w:space="0" w:color="auto"/>
        <w:left w:val="none" w:sz="0" w:space="0" w:color="auto"/>
        <w:bottom w:val="none" w:sz="0" w:space="0" w:color="auto"/>
        <w:right w:val="none" w:sz="0" w:space="0" w:color="auto"/>
      </w:divBdr>
    </w:div>
    <w:div w:id="1807046199">
      <w:bodyDiv w:val="1"/>
      <w:marLeft w:val="0"/>
      <w:marRight w:val="0"/>
      <w:marTop w:val="0"/>
      <w:marBottom w:val="0"/>
      <w:divBdr>
        <w:top w:val="none" w:sz="0" w:space="0" w:color="auto"/>
        <w:left w:val="none" w:sz="0" w:space="0" w:color="auto"/>
        <w:bottom w:val="none" w:sz="0" w:space="0" w:color="auto"/>
        <w:right w:val="none" w:sz="0" w:space="0" w:color="auto"/>
      </w:divBdr>
    </w:div>
    <w:div w:id="195986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Ludlow, Sharna</dc:creator>
  <cp:keywords/>
  <dc:description/>
  <cp:lastModifiedBy>Vickers, Julie</cp:lastModifiedBy>
  <cp:revision>2</cp:revision>
  <dcterms:created xsi:type="dcterms:W3CDTF">2022-05-25T12:53:00Z</dcterms:created>
  <dcterms:modified xsi:type="dcterms:W3CDTF">2022-05-25T12:53:00Z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39374f-170d-4d1d-ad34-00f2ff8691e7_Enabled">
    <vt:lpwstr>True</vt:lpwstr>
  </property>
  <property fmtid="{D5CDD505-2E9C-101B-9397-08002B2CF9AE}" pid="3" name="MSIP_Label_3439374f-170d-4d1d-ad34-00f2ff8691e7_SiteId">
    <vt:lpwstr>aa42167d-6f8d-45ce-b655-d245ef97da66</vt:lpwstr>
  </property>
  <property fmtid="{D5CDD505-2E9C-101B-9397-08002B2CF9AE}" pid="4" name="MSIP_Label_3439374f-170d-4d1d-ad34-00f2ff8691e7_Owner">
    <vt:lpwstr>Sharna.Ludlow@mandg.com</vt:lpwstr>
  </property>
  <property fmtid="{D5CDD505-2E9C-101B-9397-08002B2CF9AE}" pid="5" name="MSIP_Label_3439374f-170d-4d1d-ad34-00f2ff8691e7_SetDate">
    <vt:lpwstr>2020-05-14T10:03:52.2969486Z</vt:lpwstr>
  </property>
  <property fmtid="{D5CDD505-2E9C-101B-9397-08002B2CF9AE}" pid="6" name="MSIP_Label_3439374f-170d-4d1d-ad34-00f2ff8691e7_Name">
    <vt:lpwstr>Restricted</vt:lpwstr>
  </property>
  <property fmtid="{D5CDD505-2E9C-101B-9397-08002B2CF9AE}" pid="7" name="MSIP_Label_3439374f-170d-4d1d-ad34-00f2ff8691e7_Application">
    <vt:lpwstr>Microsoft Azure Information Protection</vt:lpwstr>
  </property>
  <property fmtid="{D5CDD505-2E9C-101B-9397-08002B2CF9AE}" pid="8" name="MSIP_Label_3439374f-170d-4d1d-ad34-00f2ff8691e7_ActionId">
    <vt:lpwstr>87032c91-6d9b-45c4-901d-a081f10c49af</vt:lpwstr>
  </property>
  <property fmtid="{D5CDD505-2E9C-101B-9397-08002B2CF9AE}" pid="9" name="MSIP_Label_3439374f-170d-4d1d-ad34-00f2ff8691e7_Extended_MSFT_Method">
    <vt:lpwstr>Automatic</vt:lpwstr>
  </property>
  <property fmtid="{D5CDD505-2E9C-101B-9397-08002B2CF9AE}" pid="10" name="Sensitivity">
    <vt:lpwstr>Restricted</vt:lpwstr>
  </property>
</Properties>
</file>