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D0643" w14:textId="04351F6C" w:rsidR="005B0BD2" w:rsidRPr="00413E9E" w:rsidRDefault="00413E9E" w:rsidP="004F21D4">
      <w:pPr>
        <w:ind w:left="-142" w:right="-142"/>
        <w:jc w:val="both"/>
        <w:rPr>
          <w:color w:val="000000"/>
          <w:sz w:val="20"/>
          <w:szCs w:val="20"/>
          <w:lang w:eastAsia="zh-CN"/>
        </w:rPr>
      </w:pPr>
      <w:r w:rsidRPr="00413E9E">
        <w:rPr>
          <w:color w:val="000000"/>
          <w:sz w:val="20"/>
          <w:szCs w:val="20"/>
        </w:rPr>
        <w:t xml:space="preserve">The information contained within this announcement is deemed by the Company to constitute inside information stipulated under the Market Abuse Regulation (EU) No. 596/2014, as retained as part of the law of England and Wales. Upon the publication of this announcement via the Regulatory Information Service, this inside information is now considered to be in the public domain. </w:t>
      </w:r>
    </w:p>
    <w:p w14:paraId="084FEC77" w14:textId="77777777" w:rsidR="00413E9E" w:rsidRDefault="00413E9E" w:rsidP="00033A4B">
      <w:pPr>
        <w:rPr>
          <w:b/>
        </w:rPr>
      </w:pPr>
    </w:p>
    <w:p w14:paraId="62E4797F" w14:textId="0D891F1D" w:rsidR="00033A4B" w:rsidRDefault="00D03046" w:rsidP="00033A4B">
      <w:pPr>
        <w:rPr>
          <w:i/>
          <w:lang w:eastAsia="zh-CN"/>
        </w:rPr>
      </w:pPr>
      <w:r>
        <w:rPr>
          <w:b/>
        </w:rPr>
        <w:t>FOR IMMEDIATE RELEASE</w:t>
      </w:r>
      <w:r>
        <w:rPr>
          <w:b/>
        </w:rPr>
        <w:br/>
      </w:r>
      <w:r w:rsidR="00D00097">
        <w:rPr>
          <w:i/>
        </w:rPr>
        <w:t>1</w:t>
      </w:r>
      <w:r w:rsidR="00F4016A">
        <w:rPr>
          <w:i/>
        </w:rPr>
        <w:t>6</w:t>
      </w:r>
      <w:r w:rsidR="009E510E">
        <w:rPr>
          <w:i/>
        </w:rPr>
        <w:t xml:space="preserve"> June</w:t>
      </w:r>
      <w:r>
        <w:rPr>
          <w:i/>
        </w:rPr>
        <w:t xml:space="preserve"> 2025 </w:t>
      </w:r>
    </w:p>
    <w:p w14:paraId="00000001" w14:textId="3E65CFDF" w:rsidR="00970480" w:rsidRDefault="00D03046" w:rsidP="00033A4B">
      <w:pPr>
        <w:rPr>
          <w:i/>
        </w:rPr>
      </w:pPr>
      <w:r>
        <w:rPr>
          <w:i/>
        </w:rPr>
        <w:t>London, UK</w:t>
      </w:r>
    </w:p>
    <w:p w14:paraId="0EC7356E" w14:textId="522E67F2" w:rsidR="00B65BD6" w:rsidRDefault="00B65BD6" w:rsidP="00B65BD6">
      <w:pPr>
        <w:pStyle w:val="Heading3"/>
        <w:keepNext w:val="0"/>
        <w:keepLines w:val="0"/>
        <w:spacing w:before="280"/>
        <w:jc w:val="center"/>
        <w:rPr>
          <w:b/>
          <w:color w:val="000000"/>
          <w:sz w:val="26"/>
          <w:szCs w:val="26"/>
          <w:lang w:eastAsia="zh-CN"/>
        </w:rPr>
      </w:pPr>
      <w:bookmarkStart w:id="0" w:name="_1p33f1g1ay4p" w:colFirst="0" w:colLast="0"/>
      <w:bookmarkEnd w:id="0"/>
      <w:r w:rsidRPr="00B65BD6">
        <w:rPr>
          <w:b/>
          <w:color w:val="000000"/>
          <w:sz w:val="26"/>
          <w:szCs w:val="26"/>
        </w:rPr>
        <w:t>Defence Holdings PLC</w:t>
      </w:r>
    </w:p>
    <w:p w14:paraId="350B8A6C" w14:textId="169781B0" w:rsidR="00B65BD6" w:rsidRPr="00B65BD6" w:rsidRDefault="00B65BD6" w:rsidP="00B65BD6">
      <w:pPr>
        <w:jc w:val="center"/>
        <w:rPr>
          <w:lang w:val="en-CA" w:eastAsia="zh-CN"/>
        </w:rPr>
      </w:pPr>
      <w:r w:rsidRPr="00B65BD6">
        <w:rPr>
          <w:lang w:val="en-CA" w:eastAsia="zh-CN"/>
        </w:rPr>
        <w:t>("Defence" or "the Company")</w:t>
      </w:r>
    </w:p>
    <w:p w14:paraId="16B0D3CE" w14:textId="77777777" w:rsidR="00B65BD6" w:rsidRPr="00B65BD6" w:rsidRDefault="00B65BD6" w:rsidP="00B65BD6">
      <w:pPr>
        <w:rPr>
          <w:lang w:eastAsia="zh-CN"/>
        </w:rPr>
      </w:pPr>
    </w:p>
    <w:p w14:paraId="3ED75DEF" w14:textId="152AE1CE" w:rsidR="00B65BD6" w:rsidRDefault="009E510E" w:rsidP="009E510E">
      <w:pPr>
        <w:jc w:val="center"/>
        <w:rPr>
          <w:b/>
          <w:bCs/>
          <w:color w:val="000000"/>
          <w:sz w:val="26"/>
          <w:szCs w:val="26"/>
          <w:lang w:eastAsia="zh-CN"/>
        </w:rPr>
      </w:pPr>
      <w:r w:rsidRPr="009E510E">
        <w:rPr>
          <w:b/>
          <w:bCs/>
          <w:color w:val="000000"/>
          <w:sz w:val="26"/>
          <w:szCs w:val="26"/>
          <w:lang w:eastAsia="zh-CN"/>
        </w:rPr>
        <w:t>Interim results</w:t>
      </w:r>
    </w:p>
    <w:p w14:paraId="00D2AFDD" w14:textId="77777777" w:rsidR="008B559E" w:rsidRDefault="008B559E" w:rsidP="009E510E">
      <w:pPr>
        <w:jc w:val="center"/>
        <w:rPr>
          <w:b/>
          <w:bCs/>
          <w:color w:val="000000"/>
          <w:sz w:val="26"/>
          <w:szCs w:val="26"/>
          <w:lang w:eastAsia="zh-CN"/>
        </w:rPr>
      </w:pPr>
    </w:p>
    <w:p w14:paraId="5CF94510" w14:textId="77777777" w:rsidR="008B559E" w:rsidRPr="00361EFF" w:rsidRDefault="008B559E" w:rsidP="008B559E">
      <w:pPr>
        <w:pStyle w:val="NormalWeb"/>
        <w:rPr>
          <w:rFonts w:ascii="Arial" w:hAnsi="Arial" w:cs="Arial"/>
          <w:sz w:val="20"/>
          <w:szCs w:val="20"/>
        </w:rPr>
      </w:pPr>
      <w:r w:rsidRPr="00361EFF">
        <w:rPr>
          <w:rStyle w:val="Strong"/>
          <w:rFonts w:ascii="Arial" w:hAnsi="Arial" w:cs="Arial"/>
          <w:sz w:val="20"/>
          <w:szCs w:val="20"/>
        </w:rPr>
        <w:t>Defence Holdings PLC (ALRT) Announces Unaudited 15-Month Results to 31 December 2024</w:t>
      </w:r>
    </w:p>
    <w:p w14:paraId="6F319FA4" w14:textId="74045AC8" w:rsidR="009E510E" w:rsidRPr="00E45690" w:rsidRDefault="008B559E" w:rsidP="00E45690">
      <w:pPr>
        <w:pStyle w:val="NormalWeb"/>
        <w:rPr>
          <w:rFonts w:ascii="Arial" w:hAnsi="Arial" w:cs="Arial"/>
          <w:sz w:val="20"/>
          <w:szCs w:val="20"/>
        </w:rPr>
      </w:pPr>
      <w:r w:rsidRPr="00361EFF">
        <w:rPr>
          <w:rFonts w:ascii="Arial" w:hAnsi="Arial" w:cs="Arial"/>
          <w:sz w:val="20"/>
          <w:szCs w:val="20"/>
        </w:rPr>
        <w:t xml:space="preserve">Defence Holdings PLC (ALRT) has announced its unaudited financial results for the 15-month period ending 31 December 2024. This interim report also includes the previously reported </w:t>
      </w:r>
      <w:r w:rsidR="006C0FC4">
        <w:rPr>
          <w:rFonts w:ascii="Arial" w:hAnsi="Arial" w:cs="Arial"/>
          <w:sz w:val="20"/>
          <w:szCs w:val="20"/>
        </w:rPr>
        <w:t xml:space="preserve">audited </w:t>
      </w:r>
      <w:r w:rsidRPr="00361EFF">
        <w:rPr>
          <w:rFonts w:ascii="Arial" w:hAnsi="Arial" w:cs="Arial"/>
          <w:sz w:val="20"/>
          <w:szCs w:val="20"/>
        </w:rPr>
        <w:t xml:space="preserve">results for the </w:t>
      </w:r>
      <w:r w:rsidR="006C0FC4">
        <w:rPr>
          <w:rFonts w:ascii="Arial" w:hAnsi="Arial" w:cs="Arial"/>
          <w:sz w:val="20"/>
          <w:szCs w:val="20"/>
        </w:rPr>
        <w:t>year</w:t>
      </w:r>
      <w:r w:rsidRPr="00361EFF">
        <w:rPr>
          <w:rFonts w:ascii="Arial" w:hAnsi="Arial" w:cs="Arial"/>
          <w:sz w:val="20"/>
          <w:szCs w:val="20"/>
        </w:rPr>
        <w:t xml:space="preserve"> ended 3</w:t>
      </w:r>
      <w:r w:rsidR="006C0FC4">
        <w:rPr>
          <w:rFonts w:ascii="Arial" w:hAnsi="Arial" w:cs="Arial"/>
          <w:sz w:val="20"/>
          <w:szCs w:val="20"/>
        </w:rPr>
        <w:t>0</w:t>
      </w:r>
      <w:r w:rsidRPr="00361EFF">
        <w:rPr>
          <w:rFonts w:ascii="Arial" w:hAnsi="Arial" w:cs="Arial"/>
          <w:sz w:val="20"/>
          <w:szCs w:val="20"/>
        </w:rPr>
        <w:t xml:space="preserve"> </w:t>
      </w:r>
      <w:r w:rsidR="006C0FC4">
        <w:rPr>
          <w:rFonts w:ascii="Arial" w:hAnsi="Arial" w:cs="Arial"/>
          <w:sz w:val="20"/>
          <w:szCs w:val="20"/>
        </w:rPr>
        <w:t>Sep</w:t>
      </w:r>
      <w:r w:rsidR="00E45690">
        <w:rPr>
          <w:rFonts w:ascii="Arial" w:hAnsi="Arial" w:cs="Arial"/>
          <w:sz w:val="20"/>
          <w:szCs w:val="20"/>
        </w:rPr>
        <w:t>t</w:t>
      </w:r>
      <w:r w:rsidR="006C0FC4">
        <w:rPr>
          <w:rFonts w:ascii="Arial" w:hAnsi="Arial" w:cs="Arial"/>
          <w:sz w:val="20"/>
          <w:szCs w:val="20"/>
        </w:rPr>
        <w:t>ember</w:t>
      </w:r>
      <w:r w:rsidRPr="00361EFF">
        <w:rPr>
          <w:rFonts w:ascii="Arial" w:hAnsi="Arial" w:cs="Arial"/>
          <w:sz w:val="20"/>
          <w:szCs w:val="20"/>
        </w:rPr>
        <w:t xml:space="preserve"> 202</w:t>
      </w:r>
      <w:r w:rsidR="006C0FC4">
        <w:rPr>
          <w:rFonts w:ascii="Arial" w:hAnsi="Arial" w:cs="Arial"/>
          <w:sz w:val="20"/>
          <w:szCs w:val="20"/>
        </w:rPr>
        <w:t>3.</w:t>
      </w:r>
    </w:p>
    <w:p w14:paraId="0DF585D3" w14:textId="77777777" w:rsidR="009E510E" w:rsidRPr="00361EFF" w:rsidRDefault="009E510E" w:rsidP="009E510E">
      <w:pPr>
        <w:rPr>
          <w:b/>
          <w:bCs/>
          <w:sz w:val="20"/>
          <w:szCs w:val="20"/>
          <w:lang w:val="en-US" w:eastAsia="zh-CN"/>
        </w:rPr>
      </w:pPr>
      <w:r w:rsidRPr="00361EFF">
        <w:rPr>
          <w:b/>
          <w:bCs/>
          <w:sz w:val="20"/>
          <w:szCs w:val="20"/>
          <w:lang w:val="en-US" w:eastAsia="zh-CN"/>
        </w:rPr>
        <w:t>Chairman’s Statement</w:t>
      </w:r>
    </w:p>
    <w:p w14:paraId="33428092" w14:textId="77777777" w:rsidR="009E510E" w:rsidRPr="00361EFF" w:rsidRDefault="009E510E" w:rsidP="009E510E">
      <w:pPr>
        <w:rPr>
          <w:b/>
          <w:bCs/>
          <w:sz w:val="20"/>
          <w:szCs w:val="20"/>
          <w:lang w:val="en-US" w:eastAsia="zh-CN"/>
        </w:rPr>
      </w:pPr>
    </w:p>
    <w:p w14:paraId="1F1BA66D" w14:textId="77777777" w:rsidR="009E510E" w:rsidRPr="00361EFF" w:rsidRDefault="009E510E" w:rsidP="009E510E">
      <w:pPr>
        <w:rPr>
          <w:sz w:val="20"/>
          <w:szCs w:val="20"/>
          <w:lang w:val="en-US" w:eastAsia="zh-CN"/>
        </w:rPr>
      </w:pPr>
      <w:r w:rsidRPr="00361EFF">
        <w:rPr>
          <w:sz w:val="20"/>
          <w:szCs w:val="20"/>
          <w:lang w:val="en-US" w:eastAsia="zh-CN"/>
        </w:rPr>
        <w:t>For the Fifteen</w:t>
      </w:r>
      <w:r w:rsidRPr="00361EFF">
        <w:rPr>
          <w:rFonts w:ascii="Cambria Math" w:hAnsi="Cambria Math" w:cs="Cambria Math"/>
          <w:sz w:val="20"/>
          <w:szCs w:val="20"/>
          <w:lang w:val="en-US" w:eastAsia="zh-CN"/>
        </w:rPr>
        <w:t>‑</w:t>
      </w:r>
      <w:r w:rsidRPr="00361EFF">
        <w:rPr>
          <w:sz w:val="20"/>
          <w:szCs w:val="20"/>
          <w:lang w:val="en-US" w:eastAsia="zh-CN"/>
        </w:rPr>
        <w:t>Month Period Ended 31 December 2024</w:t>
      </w:r>
    </w:p>
    <w:p w14:paraId="724D4761" w14:textId="77777777" w:rsidR="009E510E" w:rsidRPr="00361EFF" w:rsidRDefault="009E510E" w:rsidP="009E510E">
      <w:pPr>
        <w:rPr>
          <w:sz w:val="20"/>
          <w:szCs w:val="20"/>
          <w:lang w:val="en-US" w:eastAsia="zh-CN"/>
        </w:rPr>
      </w:pPr>
    </w:p>
    <w:p w14:paraId="02CC74F9" w14:textId="61FB6351" w:rsidR="009E510E" w:rsidRPr="00361EFF" w:rsidRDefault="009E510E" w:rsidP="009E510E">
      <w:pPr>
        <w:rPr>
          <w:b/>
          <w:bCs/>
          <w:sz w:val="20"/>
          <w:szCs w:val="20"/>
          <w:lang w:val="en-US" w:eastAsia="zh-CN"/>
        </w:rPr>
      </w:pPr>
      <w:r w:rsidRPr="00361EFF">
        <w:rPr>
          <w:b/>
          <w:bCs/>
          <w:sz w:val="20"/>
          <w:szCs w:val="20"/>
          <w:lang w:val="en-US" w:eastAsia="zh-CN"/>
        </w:rPr>
        <w:t xml:space="preserve">1. Strategic Overhaul: From </w:t>
      </w:r>
      <w:r w:rsidR="00732A97" w:rsidRPr="00361EFF">
        <w:rPr>
          <w:b/>
          <w:bCs/>
          <w:sz w:val="20"/>
          <w:szCs w:val="20"/>
          <w:lang w:val="en-US" w:eastAsia="zh-CN"/>
        </w:rPr>
        <w:t>e</w:t>
      </w:r>
      <w:r w:rsidR="00D00097" w:rsidRPr="00361EFF">
        <w:rPr>
          <w:b/>
          <w:bCs/>
          <w:sz w:val="20"/>
          <w:szCs w:val="20"/>
          <w:lang w:val="en-US" w:eastAsia="zh-CN"/>
        </w:rPr>
        <w:t>-</w:t>
      </w:r>
      <w:r w:rsidRPr="00361EFF">
        <w:rPr>
          <w:b/>
          <w:bCs/>
          <w:sz w:val="20"/>
          <w:szCs w:val="20"/>
          <w:lang w:val="en-US" w:eastAsia="zh-CN"/>
        </w:rPr>
        <w:t xml:space="preserve">sports to </w:t>
      </w:r>
      <w:proofErr w:type="spellStart"/>
      <w:r w:rsidRPr="00361EFF">
        <w:rPr>
          <w:b/>
          <w:bCs/>
          <w:sz w:val="20"/>
          <w:szCs w:val="20"/>
          <w:lang w:val="en-US" w:eastAsia="zh-CN"/>
        </w:rPr>
        <w:t>Defence</w:t>
      </w:r>
      <w:proofErr w:type="spellEnd"/>
      <w:r w:rsidRPr="00361EFF">
        <w:rPr>
          <w:b/>
          <w:bCs/>
          <w:sz w:val="20"/>
          <w:szCs w:val="20"/>
          <w:lang w:val="en-US" w:eastAsia="zh-CN"/>
        </w:rPr>
        <w:t xml:space="preserve"> Technology</w:t>
      </w:r>
    </w:p>
    <w:p w14:paraId="5B41CEF9" w14:textId="77777777" w:rsidR="00361EFF" w:rsidRPr="00361EFF" w:rsidRDefault="00361EFF" w:rsidP="00361EFF">
      <w:pPr>
        <w:pStyle w:val="NormalWeb"/>
        <w:rPr>
          <w:rFonts w:ascii="Arial" w:hAnsi="Arial" w:cs="Arial"/>
          <w:sz w:val="20"/>
          <w:szCs w:val="20"/>
        </w:rPr>
      </w:pPr>
      <w:r w:rsidRPr="00361EFF">
        <w:rPr>
          <w:rFonts w:ascii="Arial" w:hAnsi="Arial" w:cs="Arial"/>
          <w:sz w:val="20"/>
          <w:szCs w:val="20"/>
        </w:rPr>
        <w:t>Over the past fifteen months, the Company has undergone a comprehensive strategic transformation.</w:t>
      </w:r>
    </w:p>
    <w:p w14:paraId="06ADFE21" w14:textId="77777777" w:rsidR="00361EFF" w:rsidRPr="00B46FA0" w:rsidRDefault="00361EFF" w:rsidP="00361EFF">
      <w:pPr>
        <w:pStyle w:val="NormalWeb"/>
        <w:rPr>
          <w:rFonts w:ascii="Arial" w:hAnsi="Arial" w:cs="Arial"/>
          <w:b/>
          <w:bCs/>
          <w:sz w:val="20"/>
          <w:szCs w:val="20"/>
        </w:rPr>
      </w:pPr>
      <w:r w:rsidRPr="00361EFF">
        <w:rPr>
          <w:rFonts w:ascii="Arial" w:hAnsi="Arial" w:cs="Arial"/>
          <w:sz w:val="20"/>
          <w:szCs w:val="20"/>
        </w:rPr>
        <w:t xml:space="preserve">Following a detailed strategic review, the Board unanimously resolved to reposition the Company as a publicly listed defence technology platform, situated at the heart of Europe’s defence innovation ecosystem. In May 2025, we launched a bold and urgent vision to build a mission-led, capital-efficient business focused on national and allied security innovation. As part of this transformation, the Company changed its name to </w:t>
      </w:r>
      <w:r w:rsidRPr="00B46FA0">
        <w:rPr>
          <w:rStyle w:val="Strong"/>
          <w:rFonts w:ascii="Arial" w:hAnsi="Arial" w:cs="Arial"/>
          <w:b w:val="0"/>
          <w:bCs w:val="0"/>
          <w:sz w:val="20"/>
          <w:szCs w:val="20"/>
        </w:rPr>
        <w:t>Defence Holdings plc</w:t>
      </w:r>
      <w:r w:rsidRPr="00361EFF">
        <w:rPr>
          <w:rFonts w:ascii="Arial" w:hAnsi="Arial" w:cs="Arial"/>
          <w:sz w:val="20"/>
          <w:szCs w:val="20"/>
        </w:rPr>
        <w:t xml:space="preserve"> and commenced trading under the ticker symbol </w:t>
      </w:r>
      <w:r w:rsidRPr="00B46FA0">
        <w:rPr>
          <w:rStyle w:val="Strong"/>
          <w:rFonts w:ascii="Arial" w:hAnsi="Arial" w:cs="Arial"/>
          <w:b w:val="0"/>
          <w:bCs w:val="0"/>
          <w:sz w:val="20"/>
          <w:szCs w:val="20"/>
        </w:rPr>
        <w:t>ALRT</w:t>
      </w:r>
      <w:r w:rsidRPr="00B46FA0">
        <w:rPr>
          <w:rFonts w:ascii="Arial" w:hAnsi="Arial" w:cs="Arial"/>
          <w:b/>
          <w:bCs/>
          <w:sz w:val="20"/>
          <w:szCs w:val="20"/>
        </w:rPr>
        <w:t>.</w:t>
      </w:r>
    </w:p>
    <w:p w14:paraId="5BFAD908" w14:textId="158DFE33" w:rsidR="00361EFF" w:rsidRPr="00361EFF" w:rsidRDefault="00361EFF" w:rsidP="00361EFF">
      <w:pPr>
        <w:pStyle w:val="NormalWeb"/>
        <w:rPr>
          <w:rFonts w:ascii="Arial" w:hAnsi="Arial" w:cs="Arial"/>
          <w:sz w:val="20"/>
          <w:szCs w:val="20"/>
        </w:rPr>
      </w:pPr>
      <w:r w:rsidRPr="00361EFF">
        <w:rPr>
          <w:rFonts w:ascii="Arial" w:hAnsi="Arial" w:cs="Arial"/>
          <w:sz w:val="20"/>
          <w:szCs w:val="20"/>
        </w:rPr>
        <w:t xml:space="preserve">The Company previously operated in the esports sector under the name </w:t>
      </w:r>
      <w:r w:rsidRPr="00B46FA0">
        <w:rPr>
          <w:rStyle w:val="Strong"/>
          <w:rFonts w:ascii="Arial" w:hAnsi="Arial" w:cs="Arial"/>
          <w:b w:val="0"/>
          <w:bCs w:val="0"/>
          <w:sz w:val="20"/>
          <w:szCs w:val="20"/>
        </w:rPr>
        <w:t>Guild Esports PLC</w:t>
      </w:r>
      <w:r w:rsidRPr="00361EFF">
        <w:rPr>
          <w:rFonts w:ascii="Arial" w:hAnsi="Arial" w:cs="Arial"/>
          <w:sz w:val="20"/>
          <w:szCs w:val="20"/>
        </w:rPr>
        <w:t xml:space="preserve">. In October 2024, it completed the disposal of all esports-related operations, assets and associated liabilities to </w:t>
      </w:r>
      <w:r w:rsidRPr="00B46FA0">
        <w:rPr>
          <w:rStyle w:val="Strong"/>
          <w:rFonts w:ascii="Arial" w:hAnsi="Arial" w:cs="Arial"/>
          <w:b w:val="0"/>
          <w:bCs w:val="0"/>
          <w:sz w:val="20"/>
          <w:szCs w:val="20"/>
        </w:rPr>
        <w:t>DCB Sports LLC</w:t>
      </w:r>
      <w:r w:rsidRPr="00B46FA0">
        <w:rPr>
          <w:rFonts w:ascii="Arial" w:hAnsi="Arial" w:cs="Arial"/>
          <w:b/>
          <w:bCs/>
          <w:sz w:val="20"/>
          <w:szCs w:val="20"/>
        </w:rPr>
        <w:t>.</w:t>
      </w:r>
      <w:r w:rsidRPr="00361EFF">
        <w:rPr>
          <w:rFonts w:ascii="Arial" w:hAnsi="Arial" w:cs="Arial"/>
          <w:sz w:val="20"/>
          <w:szCs w:val="20"/>
        </w:rPr>
        <w:t xml:space="preserve"> This transaction removed over £2 million in liabilities from the balance sheet and generated £100,000 in cash proceeds. All employees, </w:t>
      </w:r>
      <w:proofErr w:type="gramStart"/>
      <w:r w:rsidRPr="00361EFF">
        <w:rPr>
          <w:rFonts w:ascii="Arial" w:hAnsi="Arial" w:cs="Arial"/>
          <w:sz w:val="20"/>
          <w:szCs w:val="20"/>
        </w:rPr>
        <w:t>with the exception of</w:t>
      </w:r>
      <w:proofErr w:type="gramEnd"/>
      <w:r w:rsidRPr="00361EFF">
        <w:rPr>
          <w:rFonts w:ascii="Arial" w:hAnsi="Arial" w:cs="Arial"/>
          <w:sz w:val="20"/>
          <w:szCs w:val="20"/>
        </w:rPr>
        <w:t xml:space="preserve"> the non-executive directors, were either transferred with the business or </w:t>
      </w:r>
      <w:r w:rsidR="006C0FC4">
        <w:rPr>
          <w:rFonts w:ascii="Arial" w:hAnsi="Arial" w:cs="Arial"/>
          <w:sz w:val="20"/>
          <w:szCs w:val="20"/>
        </w:rPr>
        <w:t xml:space="preserve">have </w:t>
      </w:r>
      <w:r w:rsidRPr="00361EFF">
        <w:rPr>
          <w:rFonts w:ascii="Arial" w:hAnsi="Arial" w:cs="Arial"/>
          <w:sz w:val="20"/>
          <w:szCs w:val="20"/>
        </w:rPr>
        <w:t>departed from the Company.</w:t>
      </w:r>
    </w:p>
    <w:p w14:paraId="4CBDA521" w14:textId="5FF0B919" w:rsidR="009E510E" w:rsidRPr="00E45690" w:rsidRDefault="00361EFF" w:rsidP="00E45690">
      <w:pPr>
        <w:pStyle w:val="NormalWeb"/>
        <w:rPr>
          <w:rFonts w:ascii="Arial" w:hAnsi="Arial" w:cs="Arial"/>
          <w:sz w:val="20"/>
          <w:szCs w:val="20"/>
        </w:rPr>
      </w:pPr>
      <w:r w:rsidRPr="00361EFF">
        <w:rPr>
          <w:rFonts w:ascii="Arial" w:hAnsi="Arial" w:cs="Arial"/>
          <w:sz w:val="20"/>
          <w:szCs w:val="20"/>
        </w:rPr>
        <w:t xml:space="preserve">During the transition, the non-executive directors actively pursued a range of strategic alternatives. Following extensive discussions with </w:t>
      </w:r>
      <w:proofErr w:type="gramStart"/>
      <w:r w:rsidRPr="00361EFF">
        <w:rPr>
          <w:rFonts w:ascii="Arial" w:hAnsi="Arial" w:cs="Arial"/>
          <w:sz w:val="20"/>
          <w:szCs w:val="20"/>
        </w:rPr>
        <w:t>a number of</w:t>
      </w:r>
      <w:proofErr w:type="gramEnd"/>
      <w:r w:rsidRPr="00361EFF">
        <w:rPr>
          <w:rFonts w:ascii="Arial" w:hAnsi="Arial" w:cs="Arial"/>
          <w:sz w:val="20"/>
          <w:szCs w:val="20"/>
        </w:rPr>
        <w:t xml:space="preserve"> parties, the Board ultimately resolved to implement the Company’s </w:t>
      </w:r>
      <w:r w:rsidR="006C0FC4">
        <w:rPr>
          <w:rFonts w:ascii="Arial" w:hAnsi="Arial" w:cs="Arial"/>
          <w:sz w:val="20"/>
          <w:szCs w:val="20"/>
        </w:rPr>
        <w:t xml:space="preserve">own </w:t>
      </w:r>
      <w:r w:rsidRPr="00361EFF">
        <w:rPr>
          <w:rFonts w:ascii="Arial" w:hAnsi="Arial" w:cs="Arial"/>
          <w:sz w:val="20"/>
          <w:szCs w:val="20"/>
        </w:rPr>
        <w:t>refocused strategy in the defence sector, recognising the long-term opportunity and national importance of this domain.</w:t>
      </w:r>
    </w:p>
    <w:p w14:paraId="1A79FC2C" w14:textId="77777777" w:rsidR="009E510E" w:rsidRPr="009E510E" w:rsidRDefault="009E510E" w:rsidP="009E510E">
      <w:pPr>
        <w:rPr>
          <w:b/>
          <w:bCs/>
          <w:lang w:val="en-US" w:eastAsia="zh-CN"/>
        </w:rPr>
      </w:pPr>
      <w:r w:rsidRPr="009E510E">
        <w:rPr>
          <w:b/>
          <w:bCs/>
          <w:lang w:val="en-US" w:eastAsia="zh-CN"/>
        </w:rPr>
        <w:t>2. Launch of Our Five-Year Strategic Plan</w:t>
      </w:r>
    </w:p>
    <w:p w14:paraId="32884159" w14:textId="77777777" w:rsidR="00361EFF" w:rsidRPr="00361EFF" w:rsidRDefault="00361EFF" w:rsidP="00361EFF">
      <w:pPr>
        <w:pStyle w:val="NormalWeb"/>
        <w:rPr>
          <w:rFonts w:ascii="Arial" w:hAnsi="Arial" w:cs="Arial"/>
          <w:sz w:val="20"/>
          <w:szCs w:val="20"/>
        </w:rPr>
      </w:pPr>
      <w:r w:rsidRPr="00361EFF">
        <w:rPr>
          <w:rFonts w:ascii="Arial" w:hAnsi="Arial" w:cs="Arial"/>
          <w:sz w:val="20"/>
          <w:szCs w:val="20"/>
        </w:rPr>
        <w:lastRenderedPageBreak/>
        <w:t xml:space="preserve">On 29 May 2025, we published our </w:t>
      </w:r>
      <w:r w:rsidRPr="00361EFF">
        <w:rPr>
          <w:rStyle w:val="Strong"/>
          <w:rFonts w:ascii="Arial" w:hAnsi="Arial" w:cs="Arial"/>
          <w:b w:val="0"/>
          <w:bCs w:val="0"/>
          <w:sz w:val="20"/>
          <w:szCs w:val="20"/>
        </w:rPr>
        <w:t>2025–2030 Strategic Plan</w:t>
      </w:r>
      <w:r w:rsidRPr="00361EFF">
        <w:rPr>
          <w:rFonts w:ascii="Arial" w:hAnsi="Arial" w:cs="Arial"/>
          <w:sz w:val="20"/>
          <w:szCs w:val="20"/>
        </w:rPr>
        <w:t>, outlining a clear roadmap to position Defence Holdings plc as a leader in the software-defined, AI-driven defence era. Our strategy is structured around four core technology pillars:</w:t>
      </w:r>
    </w:p>
    <w:p w14:paraId="303FB8F1" w14:textId="77777777" w:rsidR="00361EFF" w:rsidRPr="00361EFF" w:rsidRDefault="00361EFF" w:rsidP="00361EFF">
      <w:pPr>
        <w:pStyle w:val="NormalWeb"/>
        <w:numPr>
          <w:ilvl w:val="0"/>
          <w:numId w:val="6"/>
        </w:numPr>
        <w:rPr>
          <w:rFonts w:ascii="Arial" w:hAnsi="Arial" w:cs="Arial"/>
          <w:b/>
          <w:bCs/>
          <w:sz w:val="20"/>
          <w:szCs w:val="20"/>
        </w:rPr>
      </w:pPr>
      <w:r w:rsidRPr="00361EFF">
        <w:rPr>
          <w:rStyle w:val="Strong"/>
          <w:rFonts w:ascii="Arial" w:hAnsi="Arial" w:cs="Arial"/>
          <w:b w:val="0"/>
          <w:bCs w:val="0"/>
          <w:sz w:val="20"/>
          <w:szCs w:val="20"/>
        </w:rPr>
        <w:t>Drone Warfare &amp; Aggregation</w:t>
      </w:r>
    </w:p>
    <w:p w14:paraId="17A6C594" w14:textId="77777777" w:rsidR="00361EFF" w:rsidRPr="00361EFF" w:rsidRDefault="00361EFF" w:rsidP="00361EFF">
      <w:pPr>
        <w:pStyle w:val="NormalWeb"/>
        <w:numPr>
          <w:ilvl w:val="0"/>
          <w:numId w:val="6"/>
        </w:numPr>
        <w:rPr>
          <w:rFonts w:ascii="Arial" w:hAnsi="Arial" w:cs="Arial"/>
          <w:b/>
          <w:bCs/>
          <w:sz w:val="20"/>
          <w:szCs w:val="20"/>
        </w:rPr>
      </w:pPr>
      <w:r w:rsidRPr="00361EFF">
        <w:rPr>
          <w:rStyle w:val="Strong"/>
          <w:rFonts w:ascii="Arial" w:hAnsi="Arial" w:cs="Arial"/>
          <w:b w:val="0"/>
          <w:bCs w:val="0"/>
          <w:sz w:val="20"/>
          <w:szCs w:val="20"/>
        </w:rPr>
        <w:t>AI Agents for Defence Operations</w:t>
      </w:r>
    </w:p>
    <w:p w14:paraId="73F671F0" w14:textId="77777777" w:rsidR="00361EFF" w:rsidRPr="00361EFF" w:rsidRDefault="00361EFF" w:rsidP="00361EFF">
      <w:pPr>
        <w:pStyle w:val="NormalWeb"/>
        <w:numPr>
          <w:ilvl w:val="0"/>
          <w:numId w:val="6"/>
        </w:numPr>
        <w:rPr>
          <w:rFonts w:ascii="Arial" w:hAnsi="Arial" w:cs="Arial"/>
          <w:b/>
          <w:bCs/>
          <w:sz w:val="20"/>
          <w:szCs w:val="20"/>
        </w:rPr>
      </w:pPr>
      <w:r w:rsidRPr="00361EFF">
        <w:rPr>
          <w:rStyle w:val="Strong"/>
          <w:rFonts w:ascii="Arial" w:hAnsi="Arial" w:cs="Arial"/>
          <w:b w:val="0"/>
          <w:bCs w:val="0"/>
          <w:sz w:val="20"/>
          <w:szCs w:val="20"/>
        </w:rPr>
        <w:t>Information &amp; Influence Warfare</w:t>
      </w:r>
    </w:p>
    <w:p w14:paraId="507E06B6" w14:textId="77777777" w:rsidR="00361EFF" w:rsidRPr="00361EFF" w:rsidRDefault="00361EFF" w:rsidP="00361EFF">
      <w:pPr>
        <w:pStyle w:val="NormalWeb"/>
        <w:numPr>
          <w:ilvl w:val="0"/>
          <w:numId w:val="6"/>
        </w:numPr>
        <w:rPr>
          <w:rFonts w:ascii="Arial" w:hAnsi="Arial" w:cs="Arial"/>
          <w:b/>
          <w:bCs/>
          <w:sz w:val="20"/>
          <w:szCs w:val="20"/>
        </w:rPr>
      </w:pPr>
      <w:r w:rsidRPr="00361EFF">
        <w:rPr>
          <w:rStyle w:val="Strong"/>
          <w:rFonts w:ascii="Arial" w:hAnsi="Arial" w:cs="Arial"/>
          <w:b w:val="0"/>
          <w:bCs w:val="0"/>
          <w:sz w:val="20"/>
          <w:szCs w:val="20"/>
        </w:rPr>
        <w:t>Critical Infrastructure Defence</w:t>
      </w:r>
    </w:p>
    <w:p w14:paraId="0DD45E25" w14:textId="0E59FFBD" w:rsidR="00361EFF" w:rsidRPr="00361EFF" w:rsidRDefault="00361EFF" w:rsidP="00361EFF">
      <w:pPr>
        <w:pStyle w:val="NormalWeb"/>
        <w:rPr>
          <w:rFonts w:ascii="Arial" w:hAnsi="Arial" w:cs="Arial"/>
          <w:sz w:val="20"/>
          <w:szCs w:val="20"/>
        </w:rPr>
      </w:pPr>
      <w:r w:rsidRPr="00361EFF">
        <w:rPr>
          <w:rFonts w:ascii="Arial" w:hAnsi="Arial" w:cs="Arial"/>
          <w:sz w:val="20"/>
          <w:szCs w:val="20"/>
        </w:rPr>
        <w:t xml:space="preserve">Each pillar is grounded in extensive analysis of contemporary conflict, with </w:t>
      </w:r>
      <w:proofErr w:type="gramStart"/>
      <w:r w:rsidRPr="00361EFF">
        <w:rPr>
          <w:rFonts w:ascii="Arial" w:hAnsi="Arial" w:cs="Arial"/>
          <w:sz w:val="20"/>
          <w:szCs w:val="20"/>
        </w:rPr>
        <w:t>particular reference</w:t>
      </w:r>
      <w:proofErr w:type="gramEnd"/>
      <w:r w:rsidRPr="00361EFF">
        <w:rPr>
          <w:rFonts w:ascii="Arial" w:hAnsi="Arial" w:cs="Arial"/>
          <w:sz w:val="20"/>
          <w:szCs w:val="20"/>
        </w:rPr>
        <w:t xml:space="preserve"> to the multi-domain dynamics observed in Ukraine</w:t>
      </w:r>
      <w:r w:rsidR="006C0FC4">
        <w:rPr>
          <w:rFonts w:ascii="Arial" w:hAnsi="Arial" w:cs="Arial"/>
          <w:sz w:val="20"/>
          <w:szCs w:val="20"/>
        </w:rPr>
        <w:t xml:space="preserve"> and beyond recently</w:t>
      </w:r>
      <w:r w:rsidRPr="00361EFF">
        <w:rPr>
          <w:rFonts w:ascii="Arial" w:hAnsi="Arial" w:cs="Arial"/>
          <w:sz w:val="20"/>
          <w:szCs w:val="20"/>
        </w:rPr>
        <w:t>. This conflict has highlighted how low-cost drones, AI-enabled logistics, synthetic media, and integrated cyber–physical threats are fundamentally reshaping the character of modern warfare.</w:t>
      </w:r>
    </w:p>
    <w:p w14:paraId="272C65BE" w14:textId="77777777" w:rsidR="00361EFF" w:rsidRPr="00361EFF" w:rsidRDefault="00361EFF" w:rsidP="00361EFF">
      <w:pPr>
        <w:pStyle w:val="NormalWeb"/>
        <w:rPr>
          <w:rFonts w:ascii="Arial" w:hAnsi="Arial" w:cs="Arial"/>
          <w:sz w:val="20"/>
          <w:szCs w:val="20"/>
        </w:rPr>
      </w:pPr>
      <w:r w:rsidRPr="00361EFF">
        <w:rPr>
          <w:rFonts w:ascii="Arial" w:hAnsi="Arial" w:cs="Arial"/>
          <w:sz w:val="20"/>
          <w:szCs w:val="20"/>
        </w:rPr>
        <w:t xml:space="preserve">In response, our platform is designed to deliver </w:t>
      </w:r>
      <w:r w:rsidRPr="00361EFF">
        <w:rPr>
          <w:rStyle w:val="Strong"/>
          <w:rFonts w:ascii="Arial" w:hAnsi="Arial" w:cs="Arial"/>
          <w:b w:val="0"/>
          <w:bCs w:val="0"/>
          <w:sz w:val="20"/>
          <w:szCs w:val="20"/>
        </w:rPr>
        <w:t>sovereign, modular capabilities</w:t>
      </w:r>
      <w:r w:rsidRPr="00361EFF">
        <w:rPr>
          <w:rFonts w:ascii="Arial" w:hAnsi="Arial" w:cs="Arial"/>
          <w:sz w:val="20"/>
          <w:szCs w:val="20"/>
        </w:rPr>
        <w:t xml:space="preserve"> that address these asymmetric and fast-evolving challenges, ensuring adaptability, resilience, and operational relevance.</w:t>
      </w:r>
    </w:p>
    <w:p w14:paraId="6D47FB9E" w14:textId="77777777" w:rsidR="00361EFF" w:rsidRPr="00361EFF" w:rsidRDefault="00361EFF" w:rsidP="00361EFF">
      <w:pPr>
        <w:pStyle w:val="NormalWeb"/>
        <w:rPr>
          <w:rFonts w:ascii="Arial" w:hAnsi="Arial" w:cs="Arial"/>
          <w:sz w:val="20"/>
          <w:szCs w:val="20"/>
        </w:rPr>
      </w:pPr>
      <w:r w:rsidRPr="00361EFF">
        <w:rPr>
          <w:rFonts w:ascii="Arial" w:hAnsi="Arial" w:cs="Arial"/>
          <w:sz w:val="20"/>
          <w:szCs w:val="20"/>
        </w:rPr>
        <w:t>Our strategic thesis is built on three core realities:</w:t>
      </w:r>
    </w:p>
    <w:p w14:paraId="7D8CD52E" w14:textId="77777777" w:rsidR="00361EFF" w:rsidRPr="00361EFF" w:rsidRDefault="00361EFF" w:rsidP="00361EFF">
      <w:pPr>
        <w:pStyle w:val="NormalWeb"/>
        <w:numPr>
          <w:ilvl w:val="0"/>
          <w:numId w:val="7"/>
        </w:numPr>
        <w:rPr>
          <w:rFonts w:ascii="Arial" w:hAnsi="Arial" w:cs="Arial"/>
          <w:sz w:val="20"/>
          <w:szCs w:val="20"/>
        </w:rPr>
      </w:pPr>
      <w:r w:rsidRPr="00361EFF">
        <w:rPr>
          <w:rStyle w:val="Strong"/>
          <w:rFonts w:ascii="Arial" w:hAnsi="Arial" w:cs="Arial"/>
          <w:b w:val="0"/>
          <w:bCs w:val="0"/>
          <w:sz w:val="20"/>
          <w:szCs w:val="20"/>
        </w:rPr>
        <w:t>Software is outpacing hardware</w:t>
      </w:r>
      <w:r w:rsidRPr="00361EFF">
        <w:rPr>
          <w:rFonts w:ascii="Arial" w:hAnsi="Arial" w:cs="Arial"/>
          <w:sz w:val="20"/>
          <w:szCs w:val="20"/>
        </w:rPr>
        <w:t xml:space="preserve"> in delivering marginal advantage on the modern battlefield</w:t>
      </w:r>
    </w:p>
    <w:p w14:paraId="1EDB3E6C" w14:textId="77777777" w:rsidR="00361EFF" w:rsidRPr="00361EFF" w:rsidRDefault="00361EFF" w:rsidP="00361EFF">
      <w:pPr>
        <w:pStyle w:val="NormalWeb"/>
        <w:numPr>
          <w:ilvl w:val="0"/>
          <w:numId w:val="7"/>
        </w:numPr>
        <w:rPr>
          <w:rFonts w:ascii="Arial" w:hAnsi="Arial" w:cs="Arial"/>
          <w:sz w:val="20"/>
          <w:szCs w:val="20"/>
        </w:rPr>
      </w:pPr>
      <w:r w:rsidRPr="00361EFF">
        <w:rPr>
          <w:rStyle w:val="Strong"/>
          <w:rFonts w:ascii="Arial" w:hAnsi="Arial" w:cs="Arial"/>
          <w:b w:val="0"/>
          <w:bCs w:val="0"/>
          <w:sz w:val="20"/>
          <w:szCs w:val="20"/>
        </w:rPr>
        <w:t>Sovereignty is non-negotiable</w:t>
      </w:r>
      <w:r w:rsidRPr="00361EFF">
        <w:rPr>
          <w:rFonts w:ascii="Arial" w:hAnsi="Arial" w:cs="Arial"/>
          <w:sz w:val="20"/>
          <w:szCs w:val="20"/>
        </w:rPr>
        <w:t>, as UK and EU customers increasingly prioritise indigenous intellectual property</w:t>
      </w:r>
    </w:p>
    <w:p w14:paraId="03C30CB1" w14:textId="677072CB" w:rsidR="009E510E" w:rsidRPr="00E45690" w:rsidRDefault="00361EFF" w:rsidP="009E510E">
      <w:pPr>
        <w:pStyle w:val="NormalWeb"/>
        <w:numPr>
          <w:ilvl w:val="0"/>
          <w:numId w:val="7"/>
        </w:numPr>
        <w:rPr>
          <w:rFonts w:ascii="Arial" w:hAnsi="Arial" w:cs="Arial"/>
          <w:sz w:val="20"/>
          <w:szCs w:val="20"/>
        </w:rPr>
      </w:pPr>
      <w:r w:rsidRPr="00361EFF">
        <w:rPr>
          <w:rStyle w:val="Strong"/>
          <w:rFonts w:ascii="Arial" w:hAnsi="Arial" w:cs="Arial"/>
          <w:b w:val="0"/>
          <w:bCs w:val="0"/>
          <w:sz w:val="20"/>
          <w:szCs w:val="20"/>
        </w:rPr>
        <w:t>Agility outperforms legacy</w:t>
      </w:r>
      <w:r w:rsidRPr="00361EFF">
        <w:rPr>
          <w:rFonts w:ascii="Arial" w:hAnsi="Arial" w:cs="Arial"/>
          <w:sz w:val="20"/>
          <w:szCs w:val="20"/>
        </w:rPr>
        <w:t>, with lean, focused platforms more likely to secure innovation budgets across NATO and EU member states</w:t>
      </w:r>
    </w:p>
    <w:p w14:paraId="2C2F4EDE" w14:textId="77777777" w:rsidR="009E510E" w:rsidRDefault="009E510E" w:rsidP="009E510E">
      <w:pPr>
        <w:rPr>
          <w:b/>
          <w:bCs/>
          <w:lang w:val="en-US" w:eastAsia="zh-CN"/>
        </w:rPr>
      </w:pPr>
      <w:r w:rsidRPr="009E510E">
        <w:rPr>
          <w:b/>
          <w:bCs/>
          <w:lang w:val="en-US" w:eastAsia="zh-CN"/>
        </w:rPr>
        <w:t>3. Strengthened Financial Platform</w:t>
      </w:r>
    </w:p>
    <w:p w14:paraId="0F01B1B9" w14:textId="77777777" w:rsidR="00361EFF" w:rsidRPr="00361EFF" w:rsidRDefault="00361EFF" w:rsidP="00361EFF">
      <w:pPr>
        <w:pStyle w:val="NormalWeb"/>
        <w:rPr>
          <w:rFonts w:ascii="Arial" w:hAnsi="Arial" w:cs="Arial"/>
          <w:sz w:val="20"/>
          <w:szCs w:val="20"/>
        </w:rPr>
      </w:pPr>
      <w:r w:rsidRPr="00361EFF">
        <w:rPr>
          <w:rFonts w:ascii="Arial" w:hAnsi="Arial" w:cs="Arial"/>
          <w:sz w:val="20"/>
          <w:szCs w:val="20"/>
        </w:rPr>
        <w:t xml:space="preserve">To enable the delivery of our 2025–2030 Strategic Plan, we have </w:t>
      </w:r>
      <w:r w:rsidRPr="00361EFF">
        <w:rPr>
          <w:rStyle w:val="Strong"/>
          <w:rFonts w:ascii="Arial" w:hAnsi="Arial" w:cs="Arial"/>
          <w:b w:val="0"/>
          <w:bCs w:val="0"/>
          <w:sz w:val="20"/>
          <w:szCs w:val="20"/>
        </w:rPr>
        <w:t>conditionally raised £3.45 million</w:t>
      </w:r>
      <w:r w:rsidRPr="00361EFF">
        <w:rPr>
          <w:rFonts w:ascii="Arial" w:hAnsi="Arial" w:cs="Arial"/>
          <w:sz w:val="20"/>
          <w:szCs w:val="20"/>
        </w:rPr>
        <w:t xml:space="preserve"> via an </w:t>
      </w:r>
      <w:r w:rsidRPr="00361EFF">
        <w:rPr>
          <w:rStyle w:val="Strong"/>
          <w:rFonts w:ascii="Arial" w:hAnsi="Arial" w:cs="Arial"/>
          <w:b w:val="0"/>
          <w:bCs w:val="0"/>
          <w:sz w:val="20"/>
          <w:szCs w:val="20"/>
        </w:rPr>
        <w:t>oversubscribed placing and subscription</w:t>
      </w:r>
      <w:r w:rsidRPr="00361EFF">
        <w:rPr>
          <w:rFonts w:ascii="Arial" w:hAnsi="Arial" w:cs="Arial"/>
          <w:sz w:val="20"/>
          <w:szCs w:val="20"/>
        </w:rPr>
        <w:t xml:space="preserve">, announced on 30 May 2025, at a price of </w:t>
      </w:r>
      <w:r w:rsidRPr="00361EFF">
        <w:rPr>
          <w:rStyle w:val="Strong"/>
          <w:rFonts w:ascii="Arial" w:hAnsi="Arial" w:cs="Arial"/>
          <w:b w:val="0"/>
          <w:bCs w:val="0"/>
          <w:sz w:val="20"/>
          <w:szCs w:val="20"/>
        </w:rPr>
        <w:t>0.325 pence per share</w:t>
      </w:r>
      <w:r w:rsidRPr="00361EFF">
        <w:rPr>
          <w:rFonts w:ascii="Arial" w:hAnsi="Arial" w:cs="Arial"/>
          <w:sz w:val="20"/>
          <w:szCs w:val="20"/>
        </w:rPr>
        <w:t xml:space="preserve">. Reflecting their confidence in the Company’s new direction, members of the Board contributed an additional </w:t>
      </w:r>
      <w:r w:rsidRPr="00361EFF">
        <w:rPr>
          <w:rStyle w:val="Strong"/>
          <w:rFonts w:ascii="Arial" w:hAnsi="Arial" w:cs="Arial"/>
          <w:b w:val="0"/>
          <w:bCs w:val="0"/>
          <w:sz w:val="20"/>
          <w:szCs w:val="20"/>
        </w:rPr>
        <w:t>£350,000</w:t>
      </w:r>
      <w:r w:rsidRPr="00361EFF">
        <w:rPr>
          <w:rFonts w:ascii="Arial" w:hAnsi="Arial" w:cs="Arial"/>
          <w:sz w:val="20"/>
          <w:szCs w:val="20"/>
        </w:rPr>
        <w:t xml:space="preserve"> as part of the raise.</w:t>
      </w:r>
    </w:p>
    <w:p w14:paraId="4F0BC1A0" w14:textId="77777777" w:rsidR="00361EFF" w:rsidRPr="00361EFF" w:rsidRDefault="00361EFF" w:rsidP="00361EFF">
      <w:pPr>
        <w:pStyle w:val="NormalWeb"/>
        <w:rPr>
          <w:rFonts w:ascii="Arial" w:hAnsi="Arial" w:cs="Arial"/>
          <w:sz w:val="20"/>
          <w:szCs w:val="20"/>
        </w:rPr>
      </w:pPr>
      <w:r w:rsidRPr="00361EFF">
        <w:rPr>
          <w:rFonts w:ascii="Arial" w:hAnsi="Arial" w:cs="Arial"/>
          <w:sz w:val="20"/>
          <w:szCs w:val="20"/>
        </w:rPr>
        <w:t>This funding provides the necessary capital to support the early execution of our strategy, including:</w:t>
      </w:r>
    </w:p>
    <w:p w14:paraId="110FF28A" w14:textId="77777777" w:rsidR="00361EFF" w:rsidRPr="00361EFF" w:rsidRDefault="00361EFF" w:rsidP="00361EFF">
      <w:pPr>
        <w:pStyle w:val="NormalWeb"/>
        <w:numPr>
          <w:ilvl w:val="0"/>
          <w:numId w:val="8"/>
        </w:numPr>
        <w:rPr>
          <w:rFonts w:ascii="Arial" w:hAnsi="Arial" w:cs="Arial"/>
          <w:sz w:val="20"/>
          <w:szCs w:val="20"/>
        </w:rPr>
      </w:pPr>
      <w:r w:rsidRPr="00361EFF">
        <w:rPr>
          <w:rStyle w:val="Strong"/>
          <w:rFonts w:ascii="Arial" w:hAnsi="Arial" w:cs="Arial"/>
          <w:b w:val="0"/>
          <w:bCs w:val="0"/>
          <w:sz w:val="20"/>
          <w:szCs w:val="20"/>
        </w:rPr>
        <w:t>Accelerated recruitment</w:t>
      </w:r>
      <w:r w:rsidRPr="00361EFF">
        <w:rPr>
          <w:rFonts w:ascii="Arial" w:hAnsi="Arial" w:cs="Arial"/>
          <w:sz w:val="20"/>
          <w:szCs w:val="20"/>
        </w:rPr>
        <w:t xml:space="preserve"> of key technical and operational personnel</w:t>
      </w:r>
    </w:p>
    <w:p w14:paraId="2BD862B0" w14:textId="77777777" w:rsidR="00361EFF" w:rsidRPr="00361EFF" w:rsidRDefault="00361EFF" w:rsidP="00361EFF">
      <w:pPr>
        <w:pStyle w:val="NormalWeb"/>
        <w:numPr>
          <w:ilvl w:val="0"/>
          <w:numId w:val="8"/>
        </w:numPr>
        <w:rPr>
          <w:rFonts w:ascii="Arial" w:hAnsi="Arial" w:cs="Arial"/>
          <w:sz w:val="20"/>
          <w:szCs w:val="20"/>
        </w:rPr>
      </w:pPr>
      <w:r w:rsidRPr="00361EFF">
        <w:rPr>
          <w:rStyle w:val="Strong"/>
          <w:rFonts w:ascii="Arial" w:hAnsi="Arial" w:cs="Arial"/>
          <w:b w:val="0"/>
          <w:bCs w:val="0"/>
          <w:sz w:val="20"/>
          <w:szCs w:val="20"/>
        </w:rPr>
        <w:t>Rapid development of prototypes</w:t>
      </w:r>
      <w:r w:rsidRPr="00361EFF">
        <w:rPr>
          <w:rFonts w:ascii="Arial" w:hAnsi="Arial" w:cs="Arial"/>
          <w:sz w:val="20"/>
          <w:szCs w:val="20"/>
        </w:rPr>
        <w:t xml:space="preserve"> across all four technology pillars</w:t>
      </w:r>
    </w:p>
    <w:p w14:paraId="274EC983" w14:textId="77777777" w:rsidR="00361EFF" w:rsidRPr="00361EFF" w:rsidRDefault="00361EFF" w:rsidP="00361EFF">
      <w:pPr>
        <w:pStyle w:val="NormalWeb"/>
        <w:numPr>
          <w:ilvl w:val="0"/>
          <w:numId w:val="8"/>
        </w:numPr>
        <w:rPr>
          <w:rFonts w:ascii="Arial" w:hAnsi="Arial" w:cs="Arial"/>
          <w:sz w:val="20"/>
          <w:szCs w:val="20"/>
        </w:rPr>
      </w:pPr>
      <w:r w:rsidRPr="00361EFF">
        <w:rPr>
          <w:rStyle w:val="Strong"/>
          <w:rFonts w:ascii="Arial" w:hAnsi="Arial" w:cs="Arial"/>
          <w:b w:val="0"/>
          <w:bCs w:val="0"/>
          <w:sz w:val="20"/>
          <w:szCs w:val="20"/>
        </w:rPr>
        <w:t>Initial deployments and pilot programmes</w:t>
      </w:r>
      <w:r w:rsidRPr="00361EFF">
        <w:rPr>
          <w:rFonts w:ascii="Arial" w:hAnsi="Arial" w:cs="Arial"/>
          <w:sz w:val="20"/>
          <w:szCs w:val="20"/>
        </w:rPr>
        <w:t>, in collaboration with prospective government and defence partners</w:t>
      </w:r>
    </w:p>
    <w:p w14:paraId="14957CAF" w14:textId="77777777" w:rsidR="00361EFF" w:rsidRPr="00361EFF" w:rsidRDefault="00361EFF" w:rsidP="00361EFF">
      <w:pPr>
        <w:pStyle w:val="NormalWeb"/>
        <w:numPr>
          <w:ilvl w:val="0"/>
          <w:numId w:val="8"/>
        </w:numPr>
        <w:rPr>
          <w:rFonts w:ascii="Arial" w:hAnsi="Arial" w:cs="Arial"/>
          <w:sz w:val="20"/>
          <w:szCs w:val="20"/>
        </w:rPr>
      </w:pPr>
      <w:r w:rsidRPr="00361EFF">
        <w:rPr>
          <w:rStyle w:val="Strong"/>
          <w:rFonts w:ascii="Arial" w:hAnsi="Arial" w:cs="Arial"/>
          <w:b w:val="0"/>
          <w:bCs w:val="0"/>
          <w:sz w:val="20"/>
          <w:szCs w:val="20"/>
        </w:rPr>
        <w:t>Expansion of research partnerships</w:t>
      </w:r>
      <w:r w:rsidRPr="00361EFF">
        <w:rPr>
          <w:rFonts w:ascii="Arial" w:hAnsi="Arial" w:cs="Arial"/>
          <w:sz w:val="20"/>
          <w:szCs w:val="20"/>
        </w:rPr>
        <w:t>, including early-stage engagement with UK and European innovation ecosystems</w:t>
      </w:r>
    </w:p>
    <w:p w14:paraId="45DD1419" w14:textId="2D47DCF6" w:rsidR="00361EFF" w:rsidRPr="00361EFF" w:rsidRDefault="00361EFF" w:rsidP="00361EFF">
      <w:pPr>
        <w:pStyle w:val="NormalWeb"/>
        <w:rPr>
          <w:rFonts w:ascii="Arial" w:hAnsi="Arial" w:cs="Arial"/>
          <w:sz w:val="20"/>
          <w:szCs w:val="20"/>
        </w:rPr>
      </w:pPr>
      <w:r w:rsidRPr="00361EFF">
        <w:rPr>
          <w:rFonts w:ascii="Arial" w:hAnsi="Arial" w:cs="Arial"/>
          <w:sz w:val="20"/>
          <w:szCs w:val="20"/>
        </w:rPr>
        <w:t xml:space="preserve">Crucially, this fundraise comes at a time when the Company has reset its financial foundation. Following the divestment of our former esports business, we now operate with a </w:t>
      </w:r>
      <w:r w:rsidRPr="00361EFF">
        <w:rPr>
          <w:rStyle w:val="Strong"/>
          <w:rFonts w:ascii="Arial" w:hAnsi="Arial" w:cs="Arial"/>
          <w:b w:val="0"/>
          <w:bCs w:val="0"/>
          <w:sz w:val="20"/>
          <w:szCs w:val="20"/>
        </w:rPr>
        <w:t>streamlined cost base</w:t>
      </w:r>
      <w:r w:rsidRPr="00361EFF">
        <w:rPr>
          <w:rFonts w:ascii="Arial" w:hAnsi="Arial" w:cs="Arial"/>
          <w:sz w:val="20"/>
          <w:szCs w:val="20"/>
        </w:rPr>
        <w:t xml:space="preserve"> and no </w:t>
      </w:r>
      <w:r w:rsidR="006C0FC4">
        <w:rPr>
          <w:rFonts w:ascii="Arial" w:hAnsi="Arial" w:cs="Arial"/>
          <w:sz w:val="20"/>
          <w:szCs w:val="20"/>
        </w:rPr>
        <w:t>significant</w:t>
      </w:r>
      <w:r w:rsidRPr="00361EFF">
        <w:rPr>
          <w:rFonts w:ascii="Arial" w:hAnsi="Arial" w:cs="Arial"/>
          <w:sz w:val="20"/>
          <w:szCs w:val="20"/>
        </w:rPr>
        <w:t xml:space="preserve"> legacy liabilities. This allows us to deploy capital with a clear focus on growth and capability development, without the burden of historical overheads.</w:t>
      </w:r>
    </w:p>
    <w:p w14:paraId="4D58EAB5" w14:textId="23E85ACF" w:rsidR="00361EFF" w:rsidRPr="00361EFF" w:rsidRDefault="00361EFF" w:rsidP="00361EFF">
      <w:pPr>
        <w:pStyle w:val="NormalWeb"/>
        <w:rPr>
          <w:rFonts w:ascii="Arial" w:hAnsi="Arial" w:cs="Arial"/>
          <w:sz w:val="20"/>
          <w:szCs w:val="20"/>
        </w:rPr>
      </w:pPr>
      <w:r w:rsidRPr="00361EFF">
        <w:rPr>
          <w:rFonts w:ascii="Arial" w:hAnsi="Arial" w:cs="Arial"/>
          <w:sz w:val="20"/>
          <w:szCs w:val="20"/>
        </w:rPr>
        <w:t xml:space="preserve">We are entering the commercial build phase </w:t>
      </w:r>
      <w:r w:rsidR="006C0FC4">
        <w:rPr>
          <w:rFonts w:ascii="Arial" w:hAnsi="Arial" w:cs="Arial"/>
          <w:sz w:val="20"/>
          <w:szCs w:val="20"/>
        </w:rPr>
        <w:t xml:space="preserve">of our strategic plan </w:t>
      </w:r>
      <w:r w:rsidRPr="00361EFF">
        <w:rPr>
          <w:rFonts w:ascii="Arial" w:hAnsi="Arial" w:cs="Arial"/>
          <w:sz w:val="20"/>
          <w:szCs w:val="20"/>
        </w:rPr>
        <w:t xml:space="preserve">with a </w:t>
      </w:r>
      <w:r w:rsidRPr="00361EFF">
        <w:rPr>
          <w:rStyle w:val="Strong"/>
          <w:rFonts w:ascii="Arial" w:hAnsi="Arial" w:cs="Arial"/>
          <w:b w:val="0"/>
          <w:bCs w:val="0"/>
          <w:sz w:val="20"/>
          <w:szCs w:val="20"/>
        </w:rPr>
        <w:t>disciplined capital allocation approach</w:t>
      </w:r>
      <w:r w:rsidRPr="00361EFF">
        <w:rPr>
          <w:rFonts w:ascii="Arial" w:hAnsi="Arial" w:cs="Arial"/>
          <w:sz w:val="20"/>
          <w:szCs w:val="20"/>
        </w:rPr>
        <w:t>, targeting high-impact opportunities that align with our strategic pillars and national security priorities. Our ambition is to scale intelligently, leveraging a capital-efficient model while retaining the agility needed to respond to the fast-evolving defence landscape.</w:t>
      </w:r>
    </w:p>
    <w:p w14:paraId="2FA7157D" w14:textId="77777777" w:rsidR="004F21D4" w:rsidRPr="009E510E" w:rsidRDefault="004F21D4" w:rsidP="009E510E">
      <w:pPr>
        <w:rPr>
          <w:b/>
          <w:bCs/>
          <w:lang w:val="en-US" w:eastAsia="zh-CN"/>
        </w:rPr>
      </w:pPr>
    </w:p>
    <w:p w14:paraId="45EF1361" w14:textId="77777777" w:rsidR="009E510E" w:rsidRPr="009E510E" w:rsidRDefault="009E510E" w:rsidP="009E510E">
      <w:pPr>
        <w:rPr>
          <w:lang w:val="en-US" w:eastAsia="zh-CN"/>
        </w:rPr>
      </w:pPr>
    </w:p>
    <w:p w14:paraId="75A0C6B8" w14:textId="30F9EEBE" w:rsidR="004F21D4" w:rsidRPr="00E45690" w:rsidRDefault="005B0BD2" w:rsidP="009E510E">
      <w:pPr>
        <w:rPr>
          <w:b/>
          <w:bCs/>
          <w:lang w:val="en-US" w:eastAsia="zh-CN"/>
        </w:rPr>
      </w:pPr>
      <w:r>
        <w:rPr>
          <w:b/>
          <w:bCs/>
          <w:lang w:val="en-US" w:eastAsia="zh-CN"/>
        </w:rPr>
        <w:lastRenderedPageBreak/>
        <w:t>5</w:t>
      </w:r>
      <w:r w:rsidR="009E510E" w:rsidRPr="009E510E">
        <w:rPr>
          <w:b/>
          <w:bCs/>
          <w:lang w:val="en-US" w:eastAsia="zh-CN"/>
        </w:rPr>
        <w:t>. Governance Realignment</w:t>
      </w:r>
    </w:p>
    <w:p w14:paraId="0DE86A78" w14:textId="77777777" w:rsidR="00855829" w:rsidRPr="00855829" w:rsidRDefault="00855829" w:rsidP="00855829">
      <w:pPr>
        <w:spacing w:before="100" w:beforeAutospacing="1" w:after="100" w:afterAutospacing="1" w:line="240" w:lineRule="auto"/>
        <w:outlineLvl w:val="2"/>
        <w:rPr>
          <w:rFonts w:eastAsia="Times New Roman"/>
          <w:b/>
          <w:bCs/>
          <w:sz w:val="20"/>
          <w:szCs w:val="20"/>
        </w:rPr>
      </w:pPr>
      <w:r w:rsidRPr="00855829">
        <w:rPr>
          <w:rFonts w:eastAsia="Times New Roman"/>
          <w:b/>
          <w:bCs/>
          <w:sz w:val="20"/>
          <w:szCs w:val="20"/>
        </w:rPr>
        <w:t>Board and Leadership Transformation</w:t>
      </w:r>
    </w:p>
    <w:p w14:paraId="28494095" w14:textId="77777777" w:rsidR="00855829" w:rsidRPr="00855829" w:rsidRDefault="00855829" w:rsidP="00855829">
      <w:pPr>
        <w:spacing w:before="100" w:beforeAutospacing="1" w:after="100" w:afterAutospacing="1" w:line="240" w:lineRule="auto"/>
        <w:rPr>
          <w:rFonts w:eastAsia="Times New Roman"/>
          <w:sz w:val="20"/>
          <w:szCs w:val="20"/>
        </w:rPr>
      </w:pPr>
      <w:r w:rsidRPr="00855829">
        <w:rPr>
          <w:rFonts w:eastAsia="Times New Roman"/>
          <w:sz w:val="20"/>
          <w:szCs w:val="20"/>
        </w:rPr>
        <w:t>As part of the Company’s strategic reset, we are undertaking a fundamental reshaping of the Board and leadership structure to reflect our new mission and the specialised demands of operating within the defence technology sector.</w:t>
      </w:r>
    </w:p>
    <w:p w14:paraId="1D3F5671" w14:textId="77777777" w:rsidR="00855829" w:rsidRPr="00855829" w:rsidRDefault="00855829" w:rsidP="00855829">
      <w:pPr>
        <w:spacing w:before="100" w:beforeAutospacing="1" w:after="100" w:afterAutospacing="1" w:line="240" w:lineRule="auto"/>
        <w:rPr>
          <w:rFonts w:eastAsia="Times New Roman"/>
          <w:sz w:val="20"/>
          <w:szCs w:val="20"/>
        </w:rPr>
      </w:pPr>
      <w:r w:rsidRPr="00855829">
        <w:rPr>
          <w:rFonts w:eastAsia="Times New Roman"/>
          <w:sz w:val="20"/>
          <w:szCs w:val="20"/>
        </w:rPr>
        <w:t>We are bringing forward a proposed group of directors and senior advisers with extensive experience across defence, national security, cyber operations, artificial intelligence, aerospace, and strategic communications. These individuals have served in senior leadership positions across government, military, intelligence, and the private sector, and bring with them the insight, networks, and credibility needed to position Defence Holdings plc as a trusted partner to allied governments and defence customers.</w:t>
      </w:r>
    </w:p>
    <w:p w14:paraId="21E3FD60" w14:textId="77777777" w:rsidR="00855829" w:rsidRPr="00855829" w:rsidRDefault="00855829" w:rsidP="00855829">
      <w:pPr>
        <w:spacing w:before="100" w:beforeAutospacing="1" w:after="100" w:afterAutospacing="1" w:line="240" w:lineRule="auto"/>
        <w:rPr>
          <w:rFonts w:eastAsia="Times New Roman"/>
          <w:sz w:val="20"/>
          <w:szCs w:val="20"/>
        </w:rPr>
      </w:pPr>
      <w:r w:rsidRPr="00855829">
        <w:rPr>
          <w:rFonts w:eastAsia="Times New Roman"/>
          <w:sz w:val="20"/>
          <w:szCs w:val="20"/>
        </w:rPr>
        <w:t>This leadership evolution is not cosmetic—it is foundational. Our strategy is ambitious and mission-led, and it requires a governance framework that combines agility with rigour. The reshaped Board will ensure that the Company maintains the highest standards of corporate governance, ethical responsibility, and operational oversight as we navigate the unique sensitivities of dual-use technology, sovereign defence procurement, and national security engagement.</w:t>
      </w:r>
    </w:p>
    <w:p w14:paraId="2E21C1C7" w14:textId="7F48AFC2" w:rsidR="00855829" w:rsidRPr="00855829" w:rsidRDefault="00855829" w:rsidP="00E45690">
      <w:pPr>
        <w:spacing w:before="100" w:beforeAutospacing="1" w:after="100" w:afterAutospacing="1" w:line="240" w:lineRule="auto"/>
        <w:rPr>
          <w:rFonts w:eastAsia="Times New Roman"/>
          <w:sz w:val="20"/>
          <w:szCs w:val="20"/>
        </w:rPr>
      </w:pPr>
      <w:r w:rsidRPr="00855829">
        <w:rPr>
          <w:rFonts w:eastAsia="Times New Roman"/>
          <w:sz w:val="20"/>
          <w:szCs w:val="20"/>
        </w:rPr>
        <w:t>With the right governance, we will not only scale responsibly but also earn the trust required to operate at the centre of defence innovation across the UK, Europe, and NATO allies.</w:t>
      </w:r>
    </w:p>
    <w:p w14:paraId="6013B44D" w14:textId="77777777" w:rsidR="00855829" w:rsidRPr="00855829" w:rsidRDefault="00855829" w:rsidP="00855829">
      <w:pPr>
        <w:spacing w:before="100" w:beforeAutospacing="1" w:after="100" w:afterAutospacing="1" w:line="240" w:lineRule="auto"/>
        <w:outlineLvl w:val="2"/>
        <w:rPr>
          <w:rFonts w:eastAsia="Times New Roman"/>
          <w:b/>
          <w:bCs/>
          <w:sz w:val="20"/>
          <w:szCs w:val="20"/>
        </w:rPr>
      </w:pPr>
      <w:r w:rsidRPr="00855829">
        <w:rPr>
          <w:rFonts w:eastAsia="Times New Roman"/>
          <w:b/>
          <w:bCs/>
          <w:sz w:val="20"/>
          <w:szCs w:val="20"/>
        </w:rPr>
        <w:t>Outlook: FY2025 and Beyond</w:t>
      </w:r>
    </w:p>
    <w:p w14:paraId="6EF8D2F9" w14:textId="77777777" w:rsidR="00855829" w:rsidRPr="00855829" w:rsidRDefault="00855829" w:rsidP="00855829">
      <w:pPr>
        <w:spacing w:before="100" w:beforeAutospacing="1" w:after="100" w:afterAutospacing="1" w:line="240" w:lineRule="auto"/>
        <w:rPr>
          <w:rFonts w:eastAsia="Times New Roman"/>
          <w:sz w:val="20"/>
          <w:szCs w:val="20"/>
        </w:rPr>
      </w:pPr>
      <w:r w:rsidRPr="00855829">
        <w:rPr>
          <w:rFonts w:eastAsia="Times New Roman"/>
          <w:sz w:val="20"/>
          <w:szCs w:val="20"/>
        </w:rPr>
        <w:t>Defence Holdings enters FY2025 with momentum, clarity of vision, and the foundational infrastructure to execute at pace.</w:t>
      </w:r>
    </w:p>
    <w:p w14:paraId="5AC294F7" w14:textId="77777777" w:rsidR="00855829" w:rsidRPr="00855829" w:rsidRDefault="00855829" w:rsidP="00855829">
      <w:pPr>
        <w:spacing w:before="100" w:beforeAutospacing="1" w:after="100" w:afterAutospacing="1" w:line="240" w:lineRule="auto"/>
        <w:rPr>
          <w:rFonts w:eastAsia="Times New Roman"/>
          <w:sz w:val="20"/>
          <w:szCs w:val="20"/>
        </w:rPr>
      </w:pPr>
      <w:r w:rsidRPr="00855829">
        <w:rPr>
          <w:rFonts w:eastAsia="Times New Roman"/>
          <w:sz w:val="20"/>
          <w:szCs w:val="20"/>
        </w:rPr>
        <w:t>We are now in the build phase of our transformation:</w:t>
      </w:r>
    </w:p>
    <w:p w14:paraId="75D9A0F8" w14:textId="77777777" w:rsidR="00855829" w:rsidRPr="00855829" w:rsidRDefault="00855829" w:rsidP="00855829">
      <w:pPr>
        <w:numPr>
          <w:ilvl w:val="0"/>
          <w:numId w:val="9"/>
        </w:numPr>
        <w:spacing w:before="100" w:beforeAutospacing="1" w:after="100" w:afterAutospacing="1" w:line="240" w:lineRule="auto"/>
        <w:rPr>
          <w:rFonts w:eastAsia="Times New Roman"/>
          <w:sz w:val="20"/>
          <w:szCs w:val="20"/>
        </w:rPr>
      </w:pPr>
      <w:r w:rsidRPr="00855829">
        <w:rPr>
          <w:rFonts w:eastAsia="Times New Roman"/>
          <w:sz w:val="20"/>
          <w:szCs w:val="20"/>
        </w:rPr>
        <w:t>A new leadership team is being installed</w:t>
      </w:r>
    </w:p>
    <w:p w14:paraId="390130BF" w14:textId="77777777" w:rsidR="00855829" w:rsidRPr="00855829" w:rsidRDefault="00855829" w:rsidP="00855829">
      <w:pPr>
        <w:numPr>
          <w:ilvl w:val="0"/>
          <w:numId w:val="9"/>
        </w:numPr>
        <w:spacing w:before="100" w:beforeAutospacing="1" w:after="100" w:afterAutospacing="1" w:line="240" w:lineRule="auto"/>
        <w:rPr>
          <w:rFonts w:eastAsia="Times New Roman"/>
          <w:sz w:val="20"/>
          <w:szCs w:val="20"/>
        </w:rPr>
      </w:pPr>
      <w:r w:rsidRPr="00855829">
        <w:rPr>
          <w:rFonts w:eastAsia="Times New Roman"/>
          <w:sz w:val="20"/>
          <w:szCs w:val="20"/>
        </w:rPr>
        <w:t>A focused R&amp;D programme is being initiated across our four technology pillars</w:t>
      </w:r>
    </w:p>
    <w:p w14:paraId="7DB7E387" w14:textId="77777777" w:rsidR="00855829" w:rsidRPr="00855829" w:rsidRDefault="00855829" w:rsidP="00855829">
      <w:pPr>
        <w:numPr>
          <w:ilvl w:val="0"/>
          <w:numId w:val="9"/>
        </w:numPr>
        <w:spacing w:before="100" w:beforeAutospacing="1" w:after="100" w:afterAutospacing="1" w:line="240" w:lineRule="auto"/>
        <w:rPr>
          <w:rFonts w:eastAsia="Times New Roman"/>
          <w:sz w:val="20"/>
          <w:szCs w:val="20"/>
        </w:rPr>
      </w:pPr>
      <w:r w:rsidRPr="00855829">
        <w:rPr>
          <w:rFonts w:eastAsia="Times New Roman"/>
          <w:sz w:val="20"/>
          <w:szCs w:val="20"/>
        </w:rPr>
        <w:t>Partnerships with UK and European innovation ecosystems are underway</w:t>
      </w:r>
    </w:p>
    <w:p w14:paraId="12A0B193" w14:textId="77777777" w:rsidR="00855829" w:rsidRPr="00855829" w:rsidRDefault="00855829" w:rsidP="00855829">
      <w:pPr>
        <w:numPr>
          <w:ilvl w:val="0"/>
          <w:numId w:val="9"/>
        </w:numPr>
        <w:spacing w:before="100" w:beforeAutospacing="1" w:after="100" w:afterAutospacing="1" w:line="240" w:lineRule="auto"/>
        <w:rPr>
          <w:rFonts w:eastAsia="Times New Roman"/>
          <w:sz w:val="20"/>
          <w:szCs w:val="20"/>
        </w:rPr>
      </w:pPr>
      <w:r w:rsidRPr="00855829">
        <w:rPr>
          <w:rFonts w:eastAsia="Times New Roman"/>
          <w:sz w:val="20"/>
          <w:szCs w:val="20"/>
        </w:rPr>
        <w:t>Capital has been raised to support early operational scale-up</w:t>
      </w:r>
    </w:p>
    <w:p w14:paraId="39C90DE0" w14:textId="77777777" w:rsidR="00855829" w:rsidRPr="00855829" w:rsidRDefault="00855829" w:rsidP="00855829">
      <w:pPr>
        <w:numPr>
          <w:ilvl w:val="0"/>
          <w:numId w:val="9"/>
        </w:numPr>
        <w:spacing w:before="100" w:beforeAutospacing="1" w:after="100" w:afterAutospacing="1" w:line="240" w:lineRule="auto"/>
        <w:rPr>
          <w:rFonts w:eastAsia="Times New Roman"/>
          <w:sz w:val="20"/>
          <w:szCs w:val="20"/>
        </w:rPr>
      </w:pPr>
      <w:r w:rsidRPr="00855829">
        <w:rPr>
          <w:rFonts w:eastAsia="Times New Roman"/>
          <w:sz w:val="20"/>
          <w:szCs w:val="20"/>
        </w:rPr>
        <w:t>Our governance model is evolving to meet the demands of the defence sector</w:t>
      </w:r>
    </w:p>
    <w:p w14:paraId="71260A10" w14:textId="77777777" w:rsidR="00855829" w:rsidRPr="00855829" w:rsidRDefault="00855829" w:rsidP="00855829">
      <w:pPr>
        <w:spacing w:before="100" w:beforeAutospacing="1" w:after="100" w:afterAutospacing="1" w:line="240" w:lineRule="auto"/>
        <w:rPr>
          <w:rFonts w:eastAsia="Times New Roman"/>
          <w:sz w:val="20"/>
          <w:szCs w:val="20"/>
        </w:rPr>
      </w:pPr>
      <w:r w:rsidRPr="00855829">
        <w:rPr>
          <w:rFonts w:eastAsia="Times New Roman"/>
          <w:sz w:val="20"/>
          <w:szCs w:val="20"/>
        </w:rPr>
        <w:t xml:space="preserve">We are no longer a repositioning story—we are a growth platform with a national security mandate, focused on delivering results. Our strategy is clear: to build sovereign, software-first capabilities that address the most urgent threats in modern warfare—ranging </w:t>
      </w:r>
      <w:proofErr w:type="gramStart"/>
      <w:r w:rsidRPr="00855829">
        <w:rPr>
          <w:rFonts w:eastAsia="Times New Roman"/>
          <w:sz w:val="20"/>
          <w:szCs w:val="20"/>
        </w:rPr>
        <w:t>from drone swarms and AI decision support,</w:t>
      </w:r>
      <w:proofErr w:type="gramEnd"/>
      <w:r w:rsidRPr="00855829">
        <w:rPr>
          <w:rFonts w:eastAsia="Times New Roman"/>
          <w:sz w:val="20"/>
          <w:szCs w:val="20"/>
        </w:rPr>
        <w:t xml:space="preserve"> to synthetic media influence operations and cyber–physical infrastructure threats.</w:t>
      </w:r>
    </w:p>
    <w:p w14:paraId="5B5CF0C9" w14:textId="77777777" w:rsidR="00855829" w:rsidRPr="00855829" w:rsidRDefault="00855829" w:rsidP="00855829">
      <w:pPr>
        <w:spacing w:before="100" w:beforeAutospacing="1" w:after="100" w:afterAutospacing="1" w:line="240" w:lineRule="auto"/>
        <w:rPr>
          <w:rFonts w:eastAsia="Times New Roman"/>
          <w:sz w:val="20"/>
          <w:szCs w:val="20"/>
        </w:rPr>
      </w:pPr>
      <w:r w:rsidRPr="00855829">
        <w:rPr>
          <w:rFonts w:eastAsia="Times New Roman"/>
          <w:sz w:val="20"/>
          <w:szCs w:val="20"/>
        </w:rPr>
        <w:t>We believe the next generation of defence advantage will be delivered not by sheer scale, but by software, code, and speed. Modern conflict is increasingly asymmetric, AI-enabled, and contested across domains. The companies that will lead in this environment will be fast, focused, and mission-aligned—and this is precisely what we are building.</w:t>
      </w:r>
    </w:p>
    <w:p w14:paraId="178E3B4B" w14:textId="77777777" w:rsidR="00855829" w:rsidRPr="00855829" w:rsidRDefault="00855829" w:rsidP="00855829">
      <w:pPr>
        <w:spacing w:before="100" w:beforeAutospacing="1" w:after="100" w:afterAutospacing="1" w:line="240" w:lineRule="auto"/>
        <w:rPr>
          <w:rFonts w:eastAsia="Times New Roman"/>
          <w:sz w:val="20"/>
          <w:szCs w:val="20"/>
        </w:rPr>
      </w:pPr>
      <w:r w:rsidRPr="00855829">
        <w:rPr>
          <w:rFonts w:eastAsia="Times New Roman"/>
          <w:sz w:val="20"/>
          <w:szCs w:val="20"/>
        </w:rPr>
        <w:t>Looking ahead, we are committed to the following priorities:</w:t>
      </w:r>
    </w:p>
    <w:p w14:paraId="468571C8" w14:textId="77777777" w:rsidR="00855829" w:rsidRPr="00855829" w:rsidRDefault="00855829" w:rsidP="00855829">
      <w:pPr>
        <w:numPr>
          <w:ilvl w:val="0"/>
          <w:numId w:val="10"/>
        </w:numPr>
        <w:spacing w:before="100" w:beforeAutospacing="1" w:after="100" w:afterAutospacing="1" w:line="240" w:lineRule="auto"/>
        <w:rPr>
          <w:rFonts w:eastAsia="Times New Roman"/>
          <w:sz w:val="20"/>
          <w:szCs w:val="20"/>
        </w:rPr>
      </w:pPr>
      <w:r w:rsidRPr="00855829">
        <w:rPr>
          <w:rFonts w:eastAsia="Times New Roman"/>
          <w:sz w:val="20"/>
          <w:szCs w:val="20"/>
        </w:rPr>
        <w:t>Delivering operational milestones across our four technology pillars</w:t>
      </w:r>
    </w:p>
    <w:p w14:paraId="086ACEB7" w14:textId="77777777" w:rsidR="00855829" w:rsidRPr="00855829" w:rsidRDefault="00855829" w:rsidP="00855829">
      <w:pPr>
        <w:numPr>
          <w:ilvl w:val="0"/>
          <w:numId w:val="10"/>
        </w:numPr>
        <w:spacing w:before="100" w:beforeAutospacing="1" w:after="100" w:afterAutospacing="1" w:line="240" w:lineRule="auto"/>
        <w:rPr>
          <w:rFonts w:eastAsia="Times New Roman"/>
          <w:sz w:val="20"/>
          <w:szCs w:val="20"/>
        </w:rPr>
      </w:pPr>
      <w:r w:rsidRPr="00855829">
        <w:rPr>
          <w:rFonts w:eastAsia="Times New Roman"/>
          <w:sz w:val="20"/>
          <w:szCs w:val="20"/>
        </w:rPr>
        <w:t>Recruiting and retaining top-tier technical talent with deep experience in AI, autonomy, cyber, and applied R&amp;D</w:t>
      </w:r>
    </w:p>
    <w:p w14:paraId="0488F9C8" w14:textId="77777777" w:rsidR="00855829" w:rsidRPr="00855829" w:rsidRDefault="00855829" w:rsidP="00855829">
      <w:pPr>
        <w:numPr>
          <w:ilvl w:val="0"/>
          <w:numId w:val="10"/>
        </w:numPr>
        <w:spacing w:before="100" w:beforeAutospacing="1" w:after="100" w:afterAutospacing="1" w:line="240" w:lineRule="auto"/>
        <w:rPr>
          <w:rFonts w:eastAsia="Times New Roman"/>
          <w:sz w:val="20"/>
          <w:szCs w:val="20"/>
        </w:rPr>
      </w:pPr>
      <w:r w:rsidRPr="00855829">
        <w:rPr>
          <w:rFonts w:eastAsia="Times New Roman"/>
          <w:sz w:val="20"/>
          <w:szCs w:val="20"/>
        </w:rPr>
        <w:t>Building a defensible IP portfolio anchored in sovereign capabilities</w:t>
      </w:r>
    </w:p>
    <w:p w14:paraId="15E32315" w14:textId="77777777" w:rsidR="00855829" w:rsidRPr="00855829" w:rsidRDefault="00855829" w:rsidP="00855829">
      <w:pPr>
        <w:numPr>
          <w:ilvl w:val="0"/>
          <w:numId w:val="10"/>
        </w:numPr>
        <w:spacing w:before="100" w:beforeAutospacing="1" w:after="100" w:afterAutospacing="1" w:line="240" w:lineRule="auto"/>
        <w:rPr>
          <w:rFonts w:eastAsia="Times New Roman"/>
          <w:sz w:val="20"/>
          <w:szCs w:val="20"/>
        </w:rPr>
      </w:pPr>
      <w:r w:rsidRPr="00855829">
        <w:rPr>
          <w:rFonts w:eastAsia="Times New Roman"/>
          <w:sz w:val="20"/>
          <w:szCs w:val="20"/>
        </w:rPr>
        <w:t>Engaging early with UK and EU defence procurement ecosystems to ensure product–mission fit</w:t>
      </w:r>
    </w:p>
    <w:p w14:paraId="45C5A3A9" w14:textId="77777777" w:rsidR="00855829" w:rsidRPr="00855829" w:rsidRDefault="00855829" w:rsidP="00855829">
      <w:pPr>
        <w:numPr>
          <w:ilvl w:val="0"/>
          <w:numId w:val="10"/>
        </w:numPr>
        <w:spacing w:before="100" w:beforeAutospacing="1" w:after="100" w:afterAutospacing="1" w:line="240" w:lineRule="auto"/>
        <w:rPr>
          <w:rFonts w:eastAsia="Times New Roman"/>
          <w:sz w:val="20"/>
          <w:szCs w:val="20"/>
        </w:rPr>
      </w:pPr>
      <w:r w:rsidRPr="00855829">
        <w:rPr>
          <w:rFonts w:eastAsia="Times New Roman"/>
          <w:sz w:val="20"/>
          <w:szCs w:val="20"/>
        </w:rPr>
        <w:lastRenderedPageBreak/>
        <w:t>Scaling responsibly, with a lean, capital-efficient model focused on measurable outcomes</w:t>
      </w:r>
    </w:p>
    <w:p w14:paraId="4A246BBA" w14:textId="77777777" w:rsidR="00855829" w:rsidRPr="00855829" w:rsidRDefault="00855829" w:rsidP="00855829">
      <w:pPr>
        <w:spacing w:before="100" w:beforeAutospacing="1" w:after="100" w:afterAutospacing="1" w:line="240" w:lineRule="auto"/>
        <w:rPr>
          <w:rFonts w:eastAsia="Times New Roman"/>
          <w:sz w:val="20"/>
          <w:szCs w:val="20"/>
        </w:rPr>
      </w:pPr>
      <w:r w:rsidRPr="00855829">
        <w:rPr>
          <w:rFonts w:eastAsia="Times New Roman"/>
          <w:sz w:val="20"/>
          <w:szCs w:val="20"/>
        </w:rPr>
        <w:t>We are proud to be contributing to the security and resilience of the United Kingdom and its allies, and we believe that the value we create—both commercially and strategically—will be durable and generational.</w:t>
      </w:r>
    </w:p>
    <w:p w14:paraId="72459689" w14:textId="77777777" w:rsidR="00855829" w:rsidRPr="00855829" w:rsidRDefault="00855829" w:rsidP="00855829">
      <w:pPr>
        <w:spacing w:before="100" w:beforeAutospacing="1" w:after="100" w:afterAutospacing="1" w:line="240" w:lineRule="auto"/>
        <w:rPr>
          <w:rFonts w:eastAsia="Times New Roman"/>
          <w:sz w:val="20"/>
          <w:szCs w:val="20"/>
        </w:rPr>
      </w:pPr>
      <w:r w:rsidRPr="00855829">
        <w:rPr>
          <w:rFonts w:eastAsia="Times New Roman"/>
          <w:sz w:val="20"/>
          <w:szCs w:val="20"/>
        </w:rPr>
        <w:t>On behalf of the Board, I extend our sincere thanks to all our shareholders, partners, and supporters who have backed this bold transition. Your belief has enabled us to act decisively and to chart a new course at speed.</w:t>
      </w:r>
    </w:p>
    <w:p w14:paraId="2E840049" w14:textId="228BA349" w:rsidR="00217587" w:rsidRPr="00E45690" w:rsidRDefault="00855829" w:rsidP="00E45690">
      <w:pPr>
        <w:spacing w:before="100" w:beforeAutospacing="1" w:after="100" w:afterAutospacing="1" w:line="240" w:lineRule="auto"/>
        <w:rPr>
          <w:rFonts w:eastAsia="Times New Roman"/>
          <w:sz w:val="20"/>
          <w:szCs w:val="20"/>
        </w:rPr>
      </w:pPr>
      <w:r w:rsidRPr="00855829">
        <w:rPr>
          <w:rFonts w:eastAsia="Times New Roman"/>
          <w:sz w:val="20"/>
          <w:szCs w:val="20"/>
        </w:rPr>
        <w:t>This is only the beginning. Defence Holdings plc is here to build.</w:t>
      </w:r>
    </w:p>
    <w:p w14:paraId="4570B19C" w14:textId="6D81FAEB" w:rsidR="005B0BD2" w:rsidRDefault="005B0BD2" w:rsidP="005B0BD2">
      <w:pPr>
        <w:rPr>
          <w:b/>
          <w:bCs/>
          <w:lang w:val="en-US" w:eastAsia="zh-CN"/>
        </w:rPr>
      </w:pPr>
      <w:r w:rsidRPr="005B0BD2">
        <w:rPr>
          <w:b/>
          <w:bCs/>
          <w:lang w:val="en-US" w:eastAsia="zh-CN"/>
        </w:rPr>
        <w:t>Responsibility Statements</w:t>
      </w:r>
    </w:p>
    <w:p w14:paraId="0F5A7754" w14:textId="77777777" w:rsidR="005B0BD2" w:rsidRDefault="005B0BD2" w:rsidP="005B0BD2">
      <w:pPr>
        <w:rPr>
          <w:b/>
          <w:bCs/>
          <w:lang w:val="en-US" w:eastAsia="zh-CN"/>
        </w:rPr>
      </w:pPr>
    </w:p>
    <w:p w14:paraId="58485158" w14:textId="24BFEC60" w:rsidR="005B0BD2" w:rsidRPr="0076587E" w:rsidRDefault="005B0BD2" w:rsidP="005B0BD2">
      <w:pPr>
        <w:rPr>
          <w:sz w:val="20"/>
          <w:szCs w:val="20"/>
          <w:lang w:val="en-US" w:eastAsia="zh-CN"/>
        </w:rPr>
      </w:pPr>
      <w:r w:rsidRPr="0076587E">
        <w:rPr>
          <w:sz w:val="20"/>
          <w:szCs w:val="20"/>
          <w:lang w:val="en-US" w:eastAsia="zh-CN"/>
        </w:rPr>
        <w:t>The following statement is given by each of the Directors. We confirm that to the best of our knowledge:</w:t>
      </w:r>
    </w:p>
    <w:p w14:paraId="69658D5C" w14:textId="0FF0F827" w:rsidR="005B0BD2" w:rsidRPr="0076587E" w:rsidRDefault="005B0BD2" w:rsidP="005B0BD2">
      <w:pPr>
        <w:pStyle w:val="ListParagraph"/>
        <w:numPr>
          <w:ilvl w:val="0"/>
          <w:numId w:val="4"/>
        </w:numPr>
        <w:rPr>
          <w:rFonts w:ascii="Arial" w:hAnsi="Arial" w:cs="Arial"/>
          <w:sz w:val="20"/>
          <w:szCs w:val="20"/>
          <w:lang w:val="en-US" w:eastAsia="zh-CN"/>
        </w:rPr>
      </w:pPr>
      <w:r w:rsidRPr="0076587E">
        <w:rPr>
          <w:rFonts w:ascii="Arial" w:hAnsi="Arial" w:cs="Arial"/>
          <w:sz w:val="20"/>
          <w:szCs w:val="20"/>
          <w:lang w:val="en-US" w:eastAsia="zh-CN"/>
        </w:rPr>
        <w:t>The interim report has been prepared in accordance with International Accounting Standards 34, Interim Financial Reporting, as contained in UL adopted IFRS</w:t>
      </w:r>
      <w:r w:rsidR="00E45690">
        <w:rPr>
          <w:rFonts w:ascii="Arial" w:hAnsi="Arial" w:cs="Arial"/>
          <w:sz w:val="20"/>
          <w:szCs w:val="20"/>
          <w:lang w:val="en-US" w:eastAsia="zh-CN"/>
        </w:rPr>
        <w:t>.</w:t>
      </w:r>
    </w:p>
    <w:p w14:paraId="77ECEDF1" w14:textId="48D2BBDC" w:rsidR="005B0BD2" w:rsidRPr="0076587E" w:rsidRDefault="005B0BD2" w:rsidP="005B0BD2">
      <w:pPr>
        <w:pStyle w:val="ListParagraph"/>
        <w:numPr>
          <w:ilvl w:val="0"/>
          <w:numId w:val="4"/>
        </w:numPr>
        <w:rPr>
          <w:rFonts w:ascii="Arial" w:hAnsi="Arial" w:cs="Arial"/>
          <w:sz w:val="20"/>
          <w:szCs w:val="20"/>
          <w:lang w:val="en-US" w:eastAsia="zh-CN"/>
        </w:rPr>
      </w:pPr>
      <w:r w:rsidRPr="0076587E">
        <w:rPr>
          <w:rFonts w:ascii="Arial" w:hAnsi="Arial" w:cs="Arial"/>
          <w:sz w:val="20"/>
          <w:szCs w:val="20"/>
          <w:lang w:val="en-US" w:eastAsia="zh-CN"/>
        </w:rPr>
        <w:t>gives a true and fair view of the assets, liabilities, financial position and loss of the Company</w:t>
      </w:r>
      <w:r w:rsidR="00E45690">
        <w:rPr>
          <w:rFonts w:ascii="Arial" w:hAnsi="Arial" w:cs="Arial"/>
          <w:sz w:val="20"/>
          <w:szCs w:val="20"/>
          <w:lang w:val="en-US" w:eastAsia="zh-CN"/>
        </w:rPr>
        <w:t>.</w:t>
      </w:r>
    </w:p>
    <w:p w14:paraId="5771297D" w14:textId="54112F1F" w:rsidR="005B0BD2" w:rsidRPr="0076587E" w:rsidRDefault="005B0BD2" w:rsidP="005B0BD2">
      <w:pPr>
        <w:pStyle w:val="ListParagraph"/>
        <w:numPr>
          <w:ilvl w:val="0"/>
          <w:numId w:val="4"/>
        </w:numPr>
        <w:rPr>
          <w:rFonts w:ascii="Arial" w:hAnsi="Arial" w:cs="Arial"/>
          <w:sz w:val="20"/>
          <w:szCs w:val="20"/>
          <w:lang w:val="en-US" w:eastAsia="zh-CN"/>
        </w:rPr>
      </w:pPr>
      <w:r w:rsidRPr="0076587E">
        <w:rPr>
          <w:rFonts w:ascii="Arial" w:hAnsi="Arial" w:cs="Arial"/>
          <w:sz w:val="20"/>
          <w:szCs w:val="20"/>
          <w:lang w:val="en-US" w:eastAsia="zh-CN"/>
        </w:rPr>
        <w:t xml:space="preserve">the interim report includes a fair review of the information required by DTR 4.2.7R of the Disclosure and Transparency Rules, being an indication of important events that have occurred during the first </w:t>
      </w:r>
      <w:r w:rsidR="006C0FC4">
        <w:rPr>
          <w:rFonts w:ascii="Arial" w:hAnsi="Arial" w:cs="Arial"/>
          <w:sz w:val="20"/>
          <w:szCs w:val="20"/>
          <w:lang w:val="en-US" w:eastAsia="zh-CN"/>
        </w:rPr>
        <w:t>fifteen</w:t>
      </w:r>
      <w:r w:rsidRPr="0076587E">
        <w:rPr>
          <w:rFonts w:ascii="Arial" w:hAnsi="Arial" w:cs="Arial"/>
          <w:sz w:val="20"/>
          <w:szCs w:val="20"/>
          <w:lang w:val="en-US" w:eastAsia="zh-CN"/>
        </w:rPr>
        <w:t xml:space="preserve"> months of the financial </w:t>
      </w:r>
      <w:r w:rsidR="006C0FC4">
        <w:rPr>
          <w:rFonts w:ascii="Arial" w:hAnsi="Arial" w:cs="Arial"/>
          <w:sz w:val="20"/>
          <w:szCs w:val="20"/>
          <w:lang w:val="en-US" w:eastAsia="zh-CN"/>
        </w:rPr>
        <w:t>period</w:t>
      </w:r>
      <w:r w:rsidRPr="0076587E">
        <w:rPr>
          <w:rFonts w:ascii="Arial" w:hAnsi="Arial" w:cs="Arial"/>
          <w:sz w:val="20"/>
          <w:szCs w:val="20"/>
          <w:lang w:val="en-US" w:eastAsia="zh-CN"/>
        </w:rPr>
        <w:t xml:space="preserve"> and their impact on the set of interim financial statements; and a description of the principal risks and uncertainties for the remaining </w:t>
      </w:r>
      <w:r w:rsidR="006C0FC4">
        <w:rPr>
          <w:rFonts w:ascii="Arial" w:hAnsi="Arial" w:cs="Arial"/>
          <w:sz w:val="20"/>
          <w:szCs w:val="20"/>
          <w:lang w:val="en-US" w:eastAsia="zh-CN"/>
        </w:rPr>
        <w:t>three</w:t>
      </w:r>
      <w:r w:rsidRPr="0076587E">
        <w:rPr>
          <w:rFonts w:ascii="Arial" w:hAnsi="Arial" w:cs="Arial"/>
          <w:sz w:val="20"/>
          <w:szCs w:val="20"/>
          <w:lang w:val="en-US" w:eastAsia="zh-CN"/>
        </w:rPr>
        <w:t xml:space="preserve"> months of the </w:t>
      </w:r>
      <w:r w:rsidR="006C0FC4">
        <w:rPr>
          <w:rFonts w:ascii="Arial" w:hAnsi="Arial" w:cs="Arial"/>
          <w:sz w:val="20"/>
          <w:szCs w:val="20"/>
          <w:lang w:val="en-US" w:eastAsia="zh-CN"/>
        </w:rPr>
        <w:t>eighteen month period</w:t>
      </w:r>
      <w:r w:rsidRPr="0076587E">
        <w:rPr>
          <w:rFonts w:ascii="Arial" w:hAnsi="Arial" w:cs="Arial"/>
          <w:sz w:val="20"/>
          <w:szCs w:val="20"/>
          <w:lang w:val="en-US" w:eastAsia="zh-CN"/>
        </w:rPr>
        <w:t>.</w:t>
      </w:r>
    </w:p>
    <w:p w14:paraId="2B5192AD" w14:textId="77777777" w:rsidR="005B0BD2" w:rsidRPr="0076587E" w:rsidRDefault="005B0BD2" w:rsidP="005B0BD2">
      <w:pPr>
        <w:pStyle w:val="ListParagraph"/>
        <w:numPr>
          <w:ilvl w:val="0"/>
          <w:numId w:val="4"/>
        </w:numPr>
        <w:rPr>
          <w:rFonts w:ascii="Arial" w:hAnsi="Arial" w:cs="Arial"/>
          <w:sz w:val="20"/>
          <w:szCs w:val="20"/>
          <w:lang w:val="en-US" w:eastAsia="zh-CN"/>
        </w:rPr>
      </w:pPr>
      <w:r w:rsidRPr="0076587E">
        <w:rPr>
          <w:rFonts w:ascii="Arial" w:hAnsi="Arial" w:cs="Arial"/>
          <w:sz w:val="20"/>
          <w:szCs w:val="20"/>
          <w:lang w:val="en-US" w:eastAsia="zh-CN"/>
        </w:rPr>
        <w:t>the interim report includes a fair review of the information required by DTR 4.2.8R of the Disclosure and Transparency Rules, being the information required on related party transactions.</w:t>
      </w:r>
    </w:p>
    <w:p w14:paraId="7374D0C2" w14:textId="77777777" w:rsidR="005B0BD2" w:rsidRPr="0076587E" w:rsidRDefault="005B0BD2" w:rsidP="005B0BD2">
      <w:pPr>
        <w:pStyle w:val="ListParagraph"/>
        <w:numPr>
          <w:ilvl w:val="0"/>
          <w:numId w:val="4"/>
        </w:numPr>
        <w:rPr>
          <w:rFonts w:ascii="Arial" w:hAnsi="Arial" w:cs="Arial"/>
          <w:sz w:val="20"/>
          <w:szCs w:val="20"/>
          <w:lang w:val="en-US" w:eastAsia="zh-CN"/>
        </w:rPr>
      </w:pPr>
      <w:r w:rsidRPr="0076587E">
        <w:rPr>
          <w:rFonts w:ascii="Arial" w:hAnsi="Arial" w:cs="Arial"/>
          <w:sz w:val="20"/>
          <w:szCs w:val="20"/>
          <w:lang w:val="en-US" w:eastAsia="zh-CN"/>
        </w:rPr>
        <w:t>The interim report was approved by the Board of Directors and the above responsibility statement was signed on its behalf by:</w:t>
      </w:r>
    </w:p>
    <w:p w14:paraId="70262DB8" w14:textId="77777777" w:rsidR="00217587" w:rsidRPr="0076587E" w:rsidRDefault="009E510E" w:rsidP="009E510E">
      <w:pPr>
        <w:rPr>
          <w:sz w:val="20"/>
          <w:szCs w:val="20"/>
          <w:lang w:val="en-US" w:eastAsia="zh-CN"/>
        </w:rPr>
      </w:pPr>
      <w:r w:rsidRPr="0076587E">
        <w:rPr>
          <w:sz w:val="20"/>
          <w:szCs w:val="20"/>
          <w:lang w:val="en-US" w:eastAsia="zh-CN"/>
        </w:rPr>
        <w:br/>
      </w:r>
    </w:p>
    <w:p w14:paraId="6B7BBED6" w14:textId="190BAE30" w:rsidR="009E510E" w:rsidRPr="0076587E" w:rsidRDefault="009E510E" w:rsidP="009E510E">
      <w:pPr>
        <w:rPr>
          <w:sz w:val="20"/>
          <w:szCs w:val="20"/>
          <w:lang w:val="en-US" w:eastAsia="zh-CN"/>
        </w:rPr>
      </w:pPr>
      <w:r w:rsidRPr="0076587E">
        <w:rPr>
          <w:sz w:val="20"/>
          <w:szCs w:val="20"/>
          <w:lang w:val="en-US" w:eastAsia="zh-CN"/>
        </w:rPr>
        <w:t>Derek Lew</w:t>
      </w:r>
      <w:r w:rsidRPr="0076587E">
        <w:rPr>
          <w:sz w:val="20"/>
          <w:szCs w:val="20"/>
          <w:lang w:val="en-US" w:eastAsia="zh-CN"/>
        </w:rPr>
        <w:br/>
      </w:r>
      <w:proofErr w:type="spellStart"/>
      <w:r w:rsidRPr="0076587E">
        <w:rPr>
          <w:sz w:val="20"/>
          <w:szCs w:val="20"/>
          <w:lang w:val="en-US" w:eastAsia="zh-CN"/>
        </w:rPr>
        <w:t>Defence</w:t>
      </w:r>
      <w:proofErr w:type="spellEnd"/>
      <w:r w:rsidRPr="0076587E">
        <w:rPr>
          <w:sz w:val="20"/>
          <w:szCs w:val="20"/>
          <w:lang w:val="en-US" w:eastAsia="zh-CN"/>
        </w:rPr>
        <w:t xml:space="preserve"> Holdings PLC</w:t>
      </w:r>
    </w:p>
    <w:p w14:paraId="18645D3A" w14:textId="77777777" w:rsidR="009E510E" w:rsidRDefault="009E510E" w:rsidP="009E510E">
      <w:pPr>
        <w:jc w:val="both"/>
        <w:rPr>
          <w:lang w:eastAsia="zh-CN"/>
        </w:rPr>
      </w:pPr>
    </w:p>
    <w:p w14:paraId="4B3E433B" w14:textId="77777777" w:rsidR="00217587" w:rsidRDefault="00217587" w:rsidP="009E510E">
      <w:pPr>
        <w:jc w:val="both"/>
        <w:rPr>
          <w:b/>
          <w:color w:val="000000"/>
        </w:rPr>
      </w:pPr>
    </w:p>
    <w:p w14:paraId="2D04F702" w14:textId="2A6C9975" w:rsidR="00FD33D5" w:rsidRDefault="00D03046" w:rsidP="009E510E">
      <w:pPr>
        <w:jc w:val="both"/>
        <w:rPr>
          <w:b/>
          <w:color w:val="000000"/>
        </w:rPr>
      </w:pPr>
      <w:r>
        <w:rPr>
          <w:b/>
          <w:color w:val="000000"/>
        </w:rPr>
        <w:t xml:space="preserve">About </w:t>
      </w:r>
      <w:r w:rsidR="0028405C" w:rsidRPr="0028405C">
        <w:rPr>
          <w:b/>
          <w:color w:val="000000"/>
        </w:rPr>
        <w:t xml:space="preserve">Defence Holdings </w:t>
      </w:r>
      <w:r w:rsidR="0028405C">
        <w:rPr>
          <w:b/>
          <w:color w:val="000000"/>
        </w:rPr>
        <w:t xml:space="preserve">PLC </w:t>
      </w:r>
      <w:r>
        <w:rPr>
          <w:b/>
          <w:color w:val="000000"/>
        </w:rPr>
        <w:t>(ALRT)</w:t>
      </w:r>
    </w:p>
    <w:p w14:paraId="14BE02CF" w14:textId="77777777" w:rsidR="00FD33D5" w:rsidRPr="00FD33D5" w:rsidRDefault="00FD33D5" w:rsidP="00FD33D5">
      <w:pPr>
        <w:pStyle w:val="NormalWeb"/>
        <w:rPr>
          <w:rFonts w:ascii="Arial" w:hAnsi="Arial" w:cs="Arial"/>
          <w:sz w:val="20"/>
          <w:szCs w:val="20"/>
        </w:rPr>
      </w:pPr>
      <w:r w:rsidRPr="00FD33D5">
        <w:rPr>
          <w:rFonts w:ascii="Arial" w:hAnsi="Arial" w:cs="Arial"/>
          <w:sz w:val="20"/>
          <w:szCs w:val="20"/>
        </w:rPr>
        <w:t>Defence Holdings plc is a publicly listed defence technology company, headquartered in London and trading under the stock ticker ALRT. The Company is focused on delivering advanced defence and national security capabilities to the United Kingdom, its European allies, and other trusted partners. As the global security environment undergoes rapid transformation, we are positioning ourselves to lead in the development of software-defined, AI-enabled technologies that enhance the operational effectiveness, adaptability, and resilience of our customers across all domains of defence.</w:t>
      </w:r>
    </w:p>
    <w:p w14:paraId="05F3C92C" w14:textId="614AFC39" w:rsidR="00FD33D5" w:rsidRPr="00FD33D5" w:rsidRDefault="00FD33D5" w:rsidP="00FD33D5">
      <w:pPr>
        <w:pStyle w:val="NormalWeb"/>
        <w:rPr>
          <w:rFonts w:ascii="Arial" w:hAnsi="Arial" w:cs="Arial"/>
          <w:sz w:val="20"/>
          <w:szCs w:val="20"/>
        </w:rPr>
      </w:pPr>
      <w:r w:rsidRPr="00FD33D5">
        <w:rPr>
          <w:rFonts w:ascii="Arial" w:hAnsi="Arial" w:cs="Arial"/>
          <w:sz w:val="20"/>
          <w:szCs w:val="20"/>
        </w:rPr>
        <w:t>Following a strategic reset completed in 2025, Defence Holdings emerged with a clear mandate to build a new type of defence platform—one that is agile, mission-led, and purpose-built for the challenges of the modern threat landscape. We are no longer a legacy business adapting to change; we are a company born of it. Our operations now span land, sea, air, space, and cyber, with an integrated focus on sovereignty, speed, and digital advantage.</w:t>
      </w:r>
      <w:r>
        <w:rPr>
          <w:rFonts w:ascii="Arial" w:hAnsi="Arial" w:cs="Arial"/>
          <w:sz w:val="20"/>
          <w:szCs w:val="20"/>
        </w:rPr>
        <w:t xml:space="preserve"> </w:t>
      </w:r>
      <w:r w:rsidRPr="00FD33D5">
        <w:rPr>
          <w:rFonts w:ascii="Arial" w:hAnsi="Arial" w:cs="Arial"/>
          <w:sz w:val="20"/>
          <w:szCs w:val="20"/>
        </w:rPr>
        <w:t>Our ambition is to develop and acquire a portfolio of technologies that deliver measurable operational impact. These include advanced sensing and intelligence-gathering systems, AI-driven analytics and autonomous decision-making tools, secure and resilient communications networks, next-generation platforms for electronic warfare and information operations, and solutions that protect critical infrastructure from complex, hybrid threats. Each of these capabilities is designed with modularity, exportability, and sovereign control in mind, ensuring alignment with the strategic priorities of the UK, EU, and NATO-aligned partners.</w:t>
      </w:r>
    </w:p>
    <w:p w14:paraId="6A560FF7" w14:textId="514A19AC" w:rsidR="00FD33D5" w:rsidRPr="00FD33D5" w:rsidRDefault="00FD33D5" w:rsidP="00FD33D5">
      <w:pPr>
        <w:pStyle w:val="NormalWeb"/>
        <w:rPr>
          <w:rFonts w:ascii="Arial" w:hAnsi="Arial" w:cs="Arial"/>
          <w:sz w:val="20"/>
          <w:szCs w:val="20"/>
        </w:rPr>
      </w:pPr>
      <w:r w:rsidRPr="00FD33D5">
        <w:rPr>
          <w:rFonts w:ascii="Arial" w:hAnsi="Arial" w:cs="Arial"/>
          <w:sz w:val="20"/>
          <w:szCs w:val="20"/>
        </w:rPr>
        <w:lastRenderedPageBreak/>
        <w:t>What sets Defence Holdings apart is our operating model. We are building a lean, capital-efficient organisation that prioritises speed of execution over bureaucratic scale. Our team combines deep experience from across defence, national security, technology, and capital markets. This multidisciplinary expertise allows us to move quickly, allocate capital strategically, and build partnerships across government, academia, and industry to accelerate innovation and fielding.</w:t>
      </w:r>
      <w:r>
        <w:rPr>
          <w:rFonts w:ascii="Arial" w:hAnsi="Arial" w:cs="Arial"/>
          <w:sz w:val="20"/>
          <w:szCs w:val="20"/>
        </w:rPr>
        <w:t xml:space="preserve"> </w:t>
      </w:r>
      <w:r w:rsidRPr="00FD33D5">
        <w:rPr>
          <w:rFonts w:ascii="Arial" w:hAnsi="Arial" w:cs="Arial"/>
          <w:sz w:val="20"/>
          <w:szCs w:val="20"/>
        </w:rPr>
        <w:t>Our 2025–2030 Strategic Plan, published in May 2025, sets out a detailed roadmap for growth across four core areas of capability: drone warfare and aggregation, AI agents for defence operations, information and influence warfare, and the defence of critical infrastructure. Each area reflects the lessons of modern, multi-domain conflict—particularly from Ukraine—where low-cost technologies, artificial intelligence, synthetic media, and cyber–physical attacks have reshaped our understanding of how wars are fought and won.</w:t>
      </w:r>
    </w:p>
    <w:p w14:paraId="1B3CBC81" w14:textId="3464E3DD" w:rsidR="00FD33D5" w:rsidRPr="00FD33D5" w:rsidRDefault="00FD33D5" w:rsidP="00FD33D5">
      <w:pPr>
        <w:pStyle w:val="NormalWeb"/>
        <w:rPr>
          <w:rFonts w:ascii="Arial" w:hAnsi="Arial" w:cs="Arial"/>
          <w:sz w:val="20"/>
          <w:szCs w:val="20"/>
        </w:rPr>
      </w:pPr>
      <w:r w:rsidRPr="00FD33D5">
        <w:rPr>
          <w:rFonts w:ascii="Arial" w:hAnsi="Arial" w:cs="Arial"/>
          <w:sz w:val="20"/>
          <w:szCs w:val="20"/>
        </w:rPr>
        <w:t>We believe that the future of defence will not be determined by traditional measures of mass and scale, but by software, data, and the speed of adaptation. In this new paradigm, the marginal advantage increasingly lies with those who can innovate faster, deploy more intelligently, and operate more securely. Defence Holdings plc intends to be a leader in that future, delivering sovereign capability and strategic relevance to our partners at home and abroad.</w:t>
      </w:r>
      <w:r>
        <w:rPr>
          <w:rFonts w:ascii="Arial" w:hAnsi="Arial" w:cs="Arial"/>
          <w:sz w:val="20"/>
          <w:szCs w:val="20"/>
        </w:rPr>
        <w:t xml:space="preserve"> </w:t>
      </w:r>
      <w:r w:rsidRPr="00FD33D5">
        <w:rPr>
          <w:rFonts w:ascii="Arial" w:hAnsi="Arial" w:cs="Arial"/>
          <w:sz w:val="20"/>
          <w:szCs w:val="20"/>
        </w:rPr>
        <w:t>With a restructured balance sheet, new leadership, and the support of committed shareholders, we are now entering the build phase of our transformation. We have the capital, clarity, and conviction required to grow into one of the UK and Europe’s most dynamic defence technology companies. Above all, we are guided by a simple belief: the next generation of defence advantage will be earned not with steel, but with code—and we are proud to be building that future.</w:t>
      </w:r>
    </w:p>
    <w:p w14:paraId="2A702729" w14:textId="77777777" w:rsidR="00FD33D5" w:rsidRPr="00FD33D5" w:rsidRDefault="00FD33D5" w:rsidP="009E510E">
      <w:pPr>
        <w:jc w:val="both"/>
        <w:rPr>
          <w:b/>
          <w:color w:val="000000"/>
          <w:sz w:val="20"/>
          <w:szCs w:val="20"/>
        </w:rPr>
      </w:pPr>
    </w:p>
    <w:p w14:paraId="07F01132" w14:textId="77777777" w:rsidR="00FD33D5" w:rsidRPr="00FD33D5" w:rsidRDefault="00FD33D5" w:rsidP="009E510E">
      <w:pPr>
        <w:jc w:val="both"/>
        <w:rPr>
          <w:sz w:val="20"/>
          <w:szCs w:val="20"/>
          <w:lang w:eastAsia="zh-CN"/>
        </w:rPr>
      </w:pPr>
    </w:p>
    <w:p w14:paraId="3F4837B3" w14:textId="77777777" w:rsidR="00D30F31" w:rsidRDefault="00D30F31" w:rsidP="00D30F31">
      <w:pPr>
        <w:spacing w:before="240" w:after="240"/>
        <w:rPr>
          <w:color w:val="1155CC"/>
          <w:u w:val="single"/>
        </w:rPr>
      </w:pPr>
      <w:r>
        <w:t>Website:</w:t>
      </w:r>
      <w:hyperlink r:id="rId11">
        <w:r>
          <w:t xml:space="preserve"> </w:t>
        </w:r>
      </w:hyperlink>
      <w:hyperlink r:id="rId12">
        <w:r>
          <w:rPr>
            <w:color w:val="1155CC"/>
            <w:u w:val="single"/>
          </w:rPr>
          <w:t>www.defencetechnologies.com</w:t>
        </w:r>
      </w:hyperlink>
    </w:p>
    <w:p w14:paraId="718CBD54" w14:textId="77777777" w:rsidR="00D30F31" w:rsidRDefault="00D30F31" w:rsidP="00A34FED">
      <w:pPr>
        <w:spacing w:before="240" w:after="240"/>
        <w:jc w:val="both"/>
      </w:pPr>
    </w:p>
    <w:p w14:paraId="0000000F" w14:textId="77777777" w:rsidR="00970480" w:rsidRDefault="00B71448">
      <w:r>
        <w:rPr>
          <w:noProof/>
        </w:rPr>
        <w:pict w14:anchorId="7DA29DB4">
          <v:rect id="_x0000_i1025" alt="" style="width:468pt;height:.05pt;mso-width-percent:0;mso-height-percent:0;mso-width-percent:0;mso-height-percent:0" o:hralign="center" o:hrstd="t" o:hr="t" fillcolor="#a0a0a0" stroked="f"/>
        </w:pict>
      </w:r>
    </w:p>
    <w:p w14:paraId="00000010" w14:textId="77777777" w:rsidR="00970480" w:rsidRDefault="00D03046">
      <w:pPr>
        <w:spacing w:before="240" w:after="240"/>
      </w:pPr>
      <w:r>
        <w:rPr>
          <w:b/>
        </w:rPr>
        <w:t>Media Enquiries</w:t>
      </w:r>
      <w:r>
        <w:rPr>
          <w:b/>
        </w:rPr>
        <w:br/>
      </w:r>
      <w:r>
        <w:t xml:space="preserve"> </w:t>
      </w:r>
      <w:r>
        <w:rPr>
          <w:i/>
        </w:rPr>
        <w:t>Name</w:t>
      </w:r>
      <w:r>
        <w:t xml:space="preserve"> – Director, </w:t>
      </w:r>
      <w:proofErr w:type="gramStart"/>
      <w:r>
        <w:t>Brian  Stockbridge</w:t>
      </w:r>
      <w:proofErr w:type="gramEnd"/>
      <w:r>
        <w:br/>
        <w:t xml:space="preserve"> Defence Holdings PLC</w:t>
      </w:r>
      <w:r>
        <w:br/>
        <w:t xml:space="preserve"> Tel: +44 (0)20 3855 5551 · Email: press@defencetechnologies.com</w:t>
      </w:r>
    </w:p>
    <w:p w14:paraId="00000011" w14:textId="77777777" w:rsidR="00970480" w:rsidRDefault="00970480"/>
    <w:p w14:paraId="6020B53C" w14:textId="77777777" w:rsidR="006453D0" w:rsidRDefault="006453D0" w:rsidP="005B0BD2">
      <w:pPr>
        <w:ind w:left="-142" w:right="-142"/>
        <w:rPr>
          <w:b/>
          <w:bCs/>
          <w:color w:val="000000"/>
          <w:sz w:val="20"/>
          <w:szCs w:val="20"/>
        </w:rPr>
      </w:pPr>
    </w:p>
    <w:p w14:paraId="5F5AFCB0" w14:textId="77777777" w:rsidR="006453D0" w:rsidRDefault="006453D0" w:rsidP="005B0BD2">
      <w:pPr>
        <w:ind w:left="-142" w:right="-142"/>
        <w:rPr>
          <w:b/>
          <w:bCs/>
          <w:color w:val="000000"/>
          <w:sz w:val="20"/>
          <w:szCs w:val="20"/>
        </w:rPr>
      </w:pPr>
    </w:p>
    <w:p w14:paraId="7B7617B4" w14:textId="61D5BA5A" w:rsidR="005B0BD2" w:rsidRPr="005B0BD2" w:rsidRDefault="005B0BD2" w:rsidP="005B0BD2">
      <w:pPr>
        <w:ind w:left="-142" w:right="-142"/>
        <w:rPr>
          <w:color w:val="000000"/>
          <w:sz w:val="20"/>
          <w:szCs w:val="20"/>
        </w:rPr>
      </w:pPr>
      <w:r w:rsidRPr="005B0BD2">
        <w:rPr>
          <w:b/>
          <w:bCs/>
          <w:color w:val="000000"/>
          <w:sz w:val="20"/>
          <w:szCs w:val="20"/>
        </w:rPr>
        <w:t>Caution regarding forward looking statements</w:t>
      </w:r>
    </w:p>
    <w:p w14:paraId="5D168A07" w14:textId="77777777" w:rsidR="006453D0" w:rsidRDefault="006453D0" w:rsidP="005B0BD2">
      <w:pPr>
        <w:ind w:left="-142" w:right="-142"/>
        <w:rPr>
          <w:color w:val="000000"/>
          <w:sz w:val="20"/>
          <w:szCs w:val="20"/>
        </w:rPr>
      </w:pPr>
    </w:p>
    <w:p w14:paraId="7C785125" w14:textId="409CDEA7" w:rsidR="005B0BD2" w:rsidRDefault="005B0BD2" w:rsidP="005B0BD2">
      <w:pPr>
        <w:ind w:left="-142" w:right="-142"/>
        <w:rPr>
          <w:color w:val="000000"/>
          <w:sz w:val="20"/>
          <w:szCs w:val="20"/>
        </w:rPr>
      </w:pPr>
      <w:r w:rsidRPr="005B0BD2">
        <w:rPr>
          <w:color w:val="000000"/>
          <w:sz w:val="20"/>
          <w:szCs w:val="20"/>
        </w:rPr>
        <w:t>Certain statements in this announcement, are, or may be deemed to be, forward looking statements.  Forward looking statements are identiﬁed by their use of terms and phrases such as ''believe'', ''could'', "should" ''envisage'', ''estimate'', ''intend'', ''may'', ''plan'', ''potentially'', "expect", ''will'' or the negative of those, variations or comparable expressions, including references to assumptions.  These forward-looking statements are not based on historical facts but rather on the Directors' current expectations and assumptions regarding the Company's future growth, results of operations, performance, future capital and other expenditures (including the amount, nature and sources of funding thereof), competitive advantages, business prospects and opportunities.  Such forward looking statements reﬂect the Directors' current beliefs and assumptions and are based on information currently available to the Directors.</w:t>
      </w:r>
    </w:p>
    <w:p w14:paraId="2ECDE2EA" w14:textId="77777777" w:rsidR="005B0BD2" w:rsidRPr="005B0BD2" w:rsidRDefault="005B0BD2" w:rsidP="005B0BD2">
      <w:pPr>
        <w:ind w:left="-142" w:right="-142"/>
        <w:rPr>
          <w:color w:val="000000"/>
          <w:sz w:val="20"/>
          <w:szCs w:val="20"/>
        </w:rPr>
      </w:pPr>
    </w:p>
    <w:p w14:paraId="2B870932" w14:textId="77777777" w:rsidR="005B0BD2" w:rsidRDefault="005B0BD2" w:rsidP="005B0BD2">
      <w:pPr>
        <w:ind w:left="-142" w:right="-142"/>
        <w:rPr>
          <w:color w:val="000000"/>
          <w:sz w:val="20"/>
          <w:szCs w:val="20"/>
        </w:rPr>
      </w:pPr>
      <w:r w:rsidRPr="005B0BD2">
        <w:rPr>
          <w:color w:val="000000"/>
          <w:sz w:val="20"/>
          <w:szCs w:val="20"/>
        </w:rPr>
        <w:lastRenderedPageBreak/>
        <w:t xml:space="preserve">Such statements are based on current expectations and assumptions and are subject to </w:t>
      </w:r>
      <w:proofErr w:type="gramStart"/>
      <w:r w:rsidRPr="005B0BD2">
        <w:rPr>
          <w:color w:val="000000"/>
          <w:sz w:val="20"/>
          <w:szCs w:val="20"/>
        </w:rPr>
        <w:t>a number of</w:t>
      </w:r>
      <w:proofErr w:type="gramEnd"/>
      <w:r w:rsidRPr="005B0BD2">
        <w:rPr>
          <w:color w:val="000000"/>
          <w:sz w:val="20"/>
          <w:szCs w:val="20"/>
        </w:rPr>
        <w:t xml:space="preserve"> risks and uncertainties that could cause actual events or results to differ materially from any expected future events or results expressed or implied in these forward-looking statements.  Persons receiving and reading this announcement should not place undue reliance on forward-looking statements.  Unless otherwise required by applicable law, regulation or accounting standard, the Company does not undertake to update or revise any forward-looking statements, whether </w:t>
      </w:r>
      <w:proofErr w:type="gramStart"/>
      <w:r w:rsidRPr="005B0BD2">
        <w:rPr>
          <w:color w:val="000000"/>
          <w:sz w:val="20"/>
          <w:szCs w:val="20"/>
        </w:rPr>
        <w:t>as a result of</w:t>
      </w:r>
      <w:proofErr w:type="gramEnd"/>
      <w:r w:rsidRPr="005B0BD2">
        <w:rPr>
          <w:color w:val="000000"/>
          <w:sz w:val="20"/>
          <w:szCs w:val="20"/>
        </w:rPr>
        <w:t xml:space="preserve"> new information, future developments or otherwise.</w:t>
      </w:r>
    </w:p>
    <w:p w14:paraId="211C0E16" w14:textId="77777777" w:rsidR="00970A04" w:rsidRDefault="00970A04" w:rsidP="005B0BD2">
      <w:pPr>
        <w:ind w:left="-142" w:right="-142"/>
        <w:rPr>
          <w:color w:val="000000"/>
          <w:sz w:val="20"/>
          <w:szCs w:val="20"/>
        </w:rPr>
      </w:pPr>
    </w:p>
    <w:p w14:paraId="781CA324" w14:textId="77777777" w:rsidR="00970A04" w:rsidRDefault="00970A04" w:rsidP="005B0BD2">
      <w:pPr>
        <w:ind w:left="-142" w:right="-142"/>
        <w:rPr>
          <w:color w:val="000000"/>
          <w:sz w:val="20"/>
          <w:szCs w:val="20"/>
        </w:rPr>
      </w:pPr>
    </w:p>
    <w:p w14:paraId="3A275875" w14:textId="5035D825" w:rsidR="00970A04" w:rsidRPr="004637AA" w:rsidRDefault="00970A04" w:rsidP="005B0BD2">
      <w:pPr>
        <w:ind w:left="-142" w:right="-142"/>
        <w:rPr>
          <w:b/>
          <w:bCs/>
          <w:color w:val="000000"/>
          <w:sz w:val="20"/>
          <w:szCs w:val="20"/>
        </w:rPr>
      </w:pPr>
      <w:r w:rsidRPr="00970A04">
        <w:rPr>
          <w:b/>
          <w:bCs/>
        </w:rPr>
        <w:t xml:space="preserve">6. </w:t>
      </w:r>
      <w:r w:rsidR="004637AA" w:rsidRPr="004637AA">
        <w:rPr>
          <w:b/>
          <w:bCs/>
        </w:rPr>
        <w:t xml:space="preserve">Comparing the financial and operational performance of </w:t>
      </w:r>
      <w:r w:rsidR="004637AA" w:rsidRPr="004637AA">
        <w:rPr>
          <w:rStyle w:val="Strong"/>
        </w:rPr>
        <w:t>Defence Holdings PLC</w:t>
      </w:r>
      <w:r w:rsidR="004637AA" w:rsidRPr="004637AA">
        <w:t xml:space="preserve"> </w:t>
      </w:r>
      <w:r w:rsidR="004637AA" w:rsidRPr="004637AA">
        <w:rPr>
          <w:b/>
          <w:bCs/>
        </w:rPr>
        <w:t xml:space="preserve">for the </w:t>
      </w:r>
      <w:proofErr w:type="gramStart"/>
      <w:r w:rsidR="006C0FC4">
        <w:rPr>
          <w:b/>
          <w:bCs/>
        </w:rPr>
        <w:t>15 month</w:t>
      </w:r>
      <w:proofErr w:type="gramEnd"/>
      <w:r w:rsidR="006C0FC4">
        <w:rPr>
          <w:b/>
          <w:bCs/>
        </w:rPr>
        <w:t xml:space="preserve"> </w:t>
      </w:r>
      <w:r w:rsidR="004637AA" w:rsidRPr="004637AA">
        <w:rPr>
          <w:b/>
          <w:bCs/>
        </w:rPr>
        <w:t xml:space="preserve">period ended </w:t>
      </w:r>
      <w:r w:rsidR="004637AA" w:rsidRPr="004637AA">
        <w:rPr>
          <w:rStyle w:val="Strong"/>
        </w:rPr>
        <w:t xml:space="preserve">31 December </w:t>
      </w:r>
      <w:proofErr w:type="gramStart"/>
      <w:r w:rsidR="004637AA" w:rsidRPr="004637AA">
        <w:rPr>
          <w:rStyle w:val="Strong"/>
        </w:rPr>
        <w:t>2024</w:t>
      </w:r>
      <w:proofErr w:type="gramEnd"/>
      <w:r w:rsidR="004637AA" w:rsidRPr="004637AA">
        <w:t xml:space="preserve"> </w:t>
      </w:r>
      <w:r w:rsidR="004637AA" w:rsidRPr="006C0FC4">
        <w:rPr>
          <w:b/>
          <w:bCs/>
        </w:rPr>
        <w:t xml:space="preserve">and </w:t>
      </w:r>
      <w:r w:rsidR="006C0FC4" w:rsidRPr="006C0FC4">
        <w:rPr>
          <w:b/>
          <w:bCs/>
        </w:rPr>
        <w:t>the year ended</w:t>
      </w:r>
      <w:r w:rsidR="006C0FC4">
        <w:t xml:space="preserve"> </w:t>
      </w:r>
      <w:r w:rsidR="004637AA" w:rsidRPr="004637AA">
        <w:rPr>
          <w:rStyle w:val="Strong"/>
        </w:rPr>
        <w:t>30 September 2023</w:t>
      </w:r>
    </w:p>
    <w:p w14:paraId="7324740D" w14:textId="77777777" w:rsidR="00970A04" w:rsidRPr="00970A04" w:rsidRDefault="00970A04" w:rsidP="009612F8">
      <w:pPr>
        <w:spacing w:before="100" w:beforeAutospacing="1" w:after="100" w:afterAutospacing="1" w:line="240" w:lineRule="auto"/>
        <w:ind w:left="-113"/>
        <w:rPr>
          <w:rFonts w:eastAsia="Times New Roman"/>
          <w:sz w:val="20"/>
          <w:szCs w:val="20"/>
        </w:rPr>
      </w:pPr>
      <w:r w:rsidRPr="00970A04">
        <w:rPr>
          <w:rFonts w:eastAsia="Times New Roman"/>
          <w:sz w:val="20"/>
          <w:szCs w:val="20"/>
        </w:rPr>
        <w:t>Defence Holdings PLC saw a notable improvement in financial performance in the 15-month period ended 31 December 2024, despite a reduction in overall revenue. The company achieved a reduction in losses, largely driven by cost-cutting measures and the disposal of major assets.</w:t>
      </w:r>
    </w:p>
    <w:p w14:paraId="58850BD6" w14:textId="77777777" w:rsidR="00970A04" w:rsidRPr="00970A04" w:rsidRDefault="00970A04" w:rsidP="00970A04">
      <w:pPr>
        <w:spacing w:before="100" w:beforeAutospacing="1" w:after="100" w:afterAutospacing="1" w:line="240" w:lineRule="auto"/>
        <w:outlineLvl w:val="3"/>
        <w:rPr>
          <w:rFonts w:eastAsia="Times New Roman"/>
          <w:b/>
          <w:bCs/>
          <w:sz w:val="20"/>
          <w:szCs w:val="20"/>
        </w:rPr>
      </w:pPr>
      <w:r w:rsidRPr="00970A04">
        <w:rPr>
          <w:rFonts w:eastAsia="Times New Roman"/>
          <w:b/>
          <w:bCs/>
          <w:sz w:val="20"/>
          <w:szCs w:val="20"/>
        </w:rPr>
        <w:t>Key Financial Highlights</w:t>
      </w:r>
    </w:p>
    <w:p w14:paraId="0323E6FD" w14:textId="77777777" w:rsidR="00970A04" w:rsidRPr="00970A04" w:rsidRDefault="00970A04" w:rsidP="00970A04">
      <w:pPr>
        <w:numPr>
          <w:ilvl w:val="0"/>
          <w:numId w:val="11"/>
        </w:numPr>
        <w:spacing w:before="100" w:beforeAutospacing="1" w:after="100" w:afterAutospacing="1" w:line="240" w:lineRule="auto"/>
        <w:ind w:left="697" w:hanging="357"/>
        <w:rPr>
          <w:rFonts w:eastAsia="Times New Roman"/>
          <w:sz w:val="20"/>
          <w:szCs w:val="20"/>
        </w:rPr>
      </w:pPr>
      <w:r w:rsidRPr="00970A04">
        <w:rPr>
          <w:rFonts w:eastAsia="Times New Roman"/>
          <w:sz w:val="20"/>
          <w:szCs w:val="20"/>
        </w:rPr>
        <w:t>Revenue fell from £5.53 million (2023) to £4.33 million (2024), reflecting a decline in sponsorship and esports-related income.</w:t>
      </w:r>
    </w:p>
    <w:p w14:paraId="13612E03" w14:textId="77777777" w:rsidR="00970A04" w:rsidRPr="00970A04" w:rsidRDefault="00970A04" w:rsidP="00970A04">
      <w:pPr>
        <w:numPr>
          <w:ilvl w:val="0"/>
          <w:numId w:val="11"/>
        </w:numPr>
        <w:spacing w:before="100" w:beforeAutospacing="1" w:after="100" w:afterAutospacing="1" w:line="240" w:lineRule="auto"/>
        <w:ind w:left="697" w:hanging="357"/>
        <w:rPr>
          <w:rFonts w:eastAsia="Times New Roman"/>
          <w:sz w:val="20"/>
          <w:szCs w:val="20"/>
        </w:rPr>
      </w:pPr>
      <w:r w:rsidRPr="00970A04">
        <w:rPr>
          <w:rFonts w:eastAsia="Times New Roman"/>
          <w:sz w:val="20"/>
          <w:szCs w:val="20"/>
        </w:rPr>
        <w:t>Operating loss reduced significantly from £4.25 million to £2.90 million.</w:t>
      </w:r>
    </w:p>
    <w:p w14:paraId="122EE21E" w14:textId="77777777" w:rsidR="00970A04" w:rsidRPr="00970A04" w:rsidRDefault="00970A04" w:rsidP="00970A04">
      <w:pPr>
        <w:numPr>
          <w:ilvl w:val="0"/>
          <w:numId w:val="11"/>
        </w:numPr>
        <w:spacing w:before="100" w:beforeAutospacing="1" w:after="100" w:afterAutospacing="1" w:line="240" w:lineRule="auto"/>
        <w:ind w:left="697" w:hanging="357"/>
        <w:rPr>
          <w:rFonts w:eastAsia="Times New Roman"/>
          <w:sz w:val="20"/>
          <w:szCs w:val="20"/>
        </w:rPr>
      </w:pPr>
      <w:r w:rsidRPr="00970A04">
        <w:rPr>
          <w:rFonts w:eastAsia="Times New Roman"/>
          <w:sz w:val="20"/>
          <w:szCs w:val="20"/>
        </w:rPr>
        <w:t>Net loss after tax improved from £4.50 million to £1.25 million.</w:t>
      </w:r>
    </w:p>
    <w:p w14:paraId="2BA545C8" w14:textId="77777777" w:rsidR="00970A04" w:rsidRPr="00970A04" w:rsidRDefault="00970A04" w:rsidP="00970A04">
      <w:pPr>
        <w:numPr>
          <w:ilvl w:val="0"/>
          <w:numId w:val="11"/>
        </w:numPr>
        <w:spacing w:before="100" w:beforeAutospacing="1" w:after="100" w:afterAutospacing="1" w:line="240" w:lineRule="auto"/>
        <w:ind w:left="697" w:hanging="357"/>
        <w:rPr>
          <w:rFonts w:eastAsia="Times New Roman"/>
          <w:sz w:val="20"/>
          <w:szCs w:val="20"/>
        </w:rPr>
      </w:pPr>
      <w:r w:rsidRPr="00970A04">
        <w:rPr>
          <w:rFonts w:eastAsia="Times New Roman"/>
          <w:sz w:val="20"/>
          <w:szCs w:val="20"/>
        </w:rPr>
        <w:t>Earnings per share improved from a loss of (</w:t>
      </w:r>
      <w:proofErr w:type="gramStart"/>
      <w:r w:rsidRPr="00970A04">
        <w:rPr>
          <w:rFonts w:eastAsia="Times New Roman"/>
          <w:sz w:val="20"/>
          <w:szCs w:val="20"/>
        </w:rPr>
        <w:t>0.82)p</w:t>
      </w:r>
      <w:proofErr w:type="gramEnd"/>
      <w:r w:rsidRPr="00970A04">
        <w:rPr>
          <w:rFonts w:eastAsia="Times New Roman"/>
          <w:sz w:val="20"/>
          <w:szCs w:val="20"/>
        </w:rPr>
        <w:t xml:space="preserve"> to (</w:t>
      </w:r>
      <w:proofErr w:type="gramStart"/>
      <w:r w:rsidRPr="00970A04">
        <w:rPr>
          <w:rFonts w:eastAsia="Times New Roman"/>
          <w:sz w:val="20"/>
          <w:szCs w:val="20"/>
        </w:rPr>
        <w:t>0.16)p.</w:t>
      </w:r>
      <w:proofErr w:type="gramEnd"/>
    </w:p>
    <w:p w14:paraId="7E72DBED" w14:textId="77777777" w:rsidR="00970A04" w:rsidRPr="00970A04" w:rsidRDefault="00970A04" w:rsidP="00970A04">
      <w:pPr>
        <w:numPr>
          <w:ilvl w:val="0"/>
          <w:numId w:val="11"/>
        </w:numPr>
        <w:spacing w:before="100" w:beforeAutospacing="1" w:after="100" w:afterAutospacing="1" w:line="240" w:lineRule="auto"/>
        <w:ind w:left="697" w:hanging="357"/>
        <w:rPr>
          <w:rFonts w:eastAsia="Times New Roman"/>
          <w:sz w:val="20"/>
          <w:szCs w:val="20"/>
        </w:rPr>
      </w:pPr>
      <w:r w:rsidRPr="00970A04">
        <w:rPr>
          <w:rFonts w:eastAsia="Times New Roman"/>
          <w:sz w:val="20"/>
          <w:szCs w:val="20"/>
        </w:rPr>
        <w:t>The company generated £2.13 million in other income, including a £942k gain on asset sales.</w:t>
      </w:r>
    </w:p>
    <w:p w14:paraId="176BFDE0" w14:textId="77777777" w:rsidR="00970A04" w:rsidRPr="00970A04" w:rsidRDefault="00970A04" w:rsidP="00970A04">
      <w:pPr>
        <w:spacing w:before="100" w:beforeAutospacing="1" w:after="100" w:afterAutospacing="1" w:line="240" w:lineRule="auto"/>
        <w:outlineLvl w:val="3"/>
        <w:rPr>
          <w:rFonts w:eastAsia="Times New Roman"/>
          <w:b/>
          <w:bCs/>
          <w:sz w:val="20"/>
          <w:szCs w:val="20"/>
        </w:rPr>
      </w:pPr>
      <w:r w:rsidRPr="00970A04">
        <w:rPr>
          <w:rFonts w:eastAsia="Times New Roman"/>
          <w:b/>
          <w:bCs/>
          <w:sz w:val="20"/>
          <w:szCs w:val="20"/>
        </w:rPr>
        <w:t>Balance Sheet Movements</w:t>
      </w:r>
    </w:p>
    <w:p w14:paraId="24F727B5" w14:textId="77777777" w:rsidR="00970A04" w:rsidRPr="00970A04" w:rsidRDefault="00970A04" w:rsidP="00970A04">
      <w:pPr>
        <w:numPr>
          <w:ilvl w:val="0"/>
          <w:numId w:val="12"/>
        </w:numPr>
        <w:spacing w:before="100" w:beforeAutospacing="1" w:after="100" w:afterAutospacing="1" w:line="240" w:lineRule="auto"/>
        <w:ind w:left="584" w:hanging="357"/>
        <w:rPr>
          <w:rFonts w:eastAsia="Times New Roman"/>
          <w:sz w:val="20"/>
          <w:szCs w:val="20"/>
        </w:rPr>
      </w:pPr>
      <w:r w:rsidRPr="00970A04">
        <w:rPr>
          <w:rFonts w:eastAsia="Times New Roman"/>
          <w:sz w:val="20"/>
          <w:szCs w:val="20"/>
        </w:rPr>
        <w:t>Total assets declined sharply from £5.55 million to £121k due to asset disposals and lease terminations.</w:t>
      </w:r>
    </w:p>
    <w:p w14:paraId="38BB2079" w14:textId="77777777" w:rsidR="00970A04" w:rsidRPr="00970A04" w:rsidRDefault="00970A04" w:rsidP="00970A04">
      <w:pPr>
        <w:numPr>
          <w:ilvl w:val="0"/>
          <w:numId w:val="12"/>
        </w:numPr>
        <w:spacing w:before="100" w:beforeAutospacing="1" w:after="100" w:afterAutospacing="1" w:line="240" w:lineRule="auto"/>
        <w:ind w:left="584" w:hanging="357"/>
        <w:rPr>
          <w:rFonts w:eastAsia="Times New Roman"/>
          <w:sz w:val="20"/>
          <w:szCs w:val="20"/>
        </w:rPr>
      </w:pPr>
      <w:r w:rsidRPr="00970A04">
        <w:rPr>
          <w:rFonts w:eastAsia="Times New Roman"/>
          <w:sz w:val="20"/>
          <w:szCs w:val="20"/>
        </w:rPr>
        <w:t>Liabilities dropped from £5.78 million to £741k.</w:t>
      </w:r>
    </w:p>
    <w:p w14:paraId="7DD99400" w14:textId="7BB40D75" w:rsidR="00970A04" w:rsidRPr="00970A04" w:rsidRDefault="00970A04" w:rsidP="00970A04">
      <w:pPr>
        <w:numPr>
          <w:ilvl w:val="0"/>
          <w:numId w:val="12"/>
        </w:numPr>
        <w:spacing w:before="100" w:beforeAutospacing="1" w:after="100" w:afterAutospacing="1" w:line="240" w:lineRule="auto"/>
        <w:ind w:left="584" w:hanging="357"/>
        <w:rPr>
          <w:rFonts w:eastAsia="Times New Roman"/>
          <w:sz w:val="20"/>
          <w:szCs w:val="20"/>
        </w:rPr>
      </w:pPr>
      <w:r w:rsidRPr="00970A04">
        <w:rPr>
          <w:rFonts w:eastAsia="Times New Roman"/>
          <w:sz w:val="20"/>
          <w:szCs w:val="20"/>
        </w:rPr>
        <w:t xml:space="preserve">Net equity </w:t>
      </w:r>
      <w:proofErr w:type="spellStart"/>
      <w:r w:rsidRPr="00970A04">
        <w:rPr>
          <w:rFonts w:eastAsia="Times New Roman"/>
          <w:sz w:val="20"/>
          <w:szCs w:val="20"/>
        </w:rPr>
        <w:t>worsened</w:t>
      </w:r>
      <w:r w:rsidR="006C0FC4">
        <w:rPr>
          <w:rFonts w:eastAsia="Times New Roman"/>
          <w:sz w:val="20"/>
          <w:szCs w:val="20"/>
        </w:rPr>
        <w:t>as</w:t>
      </w:r>
      <w:proofErr w:type="spellEnd"/>
      <w:r w:rsidR="006C0FC4">
        <w:rPr>
          <w:rFonts w:eastAsia="Times New Roman"/>
          <w:sz w:val="20"/>
          <w:szCs w:val="20"/>
        </w:rPr>
        <w:t xml:space="preserve"> expected</w:t>
      </w:r>
      <w:r w:rsidRPr="00970A04">
        <w:rPr>
          <w:rFonts w:eastAsia="Times New Roman"/>
          <w:sz w:val="20"/>
          <w:szCs w:val="20"/>
        </w:rPr>
        <w:t>, falling from £231k to £620k, keeping the company in a negative equity position</w:t>
      </w:r>
      <w:r w:rsidR="006C0FC4">
        <w:rPr>
          <w:rFonts w:eastAsia="Times New Roman"/>
          <w:sz w:val="20"/>
          <w:szCs w:val="20"/>
        </w:rPr>
        <w:t xml:space="preserve"> for the time being.</w:t>
      </w:r>
    </w:p>
    <w:p w14:paraId="1F0FC03C" w14:textId="7916E9C4" w:rsidR="00970A04" w:rsidRPr="00970A04" w:rsidRDefault="00970A04" w:rsidP="00970A04">
      <w:pPr>
        <w:numPr>
          <w:ilvl w:val="0"/>
          <w:numId w:val="12"/>
        </w:numPr>
        <w:spacing w:before="100" w:beforeAutospacing="1" w:after="100" w:afterAutospacing="1" w:line="240" w:lineRule="auto"/>
        <w:ind w:left="584" w:hanging="357"/>
        <w:rPr>
          <w:rFonts w:eastAsia="Times New Roman"/>
          <w:sz w:val="20"/>
          <w:szCs w:val="20"/>
        </w:rPr>
      </w:pPr>
      <w:r w:rsidRPr="00970A04">
        <w:rPr>
          <w:rFonts w:eastAsia="Times New Roman"/>
          <w:sz w:val="20"/>
          <w:szCs w:val="20"/>
        </w:rPr>
        <w:t>Cash reserves reduced from £459k to £15k by year-end.</w:t>
      </w:r>
    </w:p>
    <w:p w14:paraId="3A4E7791" w14:textId="77777777" w:rsidR="00970A04" w:rsidRDefault="00970A04" w:rsidP="00970A04">
      <w:pPr>
        <w:spacing w:before="100" w:beforeAutospacing="1" w:after="100" w:afterAutospacing="1" w:line="240" w:lineRule="auto"/>
        <w:outlineLvl w:val="3"/>
        <w:rPr>
          <w:rFonts w:eastAsia="Times New Roman"/>
          <w:b/>
          <w:bCs/>
          <w:sz w:val="20"/>
          <w:szCs w:val="20"/>
        </w:rPr>
      </w:pPr>
      <w:r w:rsidRPr="00970A04">
        <w:rPr>
          <w:rFonts w:eastAsia="Times New Roman"/>
          <w:b/>
          <w:bCs/>
          <w:sz w:val="20"/>
          <w:szCs w:val="20"/>
        </w:rPr>
        <w:t>Operational Changes</w:t>
      </w:r>
    </w:p>
    <w:p w14:paraId="180456E0" w14:textId="4AA4C8FD" w:rsidR="006C0FC4" w:rsidRPr="00970A04" w:rsidRDefault="006C0FC4" w:rsidP="00970A04">
      <w:pPr>
        <w:spacing w:before="100" w:beforeAutospacing="1" w:after="100" w:afterAutospacing="1" w:line="240" w:lineRule="auto"/>
        <w:outlineLvl w:val="3"/>
        <w:rPr>
          <w:rFonts w:eastAsia="Times New Roman"/>
          <w:b/>
          <w:bCs/>
          <w:sz w:val="20"/>
          <w:szCs w:val="20"/>
        </w:rPr>
      </w:pPr>
      <w:r w:rsidRPr="006C0FC4">
        <w:rPr>
          <w:rFonts w:eastAsia="Times New Roman"/>
          <w:sz w:val="20"/>
          <w:szCs w:val="20"/>
        </w:rPr>
        <w:t>Following the sale of the esports business, assets and liabilities</w:t>
      </w:r>
      <w:r>
        <w:rPr>
          <w:rFonts w:eastAsia="Times New Roman"/>
          <w:b/>
          <w:bCs/>
          <w:sz w:val="20"/>
          <w:szCs w:val="20"/>
        </w:rPr>
        <w:t xml:space="preserve"> to </w:t>
      </w:r>
      <w:r w:rsidRPr="006C0FC4">
        <w:rPr>
          <w:rFonts w:eastAsia="Times New Roman"/>
          <w:sz w:val="20"/>
          <w:szCs w:val="20"/>
        </w:rPr>
        <w:t>DCB Sports LLC in October 2024:</w:t>
      </w:r>
    </w:p>
    <w:p w14:paraId="6F4DD13C" w14:textId="77777777" w:rsidR="00970A04" w:rsidRPr="00970A04" w:rsidRDefault="00970A04" w:rsidP="00970A04">
      <w:pPr>
        <w:numPr>
          <w:ilvl w:val="0"/>
          <w:numId w:val="13"/>
        </w:numPr>
        <w:spacing w:before="100" w:beforeAutospacing="1" w:after="100" w:afterAutospacing="1" w:line="240" w:lineRule="auto"/>
        <w:ind w:left="510"/>
        <w:rPr>
          <w:rFonts w:eastAsia="Times New Roman"/>
          <w:sz w:val="20"/>
          <w:szCs w:val="20"/>
        </w:rPr>
      </w:pPr>
      <w:r w:rsidRPr="00970A04">
        <w:rPr>
          <w:rFonts w:eastAsia="Times New Roman"/>
          <w:sz w:val="20"/>
          <w:szCs w:val="20"/>
        </w:rPr>
        <w:t>Sponsorship income decreased by over 40%, indicating weaker brand or partner activity.</w:t>
      </w:r>
    </w:p>
    <w:p w14:paraId="1760E9A7" w14:textId="77777777" w:rsidR="00970A04" w:rsidRPr="00970A04" w:rsidRDefault="00970A04" w:rsidP="00970A04">
      <w:pPr>
        <w:numPr>
          <w:ilvl w:val="0"/>
          <w:numId w:val="13"/>
        </w:numPr>
        <w:spacing w:before="100" w:beforeAutospacing="1" w:after="100" w:afterAutospacing="1" w:line="240" w:lineRule="auto"/>
        <w:ind w:left="510"/>
        <w:rPr>
          <w:rFonts w:eastAsia="Times New Roman"/>
          <w:sz w:val="20"/>
          <w:szCs w:val="20"/>
        </w:rPr>
      </w:pPr>
      <w:r w:rsidRPr="00970A04">
        <w:rPr>
          <w:rFonts w:eastAsia="Times New Roman"/>
          <w:sz w:val="20"/>
          <w:szCs w:val="20"/>
        </w:rPr>
        <w:t>Prize money income dropped substantially, suggesting a reduced focus on esports.</w:t>
      </w:r>
    </w:p>
    <w:p w14:paraId="7BF07312" w14:textId="77777777" w:rsidR="00970A04" w:rsidRPr="00970A04" w:rsidRDefault="00970A04" w:rsidP="00970A04">
      <w:pPr>
        <w:numPr>
          <w:ilvl w:val="0"/>
          <w:numId w:val="13"/>
        </w:numPr>
        <w:spacing w:before="100" w:beforeAutospacing="1" w:after="100" w:afterAutospacing="1" w:line="240" w:lineRule="auto"/>
        <w:ind w:left="510"/>
        <w:rPr>
          <w:rFonts w:eastAsia="Times New Roman"/>
          <w:sz w:val="20"/>
          <w:szCs w:val="20"/>
        </w:rPr>
      </w:pPr>
      <w:r w:rsidRPr="00970A04">
        <w:rPr>
          <w:rFonts w:eastAsia="Times New Roman"/>
          <w:sz w:val="20"/>
          <w:szCs w:val="20"/>
        </w:rPr>
        <w:t>Guild Studios revenue rose sharply, hinting at a strategic shift towards creative services.</w:t>
      </w:r>
    </w:p>
    <w:p w14:paraId="527B7DB6" w14:textId="77777777" w:rsidR="00970A04" w:rsidRPr="00970A04" w:rsidRDefault="00970A04" w:rsidP="00970A04">
      <w:pPr>
        <w:numPr>
          <w:ilvl w:val="0"/>
          <w:numId w:val="13"/>
        </w:numPr>
        <w:spacing w:before="100" w:beforeAutospacing="1" w:after="100" w:afterAutospacing="1" w:line="240" w:lineRule="auto"/>
        <w:ind w:left="510"/>
        <w:rPr>
          <w:rFonts w:eastAsia="Times New Roman"/>
          <w:sz w:val="20"/>
          <w:szCs w:val="20"/>
        </w:rPr>
      </w:pPr>
      <w:r w:rsidRPr="00970A04">
        <w:rPr>
          <w:rFonts w:eastAsia="Times New Roman"/>
          <w:sz w:val="20"/>
          <w:szCs w:val="20"/>
        </w:rPr>
        <w:t>Staff and administrative costs were significantly reduced, including a near 30% fall in admin expenses.</w:t>
      </w:r>
    </w:p>
    <w:p w14:paraId="669298D7" w14:textId="77777777" w:rsidR="00970A04" w:rsidRPr="00970A04" w:rsidRDefault="00970A04" w:rsidP="00970A04">
      <w:pPr>
        <w:numPr>
          <w:ilvl w:val="0"/>
          <w:numId w:val="13"/>
        </w:numPr>
        <w:spacing w:before="100" w:beforeAutospacing="1" w:after="100" w:afterAutospacing="1" w:line="240" w:lineRule="auto"/>
        <w:ind w:left="510"/>
        <w:rPr>
          <w:rFonts w:eastAsia="Times New Roman"/>
          <w:sz w:val="20"/>
          <w:szCs w:val="20"/>
        </w:rPr>
      </w:pPr>
      <w:r w:rsidRPr="00970A04">
        <w:rPr>
          <w:rFonts w:eastAsia="Times New Roman"/>
          <w:sz w:val="20"/>
          <w:szCs w:val="20"/>
        </w:rPr>
        <w:t>Although director remuneration increased, overall employee costs fell.</w:t>
      </w:r>
    </w:p>
    <w:p w14:paraId="20FE5543" w14:textId="77777777" w:rsidR="00970A04" w:rsidRPr="00970A04" w:rsidRDefault="00970A04" w:rsidP="00970A04">
      <w:pPr>
        <w:spacing w:before="100" w:beforeAutospacing="1" w:after="100" w:afterAutospacing="1" w:line="240" w:lineRule="auto"/>
        <w:ind w:left="510"/>
        <w:outlineLvl w:val="3"/>
        <w:rPr>
          <w:rFonts w:eastAsia="Times New Roman"/>
          <w:b/>
          <w:bCs/>
          <w:sz w:val="20"/>
          <w:szCs w:val="20"/>
        </w:rPr>
      </w:pPr>
      <w:r w:rsidRPr="00970A04">
        <w:rPr>
          <w:rFonts w:eastAsia="Times New Roman"/>
          <w:b/>
          <w:bCs/>
          <w:sz w:val="20"/>
          <w:szCs w:val="20"/>
        </w:rPr>
        <w:t>Strategic Direction</w:t>
      </w:r>
    </w:p>
    <w:p w14:paraId="5819A70E" w14:textId="77777777" w:rsidR="00970A04" w:rsidRPr="00970A04" w:rsidRDefault="00970A04" w:rsidP="00970A04">
      <w:pPr>
        <w:numPr>
          <w:ilvl w:val="0"/>
          <w:numId w:val="14"/>
        </w:numPr>
        <w:spacing w:before="100" w:beforeAutospacing="1" w:after="100" w:afterAutospacing="1" w:line="240" w:lineRule="auto"/>
        <w:ind w:left="510"/>
        <w:rPr>
          <w:rFonts w:eastAsia="Times New Roman"/>
          <w:sz w:val="20"/>
          <w:szCs w:val="20"/>
        </w:rPr>
      </w:pPr>
      <w:r w:rsidRPr="00970A04">
        <w:rPr>
          <w:rFonts w:eastAsia="Times New Roman"/>
          <w:sz w:val="20"/>
          <w:szCs w:val="20"/>
        </w:rPr>
        <w:t>The company disposed of most of its tangible and intangible assets.</w:t>
      </w:r>
    </w:p>
    <w:p w14:paraId="6B2ABB5F" w14:textId="77777777" w:rsidR="00970A04" w:rsidRPr="00970A04" w:rsidRDefault="00970A04" w:rsidP="00970A04">
      <w:pPr>
        <w:numPr>
          <w:ilvl w:val="0"/>
          <w:numId w:val="14"/>
        </w:numPr>
        <w:spacing w:before="100" w:beforeAutospacing="1" w:after="100" w:afterAutospacing="1" w:line="240" w:lineRule="auto"/>
        <w:ind w:left="510"/>
        <w:rPr>
          <w:rFonts w:eastAsia="Times New Roman"/>
          <w:sz w:val="20"/>
          <w:szCs w:val="20"/>
        </w:rPr>
      </w:pPr>
      <w:r w:rsidRPr="00970A04">
        <w:rPr>
          <w:rFonts w:eastAsia="Times New Roman"/>
          <w:sz w:val="20"/>
          <w:szCs w:val="20"/>
        </w:rPr>
        <w:t>It exited lease obligations, effectively winding down its prior operational structure.</w:t>
      </w:r>
    </w:p>
    <w:p w14:paraId="508FD836" w14:textId="733009A8" w:rsidR="006453D0" w:rsidRPr="006C0FC4" w:rsidRDefault="00970A04" w:rsidP="0055205F">
      <w:pPr>
        <w:numPr>
          <w:ilvl w:val="0"/>
          <w:numId w:val="14"/>
        </w:numPr>
        <w:spacing w:before="100" w:beforeAutospacing="1" w:after="100" w:afterAutospacing="1" w:line="240" w:lineRule="auto"/>
        <w:ind w:left="510"/>
        <w:rPr>
          <w:rFonts w:eastAsia="Times New Roman"/>
          <w:sz w:val="20"/>
          <w:szCs w:val="20"/>
        </w:rPr>
      </w:pPr>
      <w:r w:rsidRPr="00970A04">
        <w:rPr>
          <w:rFonts w:eastAsia="Times New Roman"/>
          <w:sz w:val="20"/>
          <w:szCs w:val="20"/>
        </w:rPr>
        <w:t>A rebrand to Defence Holdings PLC in May 2025 and a £3.45 million fundraising post-year-end point towards a major strategic pivot, likely away from esports and towards the defence sector.</w:t>
      </w:r>
    </w:p>
    <w:p w14:paraId="27675082" w14:textId="77777777" w:rsidR="006453D0" w:rsidRDefault="006453D0" w:rsidP="0055205F">
      <w:pPr>
        <w:rPr>
          <w:b/>
          <w:bCs/>
        </w:rPr>
      </w:pPr>
    </w:p>
    <w:p w14:paraId="250DB7B7" w14:textId="7A92CF9E" w:rsidR="006453D0" w:rsidRDefault="00970A04" w:rsidP="0055205F">
      <w:pPr>
        <w:rPr>
          <w:b/>
          <w:bCs/>
        </w:rPr>
      </w:pPr>
      <w:r>
        <w:rPr>
          <w:b/>
          <w:bCs/>
        </w:rPr>
        <w:lastRenderedPageBreak/>
        <w:t>7</w:t>
      </w:r>
      <w:r w:rsidR="00D06038">
        <w:rPr>
          <w:b/>
          <w:bCs/>
        </w:rPr>
        <w:t xml:space="preserve">. </w:t>
      </w:r>
      <w:r w:rsidR="006546EE">
        <w:rPr>
          <w:b/>
          <w:bCs/>
        </w:rPr>
        <w:t xml:space="preserve">Condensed </w:t>
      </w:r>
      <w:r w:rsidR="00D06038">
        <w:rPr>
          <w:b/>
          <w:bCs/>
        </w:rPr>
        <w:t xml:space="preserve">Historical Financial Information </w:t>
      </w:r>
    </w:p>
    <w:p w14:paraId="339C7CDC" w14:textId="77777777" w:rsidR="006453D0" w:rsidRDefault="006453D0" w:rsidP="0055205F">
      <w:pPr>
        <w:rPr>
          <w:b/>
          <w:bCs/>
        </w:rPr>
      </w:pPr>
    </w:p>
    <w:p w14:paraId="572D6B4E" w14:textId="77777777" w:rsidR="006453D0" w:rsidRDefault="006453D0" w:rsidP="0055205F">
      <w:pPr>
        <w:rPr>
          <w:b/>
          <w:bCs/>
        </w:rPr>
      </w:pPr>
    </w:p>
    <w:p w14:paraId="582D4709" w14:textId="7B3CE3BC" w:rsidR="0055205F" w:rsidRDefault="0055205F" w:rsidP="0055205F">
      <w:pPr>
        <w:rPr>
          <w:b/>
          <w:bCs/>
        </w:rPr>
      </w:pPr>
      <w:r w:rsidRPr="00DA375B">
        <w:rPr>
          <w:b/>
          <w:bCs/>
        </w:rPr>
        <w:t>CONDENSED STATEMENT OF FINANCIAL POSITION</w:t>
      </w:r>
    </w:p>
    <w:p w14:paraId="5C0B13FC" w14:textId="77777777" w:rsidR="0055205F" w:rsidRDefault="0055205F" w:rsidP="0055205F">
      <w:pPr>
        <w:rPr>
          <w:b/>
          <w:bCs/>
        </w:rPr>
      </w:pPr>
    </w:p>
    <w:p w14:paraId="300AA415" w14:textId="2C571C21" w:rsidR="0055205F" w:rsidRDefault="0055205F" w:rsidP="0055205F">
      <w:pPr>
        <w:rPr>
          <w:rFonts w:asciiTheme="minorHAnsi" w:hAnsiTheme="minorHAnsi" w:cstheme="minorHAnsi"/>
        </w:rPr>
      </w:pPr>
      <w:r>
        <w:t xml:space="preserve">The unaudited condensed statement of financial position of the Company as </w:t>
      </w:r>
      <w:proofErr w:type="gramStart"/>
      <w:r>
        <w:t>at</w:t>
      </w:r>
      <w:proofErr w:type="gramEnd"/>
      <w:r>
        <w:t xml:space="preserve"> 31 December 2024 is set out below.</w:t>
      </w:r>
    </w:p>
    <w:tbl>
      <w:tblPr>
        <w:tblpPr w:leftFromText="180" w:rightFromText="180" w:vertAnchor="text" w:horzAnchor="margin" w:tblpY="106"/>
        <w:tblW w:w="9498" w:type="dxa"/>
        <w:tblLook w:val="04A0" w:firstRow="1" w:lastRow="0" w:firstColumn="1" w:lastColumn="0" w:noHBand="0" w:noVBand="1"/>
      </w:tblPr>
      <w:tblGrid>
        <w:gridCol w:w="4253"/>
        <w:gridCol w:w="992"/>
        <w:gridCol w:w="1701"/>
        <w:gridCol w:w="2552"/>
      </w:tblGrid>
      <w:tr w:rsidR="003E4C0A" w:rsidRPr="00DF6807" w14:paraId="7322E73F" w14:textId="77777777" w:rsidTr="003E4C0A">
        <w:trPr>
          <w:trHeight w:val="288"/>
        </w:trPr>
        <w:tc>
          <w:tcPr>
            <w:tcW w:w="4253" w:type="dxa"/>
            <w:tcBorders>
              <w:top w:val="nil"/>
              <w:left w:val="nil"/>
              <w:bottom w:val="nil"/>
              <w:right w:val="nil"/>
            </w:tcBorders>
            <w:shd w:val="clear" w:color="auto" w:fill="auto"/>
            <w:vAlign w:val="center"/>
            <w:hideMark/>
          </w:tcPr>
          <w:p w14:paraId="234584EF" w14:textId="77777777" w:rsidR="003E4C0A" w:rsidRPr="00DF6807" w:rsidRDefault="003E4C0A" w:rsidP="00075FBF">
            <w:pPr>
              <w:rPr>
                <w:sz w:val="24"/>
                <w:szCs w:val="24"/>
              </w:rPr>
            </w:pPr>
          </w:p>
        </w:tc>
        <w:tc>
          <w:tcPr>
            <w:tcW w:w="992" w:type="dxa"/>
            <w:tcBorders>
              <w:top w:val="nil"/>
              <w:left w:val="nil"/>
              <w:bottom w:val="nil"/>
              <w:right w:val="nil"/>
            </w:tcBorders>
            <w:shd w:val="clear" w:color="auto" w:fill="auto"/>
            <w:vAlign w:val="center"/>
            <w:hideMark/>
          </w:tcPr>
          <w:p w14:paraId="3D098D5B" w14:textId="77777777" w:rsidR="003E4C0A" w:rsidRPr="00DF6807" w:rsidRDefault="003E4C0A" w:rsidP="00075FBF">
            <w:pPr>
              <w:rPr>
                <w:sz w:val="20"/>
                <w:szCs w:val="20"/>
              </w:rPr>
            </w:pPr>
          </w:p>
        </w:tc>
        <w:tc>
          <w:tcPr>
            <w:tcW w:w="1701" w:type="dxa"/>
            <w:tcBorders>
              <w:top w:val="nil"/>
              <w:left w:val="nil"/>
              <w:bottom w:val="nil"/>
              <w:right w:val="nil"/>
            </w:tcBorders>
            <w:vAlign w:val="center"/>
          </w:tcPr>
          <w:p w14:paraId="3280AF4E" w14:textId="3D8CA6C5" w:rsidR="003E4C0A" w:rsidRPr="00DF6807" w:rsidRDefault="003E4C0A" w:rsidP="00075FBF">
            <w:pPr>
              <w:jc w:val="right"/>
              <w:rPr>
                <w:b/>
                <w:bCs/>
              </w:rPr>
            </w:pPr>
            <w:r w:rsidRPr="00DF6807">
              <w:rPr>
                <w:b/>
                <w:bCs/>
              </w:rPr>
              <w:t>Unaudited</w:t>
            </w:r>
            <w:r w:rsidRPr="00DF6807">
              <w:rPr>
                <w:b/>
                <w:bCs/>
              </w:rPr>
              <w:br/>
              <w:t xml:space="preserve"> As at </w:t>
            </w:r>
            <w:r w:rsidRPr="00DF6807">
              <w:rPr>
                <w:b/>
                <w:bCs/>
              </w:rPr>
              <w:br/>
              <w:t>31-</w:t>
            </w:r>
            <w:r>
              <w:rPr>
                <w:b/>
                <w:bCs/>
              </w:rPr>
              <w:t xml:space="preserve">Dec </w:t>
            </w:r>
            <w:r w:rsidRPr="00DF6807">
              <w:rPr>
                <w:b/>
                <w:bCs/>
              </w:rPr>
              <w:t>202</w:t>
            </w:r>
            <w:r>
              <w:rPr>
                <w:b/>
                <w:bCs/>
              </w:rPr>
              <w:t>4</w:t>
            </w:r>
          </w:p>
        </w:tc>
        <w:tc>
          <w:tcPr>
            <w:tcW w:w="2552" w:type="dxa"/>
            <w:tcBorders>
              <w:top w:val="nil"/>
              <w:left w:val="nil"/>
              <w:bottom w:val="nil"/>
              <w:right w:val="nil"/>
            </w:tcBorders>
            <w:shd w:val="clear" w:color="auto" w:fill="auto"/>
            <w:vAlign w:val="center"/>
            <w:hideMark/>
          </w:tcPr>
          <w:p w14:paraId="4F93C615" w14:textId="77777777" w:rsidR="003E4C0A" w:rsidRPr="00DF6807" w:rsidRDefault="003E4C0A" w:rsidP="00075FBF">
            <w:pPr>
              <w:jc w:val="right"/>
              <w:rPr>
                <w:b/>
                <w:bCs/>
              </w:rPr>
            </w:pPr>
            <w:r w:rsidRPr="00DF6807">
              <w:rPr>
                <w:b/>
                <w:bCs/>
              </w:rPr>
              <w:t>Audited</w:t>
            </w:r>
            <w:r w:rsidRPr="00DF6807">
              <w:rPr>
                <w:b/>
                <w:bCs/>
              </w:rPr>
              <w:br/>
              <w:t xml:space="preserve"> As at </w:t>
            </w:r>
            <w:r w:rsidRPr="00DF6807">
              <w:rPr>
                <w:b/>
                <w:bCs/>
              </w:rPr>
              <w:br/>
              <w:t>30-Sep 202</w:t>
            </w:r>
            <w:r>
              <w:rPr>
                <w:b/>
                <w:bCs/>
              </w:rPr>
              <w:t>3</w:t>
            </w:r>
          </w:p>
        </w:tc>
      </w:tr>
      <w:tr w:rsidR="003E4C0A" w:rsidRPr="00DF6807" w14:paraId="696C4383" w14:textId="77777777" w:rsidTr="003E4C0A">
        <w:trPr>
          <w:trHeight w:val="300"/>
        </w:trPr>
        <w:tc>
          <w:tcPr>
            <w:tcW w:w="4253" w:type="dxa"/>
            <w:tcBorders>
              <w:top w:val="nil"/>
              <w:left w:val="nil"/>
              <w:bottom w:val="single" w:sz="12" w:space="0" w:color="000000"/>
              <w:right w:val="nil"/>
            </w:tcBorders>
            <w:shd w:val="clear" w:color="auto" w:fill="auto"/>
            <w:vAlign w:val="center"/>
            <w:hideMark/>
          </w:tcPr>
          <w:p w14:paraId="1D0E5101" w14:textId="77777777" w:rsidR="003E4C0A" w:rsidRPr="00DF6807" w:rsidRDefault="003E4C0A" w:rsidP="00075FBF">
            <w:r w:rsidRPr="00DF6807">
              <w:t> </w:t>
            </w:r>
          </w:p>
        </w:tc>
        <w:tc>
          <w:tcPr>
            <w:tcW w:w="992" w:type="dxa"/>
            <w:tcBorders>
              <w:top w:val="nil"/>
              <w:left w:val="nil"/>
              <w:bottom w:val="single" w:sz="12" w:space="0" w:color="000000"/>
              <w:right w:val="nil"/>
            </w:tcBorders>
            <w:shd w:val="clear" w:color="auto" w:fill="auto"/>
            <w:vAlign w:val="center"/>
            <w:hideMark/>
          </w:tcPr>
          <w:p w14:paraId="4946433E" w14:textId="77777777" w:rsidR="003E4C0A" w:rsidRPr="00DF6807" w:rsidRDefault="003E4C0A" w:rsidP="00075FBF">
            <w:pPr>
              <w:jc w:val="center"/>
              <w:rPr>
                <w:b/>
                <w:bCs/>
              </w:rPr>
            </w:pPr>
            <w:r w:rsidRPr="00DF6807">
              <w:rPr>
                <w:b/>
                <w:bCs/>
              </w:rPr>
              <w:t>Note</w:t>
            </w:r>
          </w:p>
        </w:tc>
        <w:tc>
          <w:tcPr>
            <w:tcW w:w="1701" w:type="dxa"/>
            <w:tcBorders>
              <w:top w:val="nil"/>
              <w:left w:val="nil"/>
              <w:bottom w:val="single" w:sz="12" w:space="0" w:color="000000"/>
              <w:right w:val="nil"/>
            </w:tcBorders>
            <w:vAlign w:val="center"/>
          </w:tcPr>
          <w:p w14:paraId="278E7DFD" w14:textId="77777777" w:rsidR="003E4C0A" w:rsidRPr="00DF6807" w:rsidRDefault="003E4C0A" w:rsidP="00075FBF">
            <w:pPr>
              <w:jc w:val="right"/>
              <w:rPr>
                <w:b/>
                <w:bCs/>
              </w:rPr>
            </w:pPr>
            <w:r w:rsidRPr="00DF6807">
              <w:rPr>
                <w:b/>
                <w:bCs/>
              </w:rPr>
              <w:t>£</w:t>
            </w:r>
            <w:r>
              <w:rPr>
                <w:b/>
                <w:bCs/>
              </w:rPr>
              <w:t>’000</w:t>
            </w:r>
          </w:p>
        </w:tc>
        <w:tc>
          <w:tcPr>
            <w:tcW w:w="2552" w:type="dxa"/>
            <w:tcBorders>
              <w:top w:val="nil"/>
              <w:left w:val="nil"/>
              <w:bottom w:val="single" w:sz="12" w:space="0" w:color="000000"/>
              <w:right w:val="nil"/>
            </w:tcBorders>
            <w:shd w:val="clear" w:color="auto" w:fill="auto"/>
            <w:vAlign w:val="center"/>
            <w:hideMark/>
          </w:tcPr>
          <w:p w14:paraId="04CA8C12" w14:textId="77777777" w:rsidR="003E4C0A" w:rsidRPr="00DF6807" w:rsidRDefault="003E4C0A" w:rsidP="00075FBF">
            <w:pPr>
              <w:jc w:val="right"/>
              <w:rPr>
                <w:b/>
                <w:bCs/>
              </w:rPr>
            </w:pPr>
            <w:r w:rsidRPr="00DF6807">
              <w:rPr>
                <w:b/>
                <w:bCs/>
              </w:rPr>
              <w:t>£</w:t>
            </w:r>
            <w:r>
              <w:rPr>
                <w:b/>
                <w:bCs/>
              </w:rPr>
              <w:t>’000</w:t>
            </w:r>
          </w:p>
        </w:tc>
      </w:tr>
      <w:tr w:rsidR="003E4C0A" w:rsidRPr="00DF6807" w14:paraId="784E77D1" w14:textId="77777777" w:rsidTr="003E4C0A">
        <w:trPr>
          <w:trHeight w:val="46"/>
        </w:trPr>
        <w:tc>
          <w:tcPr>
            <w:tcW w:w="4253" w:type="dxa"/>
            <w:tcBorders>
              <w:top w:val="nil"/>
              <w:left w:val="nil"/>
              <w:bottom w:val="nil"/>
              <w:right w:val="nil"/>
            </w:tcBorders>
            <w:shd w:val="clear" w:color="auto" w:fill="auto"/>
            <w:vAlign w:val="center"/>
            <w:hideMark/>
          </w:tcPr>
          <w:p w14:paraId="7966E289" w14:textId="77777777" w:rsidR="003E4C0A" w:rsidRPr="00DF6807" w:rsidRDefault="003E4C0A" w:rsidP="00075FBF">
            <w:pPr>
              <w:jc w:val="right"/>
              <w:rPr>
                <w:b/>
                <w:bCs/>
              </w:rPr>
            </w:pPr>
          </w:p>
        </w:tc>
        <w:tc>
          <w:tcPr>
            <w:tcW w:w="992" w:type="dxa"/>
            <w:tcBorders>
              <w:top w:val="nil"/>
              <w:left w:val="nil"/>
              <w:bottom w:val="nil"/>
              <w:right w:val="nil"/>
            </w:tcBorders>
            <w:shd w:val="clear" w:color="auto" w:fill="auto"/>
            <w:vAlign w:val="center"/>
            <w:hideMark/>
          </w:tcPr>
          <w:p w14:paraId="7B0D9BD3" w14:textId="77777777" w:rsidR="003E4C0A" w:rsidRPr="00DF6807" w:rsidRDefault="003E4C0A" w:rsidP="00075FBF">
            <w:pPr>
              <w:jc w:val="center"/>
            </w:pPr>
            <w:r w:rsidRPr="00DF6807">
              <w:t> </w:t>
            </w:r>
          </w:p>
        </w:tc>
        <w:tc>
          <w:tcPr>
            <w:tcW w:w="1701" w:type="dxa"/>
            <w:tcBorders>
              <w:top w:val="nil"/>
              <w:left w:val="nil"/>
              <w:bottom w:val="nil"/>
              <w:right w:val="nil"/>
            </w:tcBorders>
            <w:vAlign w:val="center"/>
          </w:tcPr>
          <w:p w14:paraId="541FE9CF" w14:textId="77777777" w:rsidR="003E4C0A" w:rsidRPr="00DF6807" w:rsidRDefault="003E4C0A" w:rsidP="00075FBF">
            <w:r w:rsidRPr="00DF6807">
              <w:t> </w:t>
            </w:r>
          </w:p>
        </w:tc>
        <w:tc>
          <w:tcPr>
            <w:tcW w:w="2552" w:type="dxa"/>
            <w:tcBorders>
              <w:top w:val="nil"/>
              <w:left w:val="nil"/>
              <w:bottom w:val="nil"/>
              <w:right w:val="nil"/>
            </w:tcBorders>
            <w:shd w:val="clear" w:color="auto" w:fill="auto"/>
            <w:vAlign w:val="center"/>
            <w:hideMark/>
          </w:tcPr>
          <w:p w14:paraId="700E8698" w14:textId="77777777" w:rsidR="003E4C0A" w:rsidRPr="00DF6807" w:rsidRDefault="003E4C0A" w:rsidP="00075FBF">
            <w:r w:rsidRPr="00DF6807">
              <w:t> </w:t>
            </w:r>
          </w:p>
        </w:tc>
      </w:tr>
      <w:tr w:rsidR="003E4C0A" w:rsidRPr="00DF6807" w14:paraId="70EBAF36" w14:textId="77777777" w:rsidTr="003E4C0A">
        <w:trPr>
          <w:trHeight w:val="222"/>
        </w:trPr>
        <w:tc>
          <w:tcPr>
            <w:tcW w:w="4253" w:type="dxa"/>
            <w:tcBorders>
              <w:top w:val="nil"/>
              <w:left w:val="nil"/>
              <w:bottom w:val="nil"/>
              <w:right w:val="nil"/>
            </w:tcBorders>
            <w:shd w:val="clear" w:color="auto" w:fill="auto"/>
            <w:vAlign w:val="center"/>
            <w:hideMark/>
          </w:tcPr>
          <w:p w14:paraId="75577DD7" w14:textId="77777777" w:rsidR="003E4C0A" w:rsidRPr="00DF6807" w:rsidRDefault="003E4C0A" w:rsidP="00075FBF">
            <w:pPr>
              <w:rPr>
                <w:b/>
                <w:bCs/>
              </w:rPr>
            </w:pPr>
            <w:r w:rsidRPr="00DF6807">
              <w:rPr>
                <w:b/>
                <w:bCs/>
              </w:rPr>
              <w:t>ASSETS</w:t>
            </w:r>
          </w:p>
        </w:tc>
        <w:tc>
          <w:tcPr>
            <w:tcW w:w="992" w:type="dxa"/>
            <w:tcBorders>
              <w:top w:val="nil"/>
              <w:left w:val="nil"/>
              <w:bottom w:val="nil"/>
              <w:right w:val="nil"/>
            </w:tcBorders>
            <w:shd w:val="clear" w:color="auto" w:fill="auto"/>
            <w:vAlign w:val="center"/>
            <w:hideMark/>
          </w:tcPr>
          <w:p w14:paraId="3883971E" w14:textId="77777777" w:rsidR="003E4C0A" w:rsidRPr="00DF6807" w:rsidRDefault="003E4C0A" w:rsidP="00075FBF">
            <w:pPr>
              <w:rPr>
                <w:b/>
                <w:bCs/>
              </w:rPr>
            </w:pPr>
          </w:p>
        </w:tc>
        <w:tc>
          <w:tcPr>
            <w:tcW w:w="1701" w:type="dxa"/>
            <w:tcBorders>
              <w:top w:val="nil"/>
              <w:left w:val="nil"/>
              <w:bottom w:val="nil"/>
              <w:right w:val="nil"/>
            </w:tcBorders>
            <w:vAlign w:val="center"/>
          </w:tcPr>
          <w:p w14:paraId="2B493709" w14:textId="77777777" w:rsidR="003E4C0A" w:rsidRPr="00DF6807" w:rsidRDefault="003E4C0A" w:rsidP="00075FBF">
            <w:pPr>
              <w:jc w:val="center"/>
              <w:rPr>
                <w:sz w:val="20"/>
                <w:szCs w:val="20"/>
              </w:rPr>
            </w:pPr>
          </w:p>
        </w:tc>
        <w:tc>
          <w:tcPr>
            <w:tcW w:w="2552" w:type="dxa"/>
            <w:tcBorders>
              <w:top w:val="nil"/>
              <w:left w:val="nil"/>
              <w:bottom w:val="nil"/>
              <w:right w:val="nil"/>
            </w:tcBorders>
            <w:shd w:val="clear" w:color="auto" w:fill="auto"/>
            <w:vAlign w:val="center"/>
            <w:hideMark/>
          </w:tcPr>
          <w:p w14:paraId="1C9DE876" w14:textId="77777777" w:rsidR="003E4C0A" w:rsidRPr="00DF6807" w:rsidRDefault="003E4C0A" w:rsidP="00075FBF">
            <w:pPr>
              <w:rPr>
                <w:sz w:val="20"/>
                <w:szCs w:val="20"/>
              </w:rPr>
            </w:pPr>
          </w:p>
        </w:tc>
      </w:tr>
      <w:tr w:rsidR="003E4C0A" w:rsidRPr="00DF6807" w14:paraId="13DBCC40" w14:textId="77777777" w:rsidTr="003E4C0A">
        <w:trPr>
          <w:trHeight w:val="324"/>
        </w:trPr>
        <w:tc>
          <w:tcPr>
            <w:tcW w:w="4253" w:type="dxa"/>
            <w:tcBorders>
              <w:top w:val="nil"/>
              <w:left w:val="nil"/>
              <w:bottom w:val="nil"/>
              <w:right w:val="nil"/>
            </w:tcBorders>
            <w:shd w:val="clear" w:color="auto" w:fill="auto"/>
            <w:vAlign w:val="center"/>
            <w:hideMark/>
          </w:tcPr>
          <w:p w14:paraId="1CAD9B3D" w14:textId="77777777" w:rsidR="003E4C0A" w:rsidRPr="00DF6807" w:rsidRDefault="003E4C0A" w:rsidP="00075FBF">
            <w:pPr>
              <w:rPr>
                <w:b/>
                <w:bCs/>
              </w:rPr>
            </w:pPr>
            <w:r w:rsidRPr="00DF6807">
              <w:rPr>
                <w:b/>
                <w:bCs/>
              </w:rPr>
              <w:t>Non-current assets</w:t>
            </w:r>
          </w:p>
        </w:tc>
        <w:tc>
          <w:tcPr>
            <w:tcW w:w="992" w:type="dxa"/>
            <w:tcBorders>
              <w:top w:val="nil"/>
              <w:left w:val="nil"/>
              <w:bottom w:val="nil"/>
              <w:right w:val="nil"/>
            </w:tcBorders>
            <w:shd w:val="clear" w:color="auto" w:fill="auto"/>
            <w:vAlign w:val="center"/>
            <w:hideMark/>
          </w:tcPr>
          <w:p w14:paraId="4B2926EF" w14:textId="77777777" w:rsidR="003E4C0A" w:rsidRPr="00DF6807" w:rsidRDefault="003E4C0A" w:rsidP="00075FBF">
            <w:pPr>
              <w:rPr>
                <w:b/>
                <w:bCs/>
              </w:rPr>
            </w:pPr>
          </w:p>
        </w:tc>
        <w:tc>
          <w:tcPr>
            <w:tcW w:w="1701" w:type="dxa"/>
            <w:tcBorders>
              <w:top w:val="nil"/>
              <w:left w:val="nil"/>
              <w:bottom w:val="nil"/>
              <w:right w:val="nil"/>
            </w:tcBorders>
            <w:vAlign w:val="center"/>
          </w:tcPr>
          <w:p w14:paraId="04C78C60" w14:textId="77777777" w:rsidR="003E4C0A" w:rsidRPr="00DF6807" w:rsidRDefault="003E4C0A" w:rsidP="00075FBF">
            <w:pPr>
              <w:jc w:val="center"/>
              <w:rPr>
                <w:sz w:val="20"/>
                <w:szCs w:val="20"/>
              </w:rPr>
            </w:pPr>
          </w:p>
        </w:tc>
        <w:tc>
          <w:tcPr>
            <w:tcW w:w="2552" w:type="dxa"/>
            <w:tcBorders>
              <w:top w:val="nil"/>
              <w:left w:val="nil"/>
              <w:bottom w:val="nil"/>
              <w:right w:val="nil"/>
            </w:tcBorders>
            <w:shd w:val="clear" w:color="auto" w:fill="auto"/>
            <w:vAlign w:val="center"/>
            <w:hideMark/>
          </w:tcPr>
          <w:p w14:paraId="7DB49597" w14:textId="77777777" w:rsidR="003E4C0A" w:rsidRPr="00DF6807" w:rsidRDefault="003E4C0A" w:rsidP="00075FBF">
            <w:pPr>
              <w:rPr>
                <w:sz w:val="20"/>
                <w:szCs w:val="20"/>
              </w:rPr>
            </w:pPr>
          </w:p>
        </w:tc>
      </w:tr>
      <w:tr w:rsidR="003E4C0A" w:rsidRPr="00DF6807" w14:paraId="21C5241B" w14:textId="77777777" w:rsidTr="003E4C0A">
        <w:trPr>
          <w:trHeight w:val="324"/>
        </w:trPr>
        <w:tc>
          <w:tcPr>
            <w:tcW w:w="4253" w:type="dxa"/>
            <w:tcBorders>
              <w:top w:val="nil"/>
              <w:left w:val="nil"/>
              <w:bottom w:val="nil"/>
              <w:right w:val="nil"/>
            </w:tcBorders>
            <w:shd w:val="clear" w:color="auto" w:fill="auto"/>
            <w:vAlign w:val="center"/>
          </w:tcPr>
          <w:p w14:paraId="7237799B" w14:textId="77777777" w:rsidR="003E4C0A" w:rsidRPr="00C1033D" w:rsidRDefault="003E4C0A" w:rsidP="00C41516">
            <w:r w:rsidRPr="00C1033D">
              <w:t>Property, plant and equipment</w:t>
            </w:r>
          </w:p>
        </w:tc>
        <w:tc>
          <w:tcPr>
            <w:tcW w:w="992" w:type="dxa"/>
            <w:tcBorders>
              <w:top w:val="nil"/>
              <w:left w:val="nil"/>
              <w:bottom w:val="nil"/>
              <w:right w:val="nil"/>
            </w:tcBorders>
            <w:shd w:val="clear" w:color="auto" w:fill="auto"/>
            <w:vAlign w:val="center"/>
          </w:tcPr>
          <w:p w14:paraId="55411EA7" w14:textId="77777777" w:rsidR="003E4C0A" w:rsidRPr="00DF6807" w:rsidRDefault="003E4C0A" w:rsidP="00C41516">
            <w:pPr>
              <w:rPr>
                <w:b/>
                <w:bCs/>
              </w:rPr>
            </w:pPr>
          </w:p>
        </w:tc>
        <w:tc>
          <w:tcPr>
            <w:tcW w:w="1701" w:type="dxa"/>
            <w:tcBorders>
              <w:top w:val="nil"/>
              <w:left w:val="nil"/>
              <w:bottom w:val="nil"/>
              <w:right w:val="nil"/>
            </w:tcBorders>
          </w:tcPr>
          <w:p w14:paraId="3E41C383" w14:textId="4C28C055" w:rsidR="003E4C0A" w:rsidRPr="00C1033D" w:rsidRDefault="003E4C0A" w:rsidP="00C41516">
            <w:pPr>
              <w:jc w:val="right"/>
            </w:pPr>
            <w:r w:rsidRPr="00C42089">
              <w:t xml:space="preserve"> -   </w:t>
            </w:r>
          </w:p>
        </w:tc>
        <w:tc>
          <w:tcPr>
            <w:tcW w:w="2552" w:type="dxa"/>
            <w:tcBorders>
              <w:top w:val="nil"/>
              <w:left w:val="nil"/>
              <w:bottom w:val="nil"/>
              <w:right w:val="nil"/>
            </w:tcBorders>
            <w:shd w:val="clear" w:color="auto" w:fill="auto"/>
            <w:vAlign w:val="center"/>
          </w:tcPr>
          <w:p w14:paraId="3104D752" w14:textId="77777777" w:rsidR="003E4C0A" w:rsidRPr="00C1033D" w:rsidRDefault="003E4C0A" w:rsidP="00C41516">
            <w:pPr>
              <w:jc w:val="right"/>
            </w:pPr>
            <w:r>
              <w:t>1,452</w:t>
            </w:r>
          </w:p>
        </w:tc>
      </w:tr>
      <w:tr w:rsidR="003E4C0A" w:rsidRPr="00DF6807" w14:paraId="5DEC3F4A" w14:textId="77777777" w:rsidTr="003E4C0A">
        <w:trPr>
          <w:trHeight w:val="324"/>
        </w:trPr>
        <w:tc>
          <w:tcPr>
            <w:tcW w:w="4253" w:type="dxa"/>
            <w:tcBorders>
              <w:top w:val="nil"/>
              <w:left w:val="nil"/>
              <w:right w:val="nil"/>
            </w:tcBorders>
            <w:shd w:val="clear" w:color="auto" w:fill="auto"/>
            <w:vAlign w:val="center"/>
            <w:hideMark/>
          </w:tcPr>
          <w:p w14:paraId="2306E5F2" w14:textId="77777777" w:rsidR="003E4C0A" w:rsidRPr="00DF6807" w:rsidRDefault="003E4C0A" w:rsidP="00C41516">
            <w:r w:rsidRPr="00DF6807">
              <w:t>Intangible assets</w:t>
            </w:r>
          </w:p>
        </w:tc>
        <w:tc>
          <w:tcPr>
            <w:tcW w:w="992" w:type="dxa"/>
            <w:tcBorders>
              <w:top w:val="nil"/>
              <w:left w:val="nil"/>
              <w:right w:val="nil"/>
            </w:tcBorders>
            <w:shd w:val="clear" w:color="auto" w:fill="auto"/>
            <w:vAlign w:val="center"/>
            <w:hideMark/>
          </w:tcPr>
          <w:p w14:paraId="5AB028FD" w14:textId="77777777" w:rsidR="003E4C0A" w:rsidRPr="00DF6807" w:rsidRDefault="003E4C0A" w:rsidP="00C41516"/>
        </w:tc>
        <w:tc>
          <w:tcPr>
            <w:tcW w:w="1701" w:type="dxa"/>
            <w:tcBorders>
              <w:top w:val="nil"/>
              <w:left w:val="nil"/>
              <w:right w:val="nil"/>
            </w:tcBorders>
          </w:tcPr>
          <w:p w14:paraId="332154F7" w14:textId="6311B005" w:rsidR="003E4C0A" w:rsidRPr="00DF6807" w:rsidRDefault="003E4C0A" w:rsidP="00C41516">
            <w:pPr>
              <w:jc w:val="right"/>
            </w:pPr>
            <w:r w:rsidRPr="00C42089">
              <w:t xml:space="preserve"> -   </w:t>
            </w:r>
          </w:p>
        </w:tc>
        <w:tc>
          <w:tcPr>
            <w:tcW w:w="2552" w:type="dxa"/>
            <w:tcBorders>
              <w:top w:val="nil"/>
              <w:left w:val="nil"/>
              <w:bottom w:val="nil"/>
              <w:right w:val="nil"/>
            </w:tcBorders>
            <w:shd w:val="clear" w:color="auto" w:fill="auto"/>
            <w:vAlign w:val="center"/>
          </w:tcPr>
          <w:p w14:paraId="4FFAA72D" w14:textId="77777777" w:rsidR="003E4C0A" w:rsidRPr="00DF6807" w:rsidRDefault="003E4C0A" w:rsidP="00C41516">
            <w:pPr>
              <w:jc w:val="right"/>
            </w:pPr>
            <w:r>
              <w:t>130</w:t>
            </w:r>
          </w:p>
        </w:tc>
      </w:tr>
      <w:tr w:rsidR="003E4C0A" w:rsidRPr="00DF6807" w14:paraId="76358FE7" w14:textId="77777777" w:rsidTr="003E4C0A">
        <w:trPr>
          <w:trHeight w:val="324"/>
        </w:trPr>
        <w:tc>
          <w:tcPr>
            <w:tcW w:w="4253" w:type="dxa"/>
            <w:tcBorders>
              <w:top w:val="nil"/>
              <w:left w:val="nil"/>
              <w:right w:val="nil"/>
            </w:tcBorders>
            <w:shd w:val="clear" w:color="auto" w:fill="auto"/>
            <w:vAlign w:val="center"/>
          </w:tcPr>
          <w:p w14:paraId="4B44E0D5" w14:textId="77777777" w:rsidR="003E4C0A" w:rsidRPr="00DF6807" w:rsidRDefault="003E4C0A" w:rsidP="00C41516">
            <w:r w:rsidRPr="00DF6807">
              <w:t>Right-of-use asset</w:t>
            </w:r>
          </w:p>
        </w:tc>
        <w:tc>
          <w:tcPr>
            <w:tcW w:w="992" w:type="dxa"/>
            <w:tcBorders>
              <w:top w:val="nil"/>
              <w:left w:val="nil"/>
              <w:right w:val="nil"/>
            </w:tcBorders>
            <w:shd w:val="clear" w:color="auto" w:fill="auto"/>
            <w:vAlign w:val="center"/>
          </w:tcPr>
          <w:p w14:paraId="2C723B40" w14:textId="77777777" w:rsidR="003E4C0A" w:rsidRPr="00536A7E" w:rsidRDefault="003E4C0A" w:rsidP="00C41516">
            <w:pPr>
              <w:jc w:val="center"/>
            </w:pPr>
          </w:p>
        </w:tc>
        <w:tc>
          <w:tcPr>
            <w:tcW w:w="1701" w:type="dxa"/>
            <w:tcBorders>
              <w:top w:val="nil"/>
              <w:left w:val="nil"/>
              <w:right w:val="nil"/>
            </w:tcBorders>
          </w:tcPr>
          <w:p w14:paraId="3557C0FF" w14:textId="1F3A7A31" w:rsidR="003E4C0A" w:rsidRPr="00DF6807" w:rsidRDefault="003E4C0A" w:rsidP="00C41516">
            <w:pPr>
              <w:jc w:val="right"/>
            </w:pPr>
            <w:r w:rsidRPr="00C42089">
              <w:t xml:space="preserve"> -   </w:t>
            </w:r>
          </w:p>
        </w:tc>
        <w:tc>
          <w:tcPr>
            <w:tcW w:w="2552" w:type="dxa"/>
            <w:tcBorders>
              <w:top w:val="nil"/>
              <w:left w:val="nil"/>
              <w:bottom w:val="nil"/>
              <w:right w:val="nil"/>
            </w:tcBorders>
            <w:shd w:val="clear" w:color="auto" w:fill="auto"/>
            <w:vAlign w:val="center"/>
          </w:tcPr>
          <w:p w14:paraId="7847D14E" w14:textId="77777777" w:rsidR="003E4C0A" w:rsidRDefault="003E4C0A" w:rsidP="00C41516">
            <w:pPr>
              <w:jc w:val="right"/>
            </w:pPr>
            <w:r>
              <w:t>3,046</w:t>
            </w:r>
          </w:p>
        </w:tc>
      </w:tr>
      <w:tr w:rsidR="003E4C0A" w:rsidRPr="00DF6807" w14:paraId="73905275" w14:textId="77777777" w:rsidTr="003E4C0A">
        <w:trPr>
          <w:trHeight w:val="324"/>
        </w:trPr>
        <w:tc>
          <w:tcPr>
            <w:tcW w:w="4253" w:type="dxa"/>
            <w:tcBorders>
              <w:top w:val="nil"/>
              <w:left w:val="nil"/>
              <w:bottom w:val="single" w:sz="8" w:space="0" w:color="auto"/>
              <w:right w:val="nil"/>
            </w:tcBorders>
            <w:shd w:val="clear" w:color="auto" w:fill="auto"/>
            <w:vAlign w:val="center"/>
            <w:hideMark/>
          </w:tcPr>
          <w:p w14:paraId="7FDE7757" w14:textId="77777777" w:rsidR="003E4C0A" w:rsidRPr="00DF6807" w:rsidRDefault="003E4C0A" w:rsidP="00C41516">
            <w:r>
              <w:t>Other receivables</w:t>
            </w:r>
          </w:p>
        </w:tc>
        <w:tc>
          <w:tcPr>
            <w:tcW w:w="992" w:type="dxa"/>
            <w:tcBorders>
              <w:top w:val="nil"/>
              <w:left w:val="nil"/>
              <w:bottom w:val="single" w:sz="8" w:space="0" w:color="auto"/>
              <w:right w:val="nil"/>
            </w:tcBorders>
            <w:shd w:val="clear" w:color="auto" w:fill="auto"/>
            <w:vAlign w:val="center"/>
            <w:hideMark/>
          </w:tcPr>
          <w:p w14:paraId="14955080" w14:textId="77777777" w:rsidR="003E4C0A" w:rsidRPr="00072DE8" w:rsidRDefault="003E4C0A" w:rsidP="00C41516"/>
        </w:tc>
        <w:tc>
          <w:tcPr>
            <w:tcW w:w="1701" w:type="dxa"/>
            <w:tcBorders>
              <w:top w:val="nil"/>
              <w:left w:val="nil"/>
              <w:bottom w:val="single" w:sz="8" w:space="0" w:color="auto"/>
              <w:right w:val="nil"/>
            </w:tcBorders>
          </w:tcPr>
          <w:p w14:paraId="3F3DF6C6" w14:textId="24E5BCF9" w:rsidR="003E4C0A" w:rsidRPr="00DF6807" w:rsidRDefault="003E4C0A" w:rsidP="00C41516">
            <w:pPr>
              <w:jc w:val="right"/>
            </w:pPr>
            <w:r w:rsidRPr="00C42089">
              <w:t xml:space="preserve"> -   </w:t>
            </w:r>
          </w:p>
        </w:tc>
        <w:tc>
          <w:tcPr>
            <w:tcW w:w="2552" w:type="dxa"/>
            <w:tcBorders>
              <w:top w:val="nil"/>
              <w:left w:val="nil"/>
              <w:bottom w:val="single" w:sz="8" w:space="0" w:color="auto"/>
              <w:right w:val="nil"/>
            </w:tcBorders>
            <w:shd w:val="clear" w:color="auto" w:fill="auto"/>
            <w:vAlign w:val="center"/>
          </w:tcPr>
          <w:p w14:paraId="363D952B" w14:textId="77777777" w:rsidR="003E4C0A" w:rsidRPr="00DF6807" w:rsidRDefault="003E4C0A" w:rsidP="00C41516">
            <w:pPr>
              <w:jc w:val="right"/>
            </w:pPr>
            <w:r>
              <w:t>143</w:t>
            </w:r>
          </w:p>
        </w:tc>
      </w:tr>
      <w:tr w:rsidR="003E4C0A" w:rsidRPr="00DF6807" w14:paraId="0C9347DE" w14:textId="77777777" w:rsidTr="003E4C0A">
        <w:trPr>
          <w:trHeight w:val="324"/>
        </w:trPr>
        <w:tc>
          <w:tcPr>
            <w:tcW w:w="4253" w:type="dxa"/>
            <w:tcBorders>
              <w:top w:val="nil"/>
              <w:left w:val="nil"/>
              <w:bottom w:val="single" w:sz="8" w:space="0" w:color="auto"/>
              <w:right w:val="nil"/>
            </w:tcBorders>
            <w:shd w:val="clear" w:color="auto" w:fill="auto"/>
            <w:vAlign w:val="center"/>
          </w:tcPr>
          <w:p w14:paraId="02B8496B" w14:textId="77777777" w:rsidR="003E4C0A" w:rsidRPr="00DF6807" w:rsidRDefault="003E4C0A" w:rsidP="004E198C"/>
        </w:tc>
        <w:tc>
          <w:tcPr>
            <w:tcW w:w="992" w:type="dxa"/>
            <w:tcBorders>
              <w:top w:val="nil"/>
              <w:left w:val="nil"/>
              <w:bottom w:val="single" w:sz="8" w:space="0" w:color="auto"/>
              <w:right w:val="nil"/>
            </w:tcBorders>
            <w:shd w:val="clear" w:color="auto" w:fill="auto"/>
            <w:vAlign w:val="center"/>
          </w:tcPr>
          <w:p w14:paraId="72E54B89" w14:textId="77777777" w:rsidR="003E4C0A" w:rsidRPr="00DF6807" w:rsidRDefault="003E4C0A" w:rsidP="004E198C">
            <w:pPr>
              <w:jc w:val="center"/>
              <w:rPr>
                <w:b/>
                <w:bCs/>
              </w:rPr>
            </w:pPr>
          </w:p>
        </w:tc>
        <w:tc>
          <w:tcPr>
            <w:tcW w:w="1701" w:type="dxa"/>
            <w:tcBorders>
              <w:top w:val="nil"/>
              <w:left w:val="nil"/>
              <w:bottom w:val="single" w:sz="8" w:space="0" w:color="auto"/>
              <w:right w:val="nil"/>
            </w:tcBorders>
            <w:vAlign w:val="center"/>
          </w:tcPr>
          <w:p w14:paraId="618FB36B" w14:textId="77777777" w:rsidR="003E4C0A" w:rsidRPr="00DF6807" w:rsidRDefault="003E4C0A" w:rsidP="004E198C">
            <w:pPr>
              <w:jc w:val="right"/>
            </w:pPr>
          </w:p>
        </w:tc>
        <w:tc>
          <w:tcPr>
            <w:tcW w:w="2552" w:type="dxa"/>
            <w:tcBorders>
              <w:top w:val="nil"/>
              <w:left w:val="nil"/>
              <w:bottom w:val="single" w:sz="8" w:space="0" w:color="auto"/>
              <w:right w:val="nil"/>
            </w:tcBorders>
            <w:shd w:val="clear" w:color="auto" w:fill="auto"/>
            <w:vAlign w:val="center"/>
          </w:tcPr>
          <w:p w14:paraId="7C0FFE14" w14:textId="77777777" w:rsidR="003E4C0A" w:rsidRDefault="003E4C0A" w:rsidP="004E198C">
            <w:pPr>
              <w:jc w:val="right"/>
            </w:pPr>
          </w:p>
        </w:tc>
      </w:tr>
      <w:tr w:rsidR="003E4C0A" w:rsidRPr="00DF6807" w14:paraId="70FC98D0" w14:textId="77777777" w:rsidTr="003E4C0A">
        <w:trPr>
          <w:trHeight w:val="247"/>
        </w:trPr>
        <w:tc>
          <w:tcPr>
            <w:tcW w:w="4253" w:type="dxa"/>
            <w:tcBorders>
              <w:top w:val="nil"/>
              <w:left w:val="nil"/>
              <w:bottom w:val="single" w:sz="12" w:space="0" w:color="000000"/>
              <w:right w:val="nil"/>
            </w:tcBorders>
            <w:shd w:val="clear" w:color="auto" w:fill="auto"/>
            <w:vAlign w:val="center"/>
            <w:hideMark/>
          </w:tcPr>
          <w:p w14:paraId="0938DA35" w14:textId="77777777" w:rsidR="003E4C0A" w:rsidRPr="00DF6807" w:rsidRDefault="003E4C0A" w:rsidP="004E198C">
            <w:pPr>
              <w:rPr>
                <w:b/>
                <w:bCs/>
              </w:rPr>
            </w:pPr>
            <w:r w:rsidRPr="00DF6807">
              <w:rPr>
                <w:b/>
                <w:bCs/>
              </w:rPr>
              <w:t>Total non-current assets</w:t>
            </w:r>
          </w:p>
        </w:tc>
        <w:tc>
          <w:tcPr>
            <w:tcW w:w="992" w:type="dxa"/>
            <w:tcBorders>
              <w:top w:val="nil"/>
              <w:left w:val="nil"/>
              <w:bottom w:val="single" w:sz="12" w:space="0" w:color="000000"/>
              <w:right w:val="nil"/>
            </w:tcBorders>
            <w:shd w:val="clear" w:color="auto" w:fill="auto"/>
            <w:vAlign w:val="center"/>
            <w:hideMark/>
          </w:tcPr>
          <w:p w14:paraId="6517CC76" w14:textId="77777777" w:rsidR="003E4C0A" w:rsidRPr="00DF6807" w:rsidRDefault="003E4C0A" w:rsidP="004E198C">
            <w:pPr>
              <w:jc w:val="center"/>
            </w:pPr>
            <w:r w:rsidRPr="00DF6807">
              <w:t> </w:t>
            </w:r>
          </w:p>
        </w:tc>
        <w:tc>
          <w:tcPr>
            <w:tcW w:w="1701" w:type="dxa"/>
            <w:tcBorders>
              <w:top w:val="nil"/>
              <w:left w:val="nil"/>
              <w:bottom w:val="single" w:sz="12" w:space="0" w:color="000000"/>
              <w:right w:val="nil"/>
            </w:tcBorders>
            <w:vAlign w:val="center"/>
          </w:tcPr>
          <w:p w14:paraId="5D0BC752" w14:textId="01746BB2" w:rsidR="003E4C0A" w:rsidRPr="00DF6807" w:rsidRDefault="003E4C0A" w:rsidP="004E198C">
            <w:pPr>
              <w:jc w:val="right"/>
              <w:rPr>
                <w:b/>
                <w:bCs/>
              </w:rPr>
            </w:pPr>
            <w:r>
              <w:rPr>
                <w:b/>
                <w:bCs/>
              </w:rPr>
              <w:t>-</w:t>
            </w:r>
          </w:p>
        </w:tc>
        <w:tc>
          <w:tcPr>
            <w:tcW w:w="2552" w:type="dxa"/>
            <w:tcBorders>
              <w:top w:val="nil"/>
              <w:left w:val="nil"/>
              <w:bottom w:val="single" w:sz="12" w:space="0" w:color="000000"/>
              <w:right w:val="nil"/>
            </w:tcBorders>
            <w:shd w:val="clear" w:color="auto" w:fill="auto"/>
            <w:vAlign w:val="center"/>
          </w:tcPr>
          <w:p w14:paraId="6BB09979" w14:textId="77777777" w:rsidR="003E4C0A" w:rsidRPr="00DF6807" w:rsidRDefault="003E4C0A" w:rsidP="004E198C">
            <w:pPr>
              <w:jc w:val="right"/>
              <w:rPr>
                <w:b/>
                <w:bCs/>
              </w:rPr>
            </w:pPr>
            <w:r>
              <w:rPr>
                <w:b/>
                <w:bCs/>
              </w:rPr>
              <w:t>4,771</w:t>
            </w:r>
          </w:p>
        </w:tc>
      </w:tr>
      <w:tr w:rsidR="003E4C0A" w:rsidRPr="00DF6807" w14:paraId="3D38B0E1" w14:textId="77777777" w:rsidTr="003E4C0A">
        <w:trPr>
          <w:trHeight w:val="204"/>
        </w:trPr>
        <w:tc>
          <w:tcPr>
            <w:tcW w:w="4253" w:type="dxa"/>
            <w:tcBorders>
              <w:top w:val="nil"/>
              <w:left w:val="nil"/>
              <w:bottom w:val="nil"/>
              <w:right w:val="nil"/>
            </w:tcBorders>
            <w:shd w:val="clear" w:color="auto" w:fill="auto"/>
            <w:vAlign w:val="center"/>
            <w:hideMark/>
          </w:tcPr>
          <w:p w14:paraId="257F4618" w14:textId="77777777" w:rsidR="003E4C0A" w:rsidRPr="00DF6807" w:rsidRDefault="003E4C0A" w:rsidP="004E198C">
            <w:pPr>
              <w:jc w:val="right"/>
              <w:rPr>
                <w:b/>
                <w:bCs/>
              </w:rPr>
            </w:pPr>
          </w:p>
        </w:tc>
        <w:tc>
          <w:tcPr>
            <w:tcW w:w="992" w:type="dxa"/>
            <w:tcBorders>
              <w:top w:val="nil"/>
              <w:left w:val="nil"/>
              <w:bottom w:val="nil"/>
              <w:right w:val="nil"/>
            </w:tcBorders>
            <w:shd w:val="clear" w:color="auto" w:fill="auto"/>
            <w:vAlign w:val="center"/>
            <w:hideMark/>
          </w:tcPr>
          <w:p w14:paraId="1EB0DB2A" w14:textId="77777777" w:rsidR="003E4C0A" w:rsidRPr="00DF6807" w:rsidRDefault="003E4C0A" w:rsidP="004E198C">
            <w:pPr>
              <w:jc w:val="center"/>
            </w:pPr>
            <w:r w:rsidRPr="00DF6807">
              <w:t> </w:t>
            </w:r>
          </w:p>
        </w:tc>
        <w:tc>
          <w:tcPr>
            <w:tcW w:w="1701" w:type="dxa"/>
            <w:tcBorders>
              <w:top w:val="nil"/>
              <w:left w:val="nil"/>
              <w:bottom w:val="nil"/>
              <w:right w:val="nil"/>
            </w:tcBorders>
            <w:vAlign w:val="center"/>
          </w:tcPr>
          <w:p w14:paraId="01D4A8F0" w14:textId="77777777" w:rsidR="003E4C0A" w:rsidRPr="00DF6807" w:rsidRDefault="003E4C0A" w:rsidP="004E198C"/>
        </w:tc>
        <w:tc>
          <w:tcPr>
            <w:tcW w:w="2552" w:type="dxa"/>
            <w:tcBorders>
              <w:top w:val="nil"/>
              <w:left w:val="nil"/>
              <w:bottom w:val="nil"/>
              <w:right w:val="nil"/>
            </w:tcBorders>
            <w:shd w:val="clear" w:color="auto" w:fill="auto"/>
            <w:vAlign w:val="center"/>
          </w:tcPr>
          <w:p w14:paraId="7B77C7CB" w14:textId="77777777" w:rsidR="003E4C0A" w:rsidRPr="00DF6807" w:rsidRDefault="003E4C0A" w:rsidP="004E198C"/>
        </w:tc>
      </w:tr>
      <w:tr w:rsidR="003E4C0A" w:rsidRPr="00DF6807" w14:paraId="0A7D0F5B" w14:textId="77777777" w:rsidTr="003E4C0A">
        <w:trPr>
          <w:trHeight w:val="275"/>
        </w:trPr>
        <w:tc>
          <w:tcPr>
            <w:tcW w:w="4253" w:type="dxa"/>
            <w:tcBorders>
              <w:top w:val="nil"/>
              <w:left w:val="nil"/>
              <w:right w:val="nil"/>
            </w:tcBorders>
            <w:shd w:val="clear" w:color="auto" w:fill="auto"/>
            <w:vAlign w:val="center"/>
            <w:hideMark/>
          </w:tcPr>
          <w:p w14:paraId="42E68493" w14:textId="77777777" w:rsidR="003E4C0A" w:rsidRPr="00DF6807" w:rsidRDefault="003E4C0A" w:rsidP="004E198C">
            <w:pPr>
              <w:rPr>
                <w:b/>
                <w:bCs/>
              </w:rPr>
            </w:pPr>
            <w:r w:rsidRPr="00DF6807">
              <w:rPr>
                <w:b/>
                <w:bCs/>
              </w:rPr>
              <w:t>Current assets</w:t>
            </w:r>
          </w:p>
        </w:tc>
        <w:tc>
          <w:tcPr>
            <w:tcW w:w="992" w:type="dxa"/>
            <w:tcBorders>
              <w:top w:val="nil"/>
              <w:left w:val="nil"/>
              <w:right w:val="nil"/>
            </w:tcBorders>
            <w:shd w:val="clear" w:color="auto" w:fill="auto"/>
            <w:vAlign w:val="center"/>
            <w:hideMark/>
          </w:tcPr>
          <w:p w14:paraId="2078D744" w14:textId="77777777" w:rsidR="003E4C0A" w:rsidRPr="00DF6807" w:rsidRDefault="003E4C0A" w:rsidP="004E198C">
            <w:pPr>
              <w:rPr>
                <w:b/>
                <w:bCs/>
              </w:rPr>
            </w:pPr>
          </w:p>
        </w:tc>
        <w:tc>
          <w:tcPr>
            <w:tcW w:w="1701" w:type="dxa"/>
            <w:tcBorders>
              <w:top w:val="nil"/>
              <w:left w:val="nil"/>
              <w:right w:val="nil"/>
            </w:tcBorders>
            <w:vAlign w:val="center"/>
          </w:tcPr>
          <w:p w14:paraId="56E719B4" w14:textId="77777777" w:rsidR="003E4C0A" w:rsidRPr="00DF6807" w:rsidRDefault="003E4C0A" w:rsidP="004E198C">
            <w:pPr>
              <w:jc w:val="center"/>
              <w:rPr>
                <w:sz w:val="20"/>
                <w:szCs w:val="20"/>
              </w:rPr>
            </w:pPr>
          </w:p>
        </w:tc>
        <w:tc>
          <w:tcPr>
            <w:tcW w:w="2552" w:type="dxa"/>
            <w:tcBorders>
              <w:top w:val="nil"/>
              <w:left w:val="nil"/>
              <w:right w:val="nil"/>
            </w:tcBorders>
            <w:shd w:val="clear" w:color="auto" w:fill="auto"/>
            <w:vAlign w:val="center"/>
          </w:tcPr>
          <w:p w14:paraId="62484B49" w14:textId="77777777" w:rsidR="003E4C0A" w:rsidRPr="00DF6807" w:rsidRDefault="003E4C0A" w:rsidP="004E198C">
            <w:pPr>
              <w:rPr>
                <w:sz w:val="20"/>
                <w:szCs w:val="20"/>
              </w:rPr>
            </w:pPr>
          </w:p>
        </w:tc>
      </w:tr>
      <w:tr w:rsidR="002F6E52" w:rsidRPr="00DF6807" w14:paraId="70380EC9" w14:textId="77777777" w:rsidTr="003E4C0A">
        <w:trPr>
          <w:trHeight w:val="279"/>
        </w:trPr>
        <w:tc>
          <w:tcPr>
            <w:tcW w:w="4253" w:type="dxa"/>
            <w:tcBorders>
              <w:top w:val="nil"/>
              <w:left w:val="nil"/>
              <w:right w:val="nil"/>
            </w:tcBorders>
            <w:shd w:val="clear" w:color="auto" w:fill="auto"/>
            <w:vAlign w:val="center"/>
            <w:hideMark/>
          </w:tcPr>
          <w:p w14:paraId="7AC2D5BF" w14:textId="77777777" w:rsidR="002F6E52" w:rsidRPr="00DF6807" w:rsidRDefault="002F6E52" w:rsidP="002F6E52">
            <w:r w:rsidRPr="00DF6807">
              <w:t>Cash and cash equivalents</w:t>
            </w:r>
          </w:p>
        </w:tc>
        <w:tc>
          <w:tcPr>
            <w:tcW w:w="992" w:type="dxa"/>
            <w:tcBorders>
              <w:top w:val="nil"/>
              <w:left w:val="nil"/>
              <w:right w:val="nil"/>
            </w:tcBorders>
            <w:shd w:val="clear" w:color="auto" w:fill="auto"/>
            <w:vAlign w:val="center"/>
            <w:hideMark/>
          </w:tcPr>
          <w:p w14:paraId="1F8EE95D" w14:textId="77777777" w:rsidR="002F6E52" w:rsidRPr="00DF6807" w:rsidRDefault="002F6E52" w:rsidP="002F6E52">
            <w:pPr>
              <w:jc w:val="center"/>
            </w:pPr>
            <w:r w:rsidRPr="00DF6807">
              <w:t> </w:t>
            </w:r>
          </w:p>
        </w:tc>
        <w:tc>
          <w:tcPr>
            <w:tcW w:w="1701" w:type="dxa"/>
            <w:tcBorders>
              <w:top w:val="nil"/>
              <w:left w:val="nil"/>
              <w:right w:val="nil"/>
            </w:tcBorders>
          </w:tcPr>
          <w:p w14:paraId="489B5AB1" w14:textId="2812FDA5" w:rsidR="002F6E52" w:rsidRPr="00DF6807" w:rsidRDefault="002F6E52" w:rsidP="002F6E52">
            <w:pPr>
              <w:jc w:val="right"/>
            </w:pPr>
            <w:r w:rsidRPr="00502731">
              <w:t xml:space="preserve"> 15 </w:t>
            </w:r>
          </w:p>
        </w:tc>
        <w:tc>
          <w:tcPr>
            <w:tcW w:w="2552" w:type="dxa"/>
            <w:tcBorders>
              <w:top w:val="nil"/>
              <w:left w:val="nil"/>
              <w:right w:val="nil"/>
            </w:tcBorders>
            <w:shd w:val="clear" w:color="auto" w:fill="auto"/>
            <w:vAlign w:val="center"/>
          </w:tcPr>
          <w:p w14:paraId="2CC08195" w14:textId="77777777" w:rsidR="002F6E52" w:rsidRPr="00DF6807" w:rsidRDefault="002F6E52" w:rsidP="002F6E52">
            <w:pPr>
              <w:jc w:val="right"/>
            </w:pPr>
            <w:r>
              <w:t>459</w:t>
            </w:r>
          </w:p>
        </w:tc>
      </w:tr>
      <w:tr w:rsidR="002F6E52" w:rsidRPr="00DF6807" w14:paraId="08D0B9B7" w14:textId="77777777" w:rsidTr="003E4C0A">
        <w:trPr>
          <w:trHeight w:val="311"/>
        </w:trPr>
        <w:tc>
          <w:tcPr>
            <w:tcW w:w="4253" w:type="dxa"/>
            <w:tcBorders>
              <w:top w:val="nil"/>
              <w:left w:val="nil"/>
              <w:bottom w:val="single" w:sz="4" w:space="0" w:color="auto"/>
              <w:right w:val="nil"/>
            </w:tcBorders>
            <w:shd w:val="clear" w:color="auto" w:fill="auto"/>
            <w:vAlign w:val="center"/>
            <w:hideMark/>
          </w:tcPr>
          <w:p w14:paraId="319C372C" w14:textId="77777777" w:rsidR="002F6E52" w:rsidRPr="00DF6807" w:rsidRDefault="002F6E52" w:rsidP="002F6E52">
            <w:r w:rsidRPr="00DF6807">
              <w:t>Trade and other receivables</w:t>
            </w:r>
          </w:p>
        </w:tc>
        <w:tc>
          <w:tcPr>
            <w:tcW w:w="992" w:type="dxa"/>
            <w:tcBorders>
              <w:top w:val="nil"/>
              <w:left w:val="nil"/>
              <w:bottom w:val="single" w:sz="4" w:space="0" w:color="auto"/>
              <w:right w:val="nil"/>
            </w:tcBorders>
            <w:shd w:val="clear" w:color="auto" w:fill="auto"/>
            <w:vAlign w:val="center"/>
            <w:hideMark/>
          </w:tcPr>
          <w:p w14:paraId="50FD5A17" w14:textId="77777777" w:rsidR="002F6E52" w:rsidRPr="00536A7E" w:rsidRDefault="002F6E52" w:rsidP="002F6E52">
            <w:pPr>
              <w:jc w:val="center"/>
            </w:pPr>
            <w:r w:rsidRPr="00536A7E">
              <w:t>7</w:t>
            </w:r>
          </w:p>
        </w:tc>
        <w:tc>
          <w:tcPr>
            <w:tcW w:w="1701" w:type="dxa"/>
            <w:tcBorders>
              <w:top w:val="nil"/>
              <w:left w:val="nil"/>
              <w:bottom w:val="single" w:sz="4" w:space="0" w:color="auto"/>
              <w:right w:val="nil"/>
            </w:tcBorders>
          </w:tcPr>
          <w:p w14:paraId="22760CA8" w14:textId="4A40B73C" w:rsidR="002F6E52" w:rsidRPr="00DF6807" w:rsidRDefault="002F6E52" w:rsidP="002F6E52">
            <w:pPr>
              <w:jc w:val="right"/>
            </w:pPr>
            <w:r w:rsidRPr="00502731">
              <w:t xml:space="preserve"> 1</w:t>
            </w:r>
            <w:r>
              <w:t>06</w:t>
            </w:r>
            <w:r w:rsidRPr="00502731">
              <w:t xml:space="preserve"> </w:t>
            </w:r>
          </w:p>
        </w:tc>
        <w:tc>
          <w:tcPr>
            <w:tcW w:w="2552" w:type="dxa"/>
            <w:tcBorders>
              <w:top w:val="nil"/>
              <w:left w:val="nil"/>
              <w:bottom w:val="single" w:sz="4" w:space="0" w:color="auto"/>
              <w:right w:val="nil"/>
            </w:tcBorders>
            <w:shd w:val="clear" w:color="auto" w:fill="auto"/>
            <w:vAlign w:val="center"/>
          </w:tcPr>
          <w:p w14:paraId="4587E108" w14:textId="77777777" w:rsidR="002F6E52" w:rsidRPr="00DF6807" w:rsidRDefault="002F6E52" w:rsidP="002F6E52">
            <w:pPr>
              <w:jc w:val="right"/>
            </w:pPr>
            <w:r>
              <w:t>320</w:t>
            </w:r>
          </w:p>
        </w:tc>
      </w:tr>
      <w:tr w:rsidR="002F6E52" w:rsidRPr="00DF6807" w14:paraId="29911EA1" w14:textId="77777777" w:rsidTr="003E4C0A">
        <w:trPr>
          <w:trHeight w:val="151"/>
        </w:trPr>
        <w:tc>
          <w:tcPr>
            <w:tcW w:w="4253" w:type="dxa"/>
            <w:tcBorders>
              <w:top w:val="single" w:sz="4" w:space="0" w:color="auto"/>
              <w:left w:val="nil"/>
              <w:bottom w:val="single" w:sz="12" w:space="0" w:color="000000"/>
              <w:right w:val="nil"/>
            </w:tcBorders>
            <w:shd w:val="clear" w:color="auto" w:fill="auto"/>
            <w:vAlign w:val="center"/>
            <w:hideMark/>
          </w:tcPr>
          <w:p w14:paraId="4A7151BC" w14:textId="77777777" w:rsidR="002F6E52" w:rsidRPr="00DF6807" w:rsidRDefault="002F6E52" w:rsidP="002F6E52">
            <w:pPr>
              <w:rPr>
                <w:b/>
                <w:bCs/>
              </w:rPr>
            </w:pPr>
            <w:r w:rsidRPr="00DF6807">
              <w:rPr>
                <w:b/>
                <w:bCs/>
              </w:rPr>
              <w:t>Total current assets</w:t>
            </w:r>
          </w:p>
        </w:tc>
        <w:tc>
          <w:tcPr>
            <w:tcW w:w="992" w:type="dxa"/>
            <w:tcBorders>
              <w:top w:val="single" w:sz="4" w:space="0" w:color="auto"/>
              <w:left w:val="nil"/>
              <w:bottom w:val="single" w:sz="12" w:space="0" w:color="000000"/>
              <w:right w:val="nil"/>
            </w:tcBorders>
            <w:shd w:val="clear" w:color="auto" w:fill="auto"/>
            <w:vAlign w:val="center"/>
            <w:hideMark/>
          </w:tcPr>
          <w:p w14:paraId="7859723C" w14:textId="77777777" w:rsidR="002F6E52" w:rsidRPr="00DF6807" w:rsidRDefault="002F6E52" w:rsidP="002F6E52">
            <w:pPr>
              <w:jc w:val="center"/>
            </w:pPr>
            <w:r w:rsidRPr="00DF6807">
              <w:t> </w:t>
            </w:r>
          </w:p>
        </w:tc>
        <w:tc>
          <w:tcPr>
            <w:tcW w:w="1701" w:type="dxa"/>
            <w:tcBorders>
              <w:top w:val="single" w:sz="4" w:space="0" w:color="auto"/>
              <w:left w:val="nil"/>
              <w:bottom w:val="single" w:sz="12" w:space="0" w:color="000000"/>
              <w:right w:val="nil"/>
            </w:tcBorders>
          </w:tcPr>
          <w:p w14:paraId="1A8058F1" w14:textId="4B6D99F5" w:rsidR="002F6E52" w:rsidRPr="00DF6807" w:rsidRDefault="002F6E52" w:rsidP="002F6E52">
            <w:pPr>
              <w:jc w:val="right"/>
              <w:rPr>
                <w:b/>
                <w:bCs/>
              </w:rPr>
            </w:pPr>
            <w:r w:rsidRPr="005B7B3F">
              <w:rPr>
                <w:b/>
                <w:bCs/>
              </w:rPr>
              <w:t xml:space="preserve"> 121 </w:t>
            </w:r>
          </w:p>
        </w:tc>
        <w:tc>
          <w:tcPr>
            <w:tcW w:w="2552" w:type="dxa"/>
            <w:tcBorders>
              <w:top w:val="single" w:sz="4" w:space="0" w:color="auto"/>
              <w:left w:val="nil"/>
              <w:bottom w:val="single" w:sz="12" w:space="0" w:color="000000"/>
              <w:right w:val="nil"/>
            </w:tcBorders>
            <w:shd w:val="clear" w:color="auto" w:fill="auto"/>
            <w:vAlign w:val="center"/>
          </w:tcPr>
          <w:p w14:paraId="742AD097" w14:textId="77777777" w:rsidR="002F6E52" w:rsidRPr="00DF6807" w:rsidRDefault="002F6E52" w:rsidP="002F6E52">
            <w:pPr>
              <w:jc w:val="right"/>
              <w:rPr>
                <w:b/>
                <w:bCs/>
              </w:rPr>
            </w:pPr>
            <w:r>
              <w:rPr>
                <w:b/>
                <w:bCs/>
              </w:rPr>
              <w:t>779</w:t>
            </w:r>
          </w:p>
        </w:tc>
      </w:tr>
      <w:tr w:rsidR="002F6E52" w:rsidRPr="00DF6807" w14:paraId="26235F5D" w14:textId="77777777" w:rsidTr="003E4C0A">
        <w:trPr>
          <w:trHeight w:val="204"/>
        </w:trPr>
        <w:tc>
          <w:tcPr>
            <w:tcW w:w="4253" w:type="dxa"/>
            <w:tcBorders>
              <w:top w:val="nil"/>
              <w:left w:val="nil"/>
              <w:bottom w:val="single" w:sz="12" w:space="0" w:color="000000"/>
              <w:right w:val="nil"/>
            </w:tcBorders>
            <w:shd w:val="clear" w:color="auto" w:fill="auto"/>
            <w:vAlign w:val="center"/>
            <w:hideMark/>
          </w:tcPr>
          <w:p w14:paraId="3F50BE03" w14:textId="77777777" w:rsidR="002F6E52" w:rsidRPr="00DF6807" w:rsidRDefault="002F6E52" w:rsidP="002F6E52">
            <w:r w:rsidRPr="00DF6807">
              <w:t> </w:t>
            </w:r>
          </w:p>
        </w:tc>
        <w:tc>
          <w:tcPr>
            <w:tcW w:w="992" w:type="dxa"/>
            <w:tcBorders>
              <w:top w:val="nil"/>
              <w:left w:val="nil"/>
              <w:bottom w:val="single" w:sz="12" w:space="0" w:color="000000"/>
              <w:right w:val="nil"/>
            </w:tcBorders>
            <w:shd w:val="clear" w:color="auto" w:fill="auto"/>
            <w:vAlign w:val="center"/>
            <w:hideMark/>
          </w:tcPr>
          <w:p w14:paraId="1796436C" w14:textId="77777777" w:rsidR="002F6E52" w:rsidRPr="00DF6807" w:rsidRDefault="002F6E52" w:rsidP="002F6E52">
            <w:pPr>
              <w:jc w:val="center"/>
            </w:pPr>
            <w:r w:rsidRPr="00DF6807">
              <w:t> </w:t>
            </w:r>
          </w:p>
        </w:tc>
        <w:tc>
          <w:tcPr>
            <w:tcW w:w="1701" w:type="dxa"/>
            <w:tcBorders>
              <w:top w:val="nil"/>
              <w:left w:val="nil"/>
              <w:bottom w:val="single" w:sz="12" w:space="0" w:color="000000"/>
              <w:right w:val="nil"/>
            </w:tcBorders>
            <w:vAlign w:val="center"/>
          </w:tcPr>
          <w:p w14:paraId="7AA540E6" w14:textId="77777777" w:rsidR="002F6E52" w:rsidRPr="00DF6807" w:rsidRDefault="002F6E52" w:rsidP="002F6E52"/>
        </w:tc>
        <w:tc>
          <w:tcPr>
            <w:tcW w:w="2552" w:type="dxa"/>
            <w:tcBorders>
              <w:top w:val="nil"/>
              <w:left w:val="nil"/>
              <w:bottom w:val="single" w:sz="12" w:space="0" w:color="000000"/>
              <w:right w:val="nil"/>
            </w:tcBorders>
            <w:shd w:val="clear" w:color="auto" w:fill="auto"/>
            <w:vAlign w:val="center"/>
          </w:tcPr>
          <w:p w14:paraId="145BF06E" w14:textId="77777777" w:rsidR="002F6E52" w:rsidRPr="00DF6807" w:rsidRDefault="002F6E52" w:rsidP="002F6E52"/>
        </w:tc>
      </w:tr>
      <w:tr w:rsidR="002F6E52" w:rsidRPr="00DF6807" w14:paraId="7CED9A06" w14:textId="77777777" w:rsidTr="003E4C0A">
        <w:trPr>
          <w:trHeight w:val="324"/>
        </w:trPr>
        <w:tc>
          <w:tcPr>
            <w:tcW w:w="4253" w:type="dxa"/>
            <w:tcBorders>
              <w:top w:val="nil"/>
              <w:left w:val="nil"/>
              <w:bottom w:val="single" w:sz="12" w:space="0" w:color="000000"/>
              <w:right w:val="nil"/>
            </w:tcBorders>
            <w:shd w:val="clear" w:color="auto" w:fill="auto"/>
            <w:vAlign w:val="center"/>
            <w:hideMark/>
          </w:tcPr>
          <w:p w14:paraId="360E3D7D" w14:textId="77777777" w:rsidR="002F6E52" w:rsidRPr="00DF6807" w:rsidRDefault="002F6E52" w:rsidP="002F6E52">
            <w:pPr>
              <w:rPr>
                <w:b/>
                <w:bCs/>
              </w:rPr>
            </w:pPr>
            <w:r w:rsidRPr="00DF6807">
              <w:rPr>
                <w:b/>
                <w:bCs/>
              </w:rPr>
              <w:t>Total assets</w:t>
            </w:r>
          </w:p>
        </w:tc>
        <w:tc>
          <w:tcPr>
            <w:tcW w:w="992" w:type="dxa"/>
            <w:tcBorders>
              <w:top w:val="nil"/>
              <w:left w:val="nil"/>
              <w:bottom w:val="single" w:sz="12" w:space="0" w:color="000000"/>
              <w:right w:val="nil"/>
            </w:tcBorders>
            <w:shd w:val="clear" w:color="auto" w:fill="auto"/>
            <w:vAlign w:val="center"/>
            <w:hideMark/>
          </w:tcPr>
          <w:p w14:paraId="5B59C1EB" w14:textId="77777777" w:rsidR="002F6E52" w:rsidRPr="00DF6807" w:rsidRDefault="002F6E52" w:rsidP="002F6E52">
            <w:pPr>
              <w:jc w:val="center"/>
            </w:pPr>
            <w:r w:rsidRPr="00DF6807">
              <w:t> </w:t>
            </w:r>
          </w:p>
        </w:tc>
        <w:tc>
          <w:tcPr>
            <w:tcW w:w="1701" w:type="dxa"/>
            <w:tcBorders>
              <w:top w:val="nil"/>
              <w:left w:val="nil"/>
              <w:bottom w:val="single" w:sz="12" w:space="0" w:color="000000"/>
              <w:right w:val="nil"/>
            </w:tcBorders>
            <w:vAlign w:val="center"/>
          </w:tcPr>
          <w:p w14:paraId="1D714896" w14:textId="2287D605" w:rsidR="002F6E52" w:rsidRPr="00DF6807" w:rsidRDefault="002F6E52" w:rsidP="002F6E52">
            <w:pPr>
              <w:jc w:val="right"/>
              <w:rPr>
                <w:b/>
                <w:bCs/>
              </w:rPr>
            </w:pPr>
            <w:r>
              <w:rPr>
                <w:b/>
                <w:bCs/>
              </w:rPr>
              <w:t>121</w:t>
            </w:r>
          </w:p>
        </w:tc>
        <w:tc>
          <w:tcPr>
            <w:tcW w:w="2552" w:type="dxa"/>
            <w:tcBorders>
              <w:top w:val="nil"/>
              <w:left w:val="nil"/>
              <w:bottom w:val="single" w:sz="12" w:space="0" w:color="000000"/>
              <w:right w:val="nil"/>
            </w:tcBorders>
            <w:shd w:val="clear" w:color="auto" w:fill="auto"/>
            <w:vAlign w:val="center"/>
          </w:tcPr>
          <w:p w14:paraId="2BEB4CCA" w14:textId="77777777" w:rsidR="002F6E52" w:rsidRPr="00DF6807" w:rsidRDefault="002F6E52" w:rsidP="002F6E52">
            <w:pPr>
              <w:jc w:val="right"/>
              <w:rPr>
                <w:b/>
                <w:bCs/>
              </w:rPr>
            </w:pPr>
            <w:r>
              <w:rPr>
                <w:b/>
                <w:bCs/>
              </w:rPr>
              <w:t>5,550</w:t>
            </w:r>
          </w:p>
        </w:tc>
      </w:tr>
      <w:tr w:rsidR="002F6E52" w:rsidRPr="00DF6807" w14:paraId="417DF3C2" w14:textId="77777777" w:rsidTr="003E4C0A">
        <w:trPr>
          <w:trHeight w:val="74"/>
        </w:trPr>
        <w:tc>
          <w:tcPr>
            <w:tcW w:w="4253" w:type="dxa"/>
            <w:tcBorders>
              <w:top w:val="nil"/>
              <w:left w:val="nil"/>
              <w:bottom w:val="nil"/>
              <w:right w:val="nil"/>
            </w:tcBorders>
            <w:shd w:val="clear" w:color="auto" w:fill="auto"/>
            <w:vAlign w:val="center"/>
            <w:hideMark/>
          </w:tcPr>
          <w:p w14:paraId="423AE4AC" w14:textId="77777777" w:rsidR="002F6E52" w:rsidRPr="00DF6807" w:rsidRDefault="002F6E52" w:rsidP="002F6E52">
            <w:pPr>
              <w:jc w:val="right"/>
              <w:rPr>
                <w:b/>
                <w:bCs/>
              </w:rPr>
            </w:pPr>
          </w:p>
        </w:tc>
        <w:tc>
          <w:tcPr>
            <w:tcW w:w="992" w:type="dxa"/>
            <w:tcBorders>
              <w:top w:val="nil"/>
              <w:left w:val="nil"/>
              <w:bottom w:val="nil"/>
              <w:right w:val="nil"/>
            </w:tcBorders>
            <w:shd w:val="clear" w:color="auto" w:fill="auto"/>
            <w:vAlign w:val="center"/>
            <w:hideMark/>
          </w:tcPr>
          <w:p w14:paraId="68636423" w14:textId="77777777" w:rsidR="002F6E52" w:rsidRPr="00DF6807" w:rsidRDefault="002F6E52" w:rsidP="002F6E52">
            <w:pPr>
              <w:jc w:val="center"/>
            </w:pPr>
            <w:r w:rsidRPr="00DF6807">
              <w:t> </w:t>
            </w:r>
          </w:p>
        </w:tc>
        <w:tc>
          <w:tcPr>
            <w:tcW w:w="1701" w:type="dxa"/>
            <w:tcBorders>
              <w:top w:val="nil"/>
              <w:left w:val="nil"/>
              <w:bottom w:val="nil"/>
              <w:right w:val="nil"/>
            </w:tcBorders>
            <w:vAlign w:val="center"/>
          </w:tcPr>
          <w:p w14:paraId="480581C2" w14:textId="77777777" w:rsidR="002F6E52" w:rsidRPr="00DF6807" w:rsidRDefault="002F6E52" w:rsidP="002F6E52"/>
        </w:tc>
        <w:tc>
          <w:tcPr>
            <w:tcW w:w="2552" w:type="dxa"/>
            <w:tcBorders>
              <w:top w:val="nil"/>
              <w:left w:val="nil"/>
              <w:bottom w:val="nil"/>
              <w:right w:val="nil"/>
            </w:tcBorders>
            <w:shd w:val="clear" w:color="auto" w:fill="auto"/>
            <w:vAlign w:val="center"/>
          </w:tcPr>
          <w:p w14:paraId="0F04AD6D" w14:textId="77777777" w:rsidR="002F6E52" w:rsidRPr="00DF6807" w:rsidRDefault="002F6E52" w:rsidP="002F6E52"/>
        </w:tc>
      </w:tr>
      <w:tr w:rsidR="002F6E52" w:rsidRPr="00DF6807" w14:paraId="67CDB0B3" w14:textId="77777777" w:rsidTr="003E4C0A">
        <w:trPr>
          <w:trHeight w:val="324"/>
        </w:trPr>
        <w:tc>
          <w:tcPr>
            <w:tcW w:w="4253" w:type="dxa"/>
            <w:tcBorders>
              <w:top w:val="nil"/>
              <w:left w:val="nil"/>
              <w:bottom w:val="nil"/>
              <w:right w:val="nil"/>
            </w:tcBorders>
            <w:shd w:val="clear" w:color="auto" w:fill="auto"/>
            <w:vAlign w:val="center"/>
            <w:hideMark/>
          </w:tcPr>
          <w:p w14:paraId="17FD260E" w14:textId="77777777" w:rsidR="002F6E52" w:rsidRPr="00DF6807" w:rsidRDefault="002F6E52" w:rsidP="002F6E52">
            <w:pPr>
              <w:rPr>
                <w:b/>
                <w:bCs/>
              </w:rPr>
            </w:pPr>
            <w:r w:rsidRPr="00DF6807">
              <w:rPr>
                <w:b/>
                <w:bCs/>
              </w:rPr>
              <w:t>EQUITY AND LIABILITIES</w:t>
            </w:r>
          </w:p>
        </w:tc>
        <w:tc>
          <w:tcPr>
            <w:tcW w:w="992" w:type="dxa"/>
            <w:tcBorders>
              <w:top w:val="nil"/>
              <w:left w:val="nil"/>
              <w:bottom w:val="nil"/>
              <w:right w:val="nil"/>
            </w:tcBorders>
            <w:shd w:val="clear" w:color="auto" w:fill="auto"/>
            <w:vAlign w:val="center"/>
            <w:hideMark/>
          </w:tcPr>
          <w:p w14:paraId="65A9B2FC" w14:textId="77777777" w:rsidR="002F6E52" w:rsidRPr="00DF6807" w:rsidRDefault="002F6E52" w:rsidP="002F6E52">
            <w:pPr>
              <w:rPr>
                <w:b/>
                <w:bCs/>
              </w:rPr>
            </w:pPr>
          </w:p>
        </w:tc>
        <w:tc>
          <w:tcPr>
            <w:tcW w:w="1701" w:type="dxa"/>
            <w:tcBorders>
              <w:top w:val="nil"/>
              <w:left w:val="nil"/>
              <w:bottom w:val="nil"/>
              <w:right w:val="nil"/>
            </w:tcBorders>
            <w:vAlign w:val="center"/>
          </w:tcPr>
          <w:p w14:paraId="3A446DD3" w14:textId="77777777" w:rsidR="002F6E52" w:rsidRPr="00DF6807" w:rsidRDefault="002F6E52" w:rsidP="002F6E52">
            <w:pPr>
              <w:jc w:val="center"/>
              <w:rPr>
                <w:sz w:val="20"/>
                <w:szCs w:val="20"/>
              </w:rPr>
            </w:pPr>
          </w:p>
        </w:tc>
        <w:tc>
          <w:tcPr>
            <w:tcW w:w="2552" w:type="dxa"/>
            <w:tcBorders>
              <w:top w:val="nil"/>
              <w:left w:val="nil"/>
              <w:bottom w:val="nil"/>
              <w:right w:val="nil"/>
            </w:tcBorders>
            <w:shd w:val="clear" w:color="auto" w:fill="auto"/>
            <w:vAlign w:val="center"/>
          </w:tcPr>
          <w:p w14:paraId="2B1BE284" w14:textId="77777777" w:rsidR="002F6E52" w:rsidRPr="00DF6807" w:rsidRDefault="002F6E52" w:rsidP="002F6E52">
            <w:pPr>
              <w:rPr>
                <w:sz w:val="20"/>
                <w:szCs w:val="20"/>
              </w:rPr>
            </w:pPr>
          </w:p>
        </w:tc>
      </w:tr>
      <w:tr w:rsidR="002F6E52" w:rsidRPr="00DF6807" w14:paraId="23FA1815" w14:textId="77777777" w:rsidTr="003E4C0A">
        <w:trPr>
          <w:trHeight w:val="324"/>
        </w:trPr>
        <w:tc>
          <w:tcPr>
            <w:tcW w:w="4253" w:type="dxa"/>
            <w:tcBorders>
              <w:top w:val="nil"/>
              <w:left w:val="nil"/>
              <w:bottom w:val="nil"/>
              <w:right w:val="nil"/>
            </w:tcBorders>
            <w:shd w:val="clear" w:color="auto" w:fill="auto"/>
            <w:vAlign w:val="center"/>
            <w:hideMark/>
          </w:tcPr>
          <w:p w14:paraId="5900BF8F" w14:textId="77777777" w:rsidR="002F6E52" w:rsidRPr="00DF6807" w:rsidRDefault="002F6E52" w:rsidP="002F6E52">
            <w:pPr>
              <w:rPr>
                <w:b/>
                <w:bCs/>
              </w:rPr>
            </w:pPr>
            <w:r w:rsidRPr="00DF6807">
              <w:rPr>
                <w:b/>
                <w:bCs/>
              </w:rPr>
              <w:t>Equity</w:t>
            </w:r>
          </w:p>
        </w:tc>
        <w:tc>
          <w:tcPr>
            <w:tcW w:w="992" w:type="dxa"/>
            <w:tcBorders>
              <w:top w:val="nil"/>
              <w:left w:val="nil"/>
              <w:bottom w:val="nil"/>
              <w:right w:val="nil"/>
            </w:tcBorders>
            <w:shd w:val="clear" w:color="auto" w:fill="auto"/>
            <w:vAlign w:val="center"/>
            <w:hideMark/>
          </w:tcPr>
          <w:p w14:paraId="0CC1A672" w14:textId="77777777" w:rsidR="002F6E52" w:rsidRPr="00DF6807" w:rsidRDefault="002F6E52" w:rsidP="002F6E52">
            <w:pPr>
              <w:rPr>
                <w:b/>
                <w:bCs/>
              </w:rPr>
            </w:pPr>
          </w:p>
        </w:tc>
        <w:tc>
          <w:tcPr>
            <w:tcW w:w="1701" w:type="dxa"/>
            <w:tcBorders>
              <w:top w:val="nil"/>
              <w:left w:val="nil"/>
              <w:bottom w:val="nil"/>
              <w:right w:val="nil"/>
            </w:tcBorders>
            <w:vAlign w:val="center"/>
          </w:tcPr>
          <w:p w14:paraId="7C1B208D" w14:textId="77777777" w:rsidR="002F6E52" w:rsidRPr="00DF6807" w:rsidRDefault="002F6E52" w:rsidP="002F6E52">
            <w:pPr>
              <w:jc w:val="center"/>
              <w:rPr>
                <w:sz w:val="20"/>
                <w:szCs w:val="20"/>
              </w:rPr>
            </w:pPr>
          </w:p>
        </w:tc>
        <w:tc>
          <w:tcPr>
            <w:tcW w:w="2552" w:type="dxa"/>
            <w:tcBorders>
              <w:top w:val="nil"/>
              <w:left w:val="nil"/>
              <w:bottom w:val="nil"/>
              <w:right w:val="nil"/>
            </w:tcBorders>
            <w:shd w:val="clear" w:color="auto" w:fill="auto"/>
            <w:vAlign w:val="center"/>
          </w:tcPr>
          <w:p w14:paraId="609735DC" w14:textId="77777777" w:rsidR="002F6E52" w:rsidRPr="00DF6807" w:rsidRDefault="002F6E52" w:rsidP="002F6E52">
            <w:pPr>
              <w:rPr>
                <w:sz w:val="20"/>
                <w:szCs w:val="20"/>
              </w:rPr>
            </w:pPr>
          </w:p>
        </w:tc>
      </w:tr>
      <w:tr w:rsidR="002F6E52" w:rsidRPr="00DF6807" w14:paraId="24935813" w14:textId="77777777" w:rsidTr="003E4C0A">
        <w:trPr>
          <w:trHeight w:val="324"/>
        </w:trPr>
        <w:tc>
          <w:tcPr>
            <w:tcW w:w="4253" w:type="dxa"/>
            <w:tcBorders>
              <w:top w:val="nil"/>
              <w:left w:val="nil"/>
              <w:bottom w:val="nil"/>
              <w:right w:val="nil"/>
            </w:tcBorders>
            <w:shd w:val="clear" w:color="auto" w:fill="auto"/>
            <w:vAlign w:val="center"/>
            <w:hideMark/>
          </w:tcPr>
          <w:p w14:paraId="4C7AAB54" w14:textId="77777777" w:rsidR="002F6E52" w:rsidRPr="00DF6807" w:rsidRDefault="002F6E52" w:rsidP="002F6E52">
            <w:r w:rsidRPr="00DF6807">
              <w:t>Share capital</w:t>
            </w:r>
          </w:p>
        </w:tc>
        <w:tc>
          <w:tcPr>
            <w:tcW w:w="992" w:type="dxa"/>
            <w:tcBorders>
              <w:top w:val="nil"/>
              <w:left w:val="nil"/>
              <w:bottom w:val="nil"/>
              <w:right w:val="nil"/>
            </w:tcBorders>
            <w:shd w:val="clear" w:color="auto" w:fill="auto"/>
            <w:vAlign w:val="center"/>
            <w:hideMark/>
          </w:tcPr>
          <w:p w14:paraId="190B9D38" w14:textId="77777777" w:rsidR="002F6E52" w:rsidRPr="00536A7E" w:rsidRDefault="002F6E52" w:rsidP="002F6E52">
            <w:pPr>
              <w:jc w:val="center"/>
            </w:pPr>
            <w:r w:rsidRPr="00536A7E">
              <w:t>1</w:t>
            </w:r>
            <w:r>
              <w:t>0</w:t>
            </w:r>
          </w:p>
        </w:tc>
        <w:tc>
          <w:tcPr>
            <w:tcW w:w="1701" w:type="dxa"/>
            <w:tcBorders>
              <w:top w:val="nil"/>
              <w:left w:val="nil"/>
              <w:bottom w:val="nil"/>
              <w:right w:val="nil"/>
            </w:tcBorders>
          </w:tcPr>
          <w:p w14:paraId="6D9B2FCD" w14:textId="0201AA43" w:rsidR="002F6E52" w:rsidRPr="00DF6807" w:rsidRDefault="002F6E52" w:rsidP="002F6E52">
            <w:pPr>
              <w:jc w:val="right"/>
            </w:pPr>
            <w:r w:rsidRPr="00347E72">
              <w:t xml:space="preserve"> 805 </w:t>
            </w:r>
          </w:p>
        </w:tc>
        <w:tc>
          <w:tcPr>
            <w:tcW w:w="2552" w:type="dxa"/>
            <w:tcBorders>
              <w:top w:val="nil"/>
              <w:left w:val="nil"/>
              <w:bottom w:val="nil"/>
              <w:right w:val="nil"/>
            </w:tcBorders>
            <w:shd w:val="clear" w:color="auto" w:fill="auto"/>
            <w:vAlign w:val="center"/>
          </w:tcPr>
          <w:p w14:paraId="298D160A" w14:textId="77777777" w:rsidR="002F6E52" w:rsidRPr="00DF6807" w:rsidRDefault="002F6E52" w:rsidP="002F6E52">
            <w:pPr>
              <w:jc w:val="right"/>
            </w:pPr>
            <w:r>
              <w:t>622</w:t>
            </w:r>
          </w:p>
        </w:tc>
      </w:tr>
      <w:tr w:rsidR="002F6E52" w:rsidRPr="00DF6807" w14:paraId="2BCBE473" w14:textId="77777777" w:rsidTr="003E4C0A">
        <w:trPr>
          <w:trHeight w:val="324"/>
        </w:trPr>
        <w:tc>
          <w:tcPr>
            <w:tcW w:w="4253" w:type="dxa"/>
            <w:tcBorders>
              <w:top w:val="nil"/>
              <w:left w:val="nil"/>
              <w:bottom w:val="nil"/>
              <w:right w:val="nil"/>
            </w:tcBorders>
            <w:shd w:val="clear" w:color="auto" w:fill="auto"/>
            <w:vAlign w:val="center"/>
            <w:hideMark/>
          </w:tcPr>
          <w:p w14:paraId="43A68D98" w14:textId="77777777" w:rsidR="002F6E52" w:rsidRPr="00DF6807" w:rsidRDefault="002F6E52" w:rsidP="002F6E52">
            <w:r w:rsidRPr="00DF6807">
              <w:t>Share premium</w:t>
            </w:r>
          </w:p>
        </w:tc>
        <w:tc>
          <w:tcPr>
            <w:tcW w:w="992" w:type="dxa"/>
            <w:tcBorders>
              <w:top w:val="nil"/>
              <w:left w:val="nil"/>
              <w:bottom w:val="nil"/>
              <w:right w:val="nil"/>
            </w:tcBorders>
            <w:shd w:val="clear" w:color="auto" w:fill="auto"/>
            <w:vAlign w:val="center"/>
            <w:hideMark/>
          </w:tcPr>
          <w:p w14:paraId="6792DF00" w14:textId="77777777" w:rsidR="002F6E52" w:rsidRPr="00536A7E" w:rsidRDefault="002F6E52" w:rsidP="002F6E52">
            <w:pPr>
              <w:jc w:val="center"/>
            </w:pPr>
            <w:r w:rsidRPr="00536A7E">
              <w:t>1</w:t>
            </w:r>
            <w:r>
              <w:t>0</w:t>
            </w:r>
          </w:p>
        </w:tc>
        <w:tc>
          <w:tcPr>
            <w:tcW w:w="1701" w:type="dxa"/>
            <w:tcBorders>
              <w:top w:val="nil"/>
              <w:left w:val="nil"/>
              <w:bottom w:val="nil"/>
              <w:right w:val="nil"/>
            </w:tcBorders>
          </w:tcPr>
          <w:p w14:paraId="0881FA97" w14:textId="74CC17ED" w:rsidR="002F6E52" w:rsidRPr="00DF6807" w:rsidRDefault="002F6E52" w:rsidP="002F6E52">
            <w:pPr>
              <w:jc w:val="right"/>
            </w:pPr>
            <w:r w:rsidRPr="00347E72">
              <w:t xml:space="preserve"> 23,673 </w:t>
            </w:r>
          </w:p>
        </w:tc>
        <w:tc>
          <w:tcPr>
            <w:tcW w:w="2552" w:type="dxa"/>
            <w:tcBorders>
              <w:top w:val="nil"/>
              <w:left w:val="nil"/>
              <w:bottom w:val="nil"/>
              <w:right w:val="nil"/>
            </w:tcBorders>
            <w:shd w:val="clear" w:color="auto" w:fill="auto"/>
            <w:vAlign w:val="center"/>
          </w:tcPr>
          <w:p w14:paraId="5E70E346" w14:textId="77777777" w:rsidR="002F6E52" w:rsidRPr="00DF6807" w:rsidRDefault="002F6E52" w:rsidP="002F6E52">
            <w:pPr>
              <w:jc w:val="right"/>
            </w:pPr>
            <w:r>
              <w:t>23,061</w:t>
            </w:r>
          </w:p>
        </w:tc>
      </w:tr>
      <w:tr w:rsidR="002F6E52" w:rsidRPr="00DF6807" w14:paraId="002C4AA7" w14:textId="77777777" w:rsidTr="003E4C0A">
        <w:trPr>
          <w:trHeight w:val="324"/>
        </w:trPr>
        <w:tc>
          <w:tcPr>
            <w:tcW w:w="4253" w:type="dxa"/>
            <w:tcBorders>
              <w:top w:val="nil"/>
              <w:left w:val="nil"/>
              <w:bottom w:val="nil"/>
              <w:right w:val="nil"/>
            </w:tcBorders>
            <w:shd w:val="clear" w:color="auto" w:fill="auto"/>
            <w:vAlign w:val="center"/>
            <w:hideMark/>
          </w:tcPr>
          <w:p w14:paraId="4807D875" w14:textId="77777777" w:rsidR="002F6E52" w:rsidRPr="00DF6807" w:rsidRDefault="002F6E52" w:rsidP="002F6E52">
            <w:r w:rsidRPr="00DF6807">
              <w:t>Share-based payment reserve</w:t>
            </w:r>
          </w:p>
        </w:tc>
        <w:tc>
          <w:tcPr>
            <w:tcW w:w="992" w:type="dxa"/>
            <w:tcBorders>
              <w:top w:val="nil"/>
              <w:left w:val="nil"/>
              <w:bottom w:val="nil"/>
              <w:right w:val="nil"/>
            </w:tcBorders>
            <w:shd w:val="clear" w:color="auto" w:fill="auto"/>
            <w:vAlign w:val="center"/>
            <w:hideMark/>
          </w:tcPr>
          <w:p w14:paraId="7007E1AF" w14:textId="77777777" w:rsidR="002F6E52" w:rsidRPr="00DF6807" w:rsidRDefault="002F6E52" w:rsidP="002F6E52"/>
        </w:tc>
        <w:tc>
          <w:tcPr>
            <w:tcW w:w="1701" w:type="dxa"/>
            <w:tcBorders>
              <w:top w:val="nil"/>
              <w:left w:val="nil"/>
              <w:bottom w:val="nil"/>
              <w:right w:val="nil"/>
            </w:tcBorders>
          </w:tcPr>
          <w:p w14:paraId="7969E6F7" w14:textId="396F7FF6" w:rsidR="002F6E52" w:rsidRPr="00DF6807" w:rsidRDefault="002F6E52" w:rsidP="002F6E52">
            <w:pPr>
              <w:jc w:val="right"/>
            </w:pPr>
            <w:r w:rsidRPr="00347E72">
              <w:t xml:space="preserve"> 899 </w:t>
            </w:r>
          </w:p>
        </w:tc>
        <w:tc>
          <w:tcPr>
            <w:tcW w:w="2552" w:type="dxa"/>
            <w:tcBorders>
              <w:top w:val="nil"/>
              <w:left w:val="nil"/>
              <w:bottom w:val="nil"/>
              <w:right w:val="nil"/>
            </w:tcBorders>
            <w:shd w:val="clear" w:color="auto" w:fill="auto"/>
            <w:vAlign w:val="center"/>
          </w:tcPr>
          <w:p w14:paraId="02A7F345" w14:textId="77777777" w:rsidR="002F6E52" w:rsidRPr="00DF6807" w:rsidRDefault="002F6E52" w:rsidP="002F6E52">
            <w:pPr>
              <w:jc w:val="right"/>
            </w:pPr>
            <w:r>
              <w:t>838</w:t>
            </w:r>
          </w:p>
        </w:tc>
      </w:tr>
      <w:tr w:rsidR="002F6E52" w:rsidRPr="00DF6807" w14:paraId="26BBC314" w14:textId="77777777" w:rsidTr="003E4C0A">
        <w:trPr>
          <w:trHeight w:val="324"/>
        </w:trPr>
        <w:tc>
          <w:tcPr>
            <w:tcW w:w="4253" w:type="dxa"/>
            <w:tcBorders>
              <w:top w:val="nil"/>
              <w:left w:val="nil"/>
              <w:bottom w:val="single" w:sz="12" w:space="0" w:color="000000"/>
              <w:right w:val="nil"/>
            </w:tcBorders>
            <w:shd w:val="clear" w:color="auto" w:fill="auto"/>
            <w:vAlign w:val="center"/>
            <w:hideMark/>
          </w:tcPr>
          <w:p w14:paraId="3E389F12" w14:textId="77777777" w:rsidR="002F6E52" w:rsidRPr="00DF6807" w:rsidRDefault="002F6E52" w:rsidP="002F6E52">
            <w:r w:rsidRPr="00DF6807">
              <w:t>Retained earnings</w:t>
            </w:r>
          </w:p>
        </w:tc>
        <w:tc>
          <w:tcPr>
            <w:tcW w:w="992" w:type="dxa"/>
            <w:tcBorders>
              <w:top w:val="nil"/>
              <w:left w:val="nil"/>
              <w:bottom w:val="single" w:sz="12" w:space="0" w:color="000000"/>
              <w:right w:val="nil"/>
            </w:tcBorders>
            <w:shd w:val="clear" w:color="auto" w:fill="auto"/>
            <w:vAlign w:val="center"/>
            <w:hideMark/>
          </w:tcPr>
          <w:p w14:paraId="1D3B3B12" w14:textId="77777777" w:rsidR="002F6E52" w:rsidRPr="00DF6807" w:rsidRDefault="002F6E52" w:rsidP="002F6E52">
            <w:pPr>
              <w:jc w:val="center"/>
            </w:pPr>
            <w:r w:rsidRPr="00DF6807">
              <w:t> </w:t>
            </w:r>
          </w:p>
        </w:tc>
        <w:tc>
          <w:tcPr>
            <w:tcW w:w="1701" w:type="dxa"/>
            <w:tcBorders>
              <w:top w:val="nil"/>
              <w:left w:val="nil"/>
              <w:bottom w:val="single" w:sz="12" w:space="0" w:color="000000"/>
              <w:right w:val="nil"/>
            </w:tcBorders>
          </w:tcPr>
          <w:p w14:paraId="0455DA57" w14:textId="03B0C211" w:rsidR="002F6E52" w:rsidRPr="00DE3D87" w:rsidRDefault="002F6E52" w:rsidP="002F6E52">
            <w:pPr>
              <w:jc w:val="right"/>
            </w:pPr>
            <w:r w:rsidRPr="00BF14A8">
              <w:t xml:space="preserve"> (25,997)</w:t>
            </w:r>
          </w:p>
        </w:tc>
        <w:tc>
          <w:tcPr>
            <w:tcW w:w="2552" w:type="dxa"/>
            <w:tcBorders>
              <w:top w:val="nil"/>
              <w:left w:val="nil"/>
              <w:bottom w:val="single" w:sz="12" w:space="0" w:color="000000"/>
              <w:right w:val="nil"/>
            </w:tcBorders>
            <w:shd w:val="clear" w:color="auto" w:fill="auto"/>
            <w:vAlign w:val="center"/>
          </w:tcPr>
          <w:p w14:paraId="33001F41" w14:textId="77777777" w:rsidR="002F6E52" w:rsidRPr="00DF6807" w:rsidRDefault="002F6E52" w:rsidP="002F6E52">
            <w:pPr>
              <w:jc w:val="right"/>
            </w:pPr>
            <w:r>
              <w:t>(24,752)</w:t>
            </w:r>
          </w:p>
        </w:tc>
      </w:tr>
      <w:tr w:rsidR="002F6E52" w:rsidRPr="00DF6807" w14:paraId="02A36D63" w14:textId="77777777" w:rsidTr="003E4C0A">
        <w:trPr>
          <w:trHeight w:val="261"/>
        </w:trPr>
        <w:tc>
          <w:tcPr>
            <w:tcW w:w="4253" w:type="dxa"/>
            <w:tcBorders>
              <w:top w:val="nil"/>
              <w:left w:val="nil"/>
              <w:bottom w:val="single" w:sz="12" w:space="0" w:color="000000"/>
              <w:right w:val="nil"/>
            </w:tcBorders>
            <w:shd w:val="clear" w:color="auto" w:fill="auto"/>
            <w:vAlign w:val="center"/>
            <w:hideMark/>
          </w:tcPr>
          <w:p w14:paraId="0C378E2A" w14:textId="77777777" w:rsidR="002F6E52" w:rsidRPr="00DF6807" w:rsidRDefault="002F6E52" w:rsidP="002F6E52">
            <w:pPr>
              <w:rPr>
                <w:b/>
                <w:bCs/>
              </w:rPr>
            </w:pPr>
            <w:r w:rsidRPr="00DF6807">
              <w:rPr>
                <w:b/>
                <w:bCs/>
              </w:rPr>
              <w:t>Total equity</w:t>
            </w:r>
          </w:p>
        </w:tc>
        <w:tc>
          <w:tcPr>
            <w:tcW w:w="992" w:type="dxa"/>
            <w:tcBorders>
              <w:top w:val="nil"/>
              <w:left w:val="nil"/>
              <w:bottom w:val="single" w:sz="12" w:space="0" w:color="000000"/>
              <w:right w:val="nil"/>
            </w:tcBorders>
            <w:shd w:val="clear" w:color="auto" w:fill="auto"/>
            <w:vAlign w:val="center"/>
            <w:hideMark/>
          </w:tcPr>
          <w:p w14:paraId="4A55A811" w14:textId="77777777" w:rsidR="002F6E52" w:rsidRPr="00DF6807" w:rsidRDefault="002F6E52" w:rsidP="002F6E52">
            <w:pPr>
              <w:jc w:val="center"/>
            </w:pPr>
            <w:r w:rsidRPr="00DF6807">
              <w:t> </w:t>
            </w:r>
          </w:p>
        </w:tc>
        <w:tc>
          <w:tcPr>
            <w:tcW w:w="1701" w:type="dxa"/>
            <w:tcBorders>
              <w:top w:val="nil"/>
              <w:left w:val="nil"/>
              <w:bottom w:val="single" w:sz="12" w:space="0" w:color="000000"/>
              <w:right w:val="nil"/>
            </w:tcBorders>
          </w:tcPr>
          <w:p w14:paraId="531D609A" w14:textId="530C8FDE" w:rsidR="002F6E52" w:rsidRPr="00745EF0" w:rsidRDefault="002F6E52" w:rsidP="002F6E52">
            <w:pPr>
              <w:jc w:val="right"/>
              <w:rPr>
                <w:b/>
                <w:bCs/>
              </w:rPr>
            </w:pPr>
            <w:r w:rsidRPr="005B7B3F">
              <w:rPr>
                <w:b/>
                <w:bCs/>
              </w:rPr>
              <w:t xml:space="preserve"> (620)</w:t>
            </w:r>
          </w:p>
        </w:tc>
        <w:tc>
          <w:tcPr>
            <w:tcW w:w="2552" w:type="dxa"/>
            <w:tcBorders>
              <w:top w:val="nil"/>
              <w:left w:val="nil"/>
              <w:bottom w:val="single" w:sz="12" w:space="0" w:color="000000"/>
              <w:right w:val="nil"/>
            </w:tcBorders>
            <w:shd w:val="clear" w:color="auto" w:fill="auto"/>
            <w:vAlign w:val="center"/>
          </w:tcPr>
          <w:p w14:paraId="5FE8D796" w14:textId="77777777" w:rsidR="002F6E52" w:rsidRPr="00DF6807" w:rsidRDefault="002F6E52" w:rsidP="002F6E52">
            <w:pPr>
              <w:jc w:val="right"/>
              <w:rPr>
                <w:b/>
                <w:bCs/>
              </w:rPr>
            </w:pPr>
            <w:r>
              <w:rPr>
                <w:b/>
                <w:bCs/>
              </w:rPr>
              <w:t>(231)</w:t>
            </w:r>
          </w:p>
        </w:tc>
      </w:tr>
      <w:tr w:rsidR="002F6E52" w:rsidRPr="00DF6807" w14:paraId="3FCFA1DB" w14:textId="77777777" w:rsidTr="003E4C0A">
        <w:trPr>
          <w:trHeight w:val="109"/>
        </w:trPr>
        <w:tc>
          <w:tcPr>
            <w:tcW w:w="4253" w:type="dxa"/>
            <w:tcBorders>
              <w:top w:val="nil"/>
              <w:left w:val="nil"/>
              <w:bottom w:val="nil"/>
              <w:right w:val="nil"/>
            </w:tcBorders>
            <w:shd w:val="clear" w:color="auto" w:fill="auto"/>
            <w:vAlign w:val="center"/>
            <w:hideMark/>
          </w:tcPr>
          <w:p w14:paraId="52A824EA" w14:textId="77777777" w:rsidR="002F6E52" w:rsidRPr="00DF6807" w:rsidRDefault="002F6E52" w:rsidP="002F6E52">
            <w:pPr>
              <w:jc w:val="right"/>
              <w:rPr>
                <w:b/>
                <w:bCs/>
              </w:rPr>
            </w:pPr>
          </w:p>
        </w:tc>
        <w:tc>
          <w:tcPr>
            <w:tcW w:w="992" w:type="dxa"/>
            <w:tcBorders>
              <w:top w:val="nil"/>
              <w:left w:val="nil"/>
              <w:bottom w:val="nil"/>
              <w:right w:val="nil"/>
            </w:tcBorders>
            <w:shd w:val="clear" w:color="auto" w:fill="auto"/>
            <w:vAlign w:val="center"/>
            <w:hideMark/>
          </w:tcPr>
          <w:p w14:paraId="179CF676" w14:textId="77777777" w:rsidR="002F6E52" w:rsidRPr="00DF6807" w:rsidRDefault="002F6E52" w:rsidP="002F6E52">
            <w:pPr>
              <w:jc w:val="center"/>
            </w:pPr>
            <w:r w:rsidRPr="00DF6807">
              <w:t> </w:t>
            </w:r>
          </w:p>
        </w:tc>
        <w:tc>
          <w:tcPr>
            <w:tcW w:w="1701" w:type="dxa"/>
            <w:tcBorders>
              <w:top w:val="nil"/>
              <w:left w:val="nil"/>
              <w:bottom w:val="nil"/>
              <w:right w:val="nil"/>
            </w:tcBorders>
            <w:vAlign w:val="center"/>
          </w:tcPr>
          <w:p w14:paraId="7BA7C1FD" w14:textId="77777777" w:rsidR="002F6E52" w:rsidRPr="00DF6807" w:rsidRDefault="002F6E52" w:rsidP="002F6E52"/>
        </w:tc>
        <w:tc>
          <w:tcPr>
            <w:tcW w:w="2552" w:type="dxa"/>
            <w:tcBorders>
              <w:top w:val="nil"/>
              <w:left w:val="nil"/>
              <w:bottom w:val="nil"/>
              <w:right w:val="nil"/>
            </w:tcBorders>
            <w:shd w:val="clear" w:color="auto" w:fill="auto"/>
            <w:vAlign w:val="center"/>
          </w:tcPr>
          <w:p w14:paraId="7940A38F" w14:textId="77777777" w:rsidR="002F6E52" w:rsidRPr="00DF6807" w:rsidRDefault="002F6E52" w:rsidP="002F6E52"/>
        </w:tc>
      </w:tr>
      <w:tr w:rsidR="002F6E52" w:rsidRPr="00DF6807" w14:paraId="1F62152B" w14:textId="77777777" w:rsidTr="003E4C0A">
        <w:trPr>
          <w:trHeight w:val="324"/>
        </w:trPr>
        <w:tc>
          <w:tcPr>
            <w:tcW w:w="4253" w:type="dxa"/>
            <w:tcBorders>
              <w:top w:val="nil"/>
              <w:left w:val="nil"/>
              <w:bottom w:val="nil"/>
              <w:right w:val="nil"/>
            </w:tcBorders>
            <w:shd w:val="clear" w:color="auto" w:fill="auto"/>
            <w:vAlign w:val="center"/>
            <w:hideMark/>
          </w:tcPr>
          <w:p w14:paraId="1B81209C" w14:textId="77777777" w:rsidR="002F6E52" w:rsidRPr="00DF6807" w:rsidRDefault="002F6E52" w:rsidP="002F6E52">
            <w:pPr>
              <w:rPr>
                <w:b/>
                <w:bCs/>
              </w:rPr>
            </w:pPr>
            <w:r w:rsidRPr="00DF6807">
              <w:rPr>
                <w:b/>
                <w:bCs/>
              </w:rPr>
              <w:t>Non-current liabilities</w:t>
            </w:r>
          </w:p>
        </w:tc>
        <w:tc>
          <w:tcPr>
            <w:tcW w:w="992" w:type="dxa"/>
            <w:tcBorders>
              <w:top w:val="nil"/>
              <w:left w:val="nil"/>
              <w:bottom w:val="nil"/>
              <w:right w:val="nil"/>
            </w:tcBorders>
            <w:shd w:val="clear" w:color="auto" w:fill="auto"/>
            <w:vAlign w:val="center"/>
            <w:hideMark/>
          </w:tcPr>
          <w:p w14:paraId="43CCB02D" w14:textId="77777777" w:rsidR="002F6E52" w:rsidRPr="00DF6807" w:rsidRDefault="002F6E52" w:rsidP="002F6E52">
            <w:pPr>
              <w:rPr>
                <w:b/>
                <w:bCs/>
              </w:rPr>
            </w:pPr>
          </w:p>
        </w:tc>
        <w:tc>
          <w:tcPr>
            <w:tcW w:w="1701" w:type="dxa"/>
            <w:tcBorders>
              <w:top w:val="nil"/>
              <w:left w:val="nil"/>
              <w:bottom w:val="nil"/>
              <w:right w:val="nil"/>
            </w:tcBorders>
            <w:vAlign w:val="center"/>
          </w:tcPr>
          <w:p w14:paraId="1E8F8E55" w14:textId="77777777" w:rsidR="002F6E52" w:rsidRPr="00DF6807" w:rsidRDefault="002F6E52" w:rsidP="002F6E52">
            <w:pPr>
              <w:jc w:val="center"/>
              <w:rPr>
                <w:sz w:val="20"/>
                <w:szCs w:val="20"/>
              </w:rPr>
            </w:pPr>
          </w:p>
        </w:tc>
        <w:tc>
          <w:tcPr>
            <w:tcW w:w="2552" w:type="dxa"/>
            <w:tcBorders>
              <w:top w:val="nil"/>
              <w:left w:val="nil"/>
              <w:bottom w:val="nil"/>
              <w:right w:val="nil"/>
            </w:tcBorders>
            <w:shd w:val="clear" w:color="auto" w:fill="auto"/>
            <w:vAlign w:val="center"/>
          </w:tcPr>
          <w:p w14:paraId="2A6FD599" w14:textId="77777777" w:rsidR="002F6E52" w:rsidRPr="00DF6807" w:rsidRDefault="002F6E52" w:rsidP="002F6E52">
            <w:pPr>
              <w:rPr>
                <w:sz w:val="20"/>
                <w:szCs w:val="20"/>
              </w:rPr>
            </w:pPr>
          </w:p>
        </w:tc>
      </w:tr>
      <w:tr w:rsidR="002F6E52" w:rsidRPr="00DF6807" w14:paraId="7F410F5B" w14:textId="77777777" w:rsidTr="003E4C0A">
        <w:trPr>
          <w:trHeight w:val="324"/>
        </w:trPr>
        <w:tc>
          <w:tcPr>
            <w:tcW w:w="4253" w:type="dxa"/>
            <w:tcBorders>
              <w:top w:val="nil"/>
              <w:left w:val="nil"/>
              <w:bottom w:val="nil"/>
              <w:right w:val="nil"/>
            </w:tcBorders>
            <w:shd w:val="clear" w:color="auto" w:fill="auto"/>
            <w:vAlign w:val="center"/>
          </w:tcPr>
          <w:p w14:paraId="10D2CA25" w14:textId="77777777" w:rsidR="002F6E52" w:rsidRPr="002A73C4" w:rsidRDefault="002F6E52" w:rsidP="002F6E52">
            <w:r w:rsidRPr="002A73C4">
              <w:t>Provisions</w:t>
            </w:r>
          </w:p>
        </w:tc>
        <w:tc>
          <w:tcPr>
            <w:tcW w:w="992" w:type="dxa"/>
            <w:tcBorders>
              <w:top w:val="nil"/>
              <w:left w:val="nil"/>
              <w:bottom w:val="nil"/>
              <w:right w:val="nil"/>
            </w:tcBorders>
            <w:shd w:val="clear" w:color="auto" w:fill="auto"/>
            <w:vAlign w:val="center"/>
          </w:tcPr>
          <w:p w14:paraId="01A1B7C6" w14:textId="77777777" w:rsidR="002F6E52" w:rsidRPr="002A73C4" w:rsidRDefault="002F6E52" w:rsidP="002F6E52"/>
        </w:tc>
        <w:tc>
          <w:tcPr>
            <w:tcW w:w="1701" w:type="dxa"/>
            <w:tcBorders>
              <w:top w:val="nil"/>
              <w:left w:val="nil"/>
              <w:bottom w:val="nil"/>
              <w:right w:val="nil"/>
            </w:tcBorders>
          </w:tcPr>
          <w:p w14:paraId="3413E199" w14:textId="029DADBA" w:rsidR="002F6E52" w:rsidRPr="002A73C4" w:rsidRDefault="002F6E52" w:rsidP="002F6E52">
            <w:pPr>
              <w:jc w:val="right"/>
            </w:pPr>
            <w:r w:rsidRPr="00D75875">
              <w:t xml:space="preserve"> -   </w:t>
            </w:r>
          </w:p>
        </w:tc>
        <w:tc>
          <w:tcPr>
            <w:tcW w:w="2552" w:type="dxa"/>
            <w:tcBorders>
              <w:top w:val="nil"/>
              <w:left w:val="nil"/>
              <w:bottom w:val="nil"/>
              <w:right w:val="nil"/>
            </w:tcBorders>
            <w:shd w:val="clear" w:color="auto" w:fill="auto"/>
            <w:vAlign w:val="center"/>
          </w:tcPr>
          <w:p w14:paraId="37A99189" w14:textId="77777777" w:rsidR="002F6E52" w:rsidRPr="002A73C4" w:rsidRDefault="002F6E52" w:rsidP="002F6E52">
            <w:pPr>
              <w:jc w:val="right"/>
            </w:pPr>
            <w:r>
              <w:t>346</w:t>
            </w:r>
          </w:p>
        </w:tc>
      </w:tr>
      <w:tr w:rsidR="002F6E52" w:rsidRPr="00DF6807" w14:paraId="2E34073B" w14:textId="77777777" w:rsidTr="003E4C0A">
        <w:trPr>
          <w:trHeight w:val="324"/>
        </w:trPr>
        <w:tc>
          <w:tcPr>
            <w:tcW w:w="4253" w:type="dxa"/>
            <w:tcBorders>
              <w:top w:val="nil"/>
              <w:left w:val="nil"/>
              <w:bottom w:val="single" w:sz="8" w:space="0" w:color="auto"/>
              <w:right w:val="nil"/>
            </w:tcBorders>
            <w:shd w:val="clear" w:color="auto" w:fill="auto"/>
            <w:vAlign w:val="center"/>
            <w:hideMark/>
          </w:tcPr>
          <w:p w14:paraId="7DF7070C" w14:textId="77777777" w:rsidR="002F6E52" w:rsidRPr="00DF6807" w:rsidRDefault="002F6E52" w:rsidP="002F6E52">
            <w:r w:rsidRPr="00DF6807">
              <w:t>Lease liability</w:t>
            </w:r>
          </w:p>
        </w:tc>
        <w:tc>
          <w:tcPr>
            <w:tcW w:w="992" w:type="dxa"/>
            <w:tcBorders>
              <w:top w:val="nil"/>
              <w:left w:val="nil"/>
              <w:bottom w:val="single" w:sz="8" w:space="0" w:color="auto"/>
              <w:right w:val="nil"/>
            </w:tcBorders>
            <w:shd w:val="clear" w:color="auto" w:fill="auto"/>
            <w:vAlign w:val="center"/>
            <w:hideMark/>
          </w:tcPr>
          <w:p w14:paraId="08D65445" w14:textId="77777777" w:rsidR="002F6E52" w:rsidRPr="00536A7E" w:rsidRDefault="002F6E52" w:rsidP="002F6E52">
            <w:pPr>
              <w:jc w:val="center"/>
            </w:pPr>
            <w:r w:rsidRPr="00536A7E">
              <w:t> </w:t>
            </w:r>
          </w:p>
        </w:tc>
        <w:tc>
          <w:tcPr>
            <w:tcW w:w="1701" w:type="dxa"/>
            <w:tcBorders>
              <w:top w:val="nil"/>
              <w:left w:val="nil"/>
              <w:bottom w:val="single" w:sz="8" w:space="0" w:color="auto"/>
              <w:right w:val="nil"/>
            </w:tcBorders>
          </w:tcPr>
          <w:p w14:paraId="216B86C0" w14:textId="08F5B099" w:rsidR="002F6E52" w:rsidRPr="00DF6807" w:rsidRDefault="002F6E52" w:rsidP="002F6E52">
            <w:pPr>
              <w:jc w:val="right"/>
            </w:pPr>
            <w:r w:rsidRPr="00D75875">
              <w:t xml:space="preserve"> -   </w:t>
            </w:r>
          </w:p>
        </w:tc>
        <w:tc>
          <w:tcPr>
            <w:tcW w:w="2552" w:type="dxa"/>
            <w:tcBorders>
              <w:top w:val="nil"/>
              <w:left w:val="nil"/>
              <w:bottom w:val="single" w:sz="8" w:space="0" w:color="auto"/>
              <w:right w:val="nil"/>
            </w:tcBorders>
            <w:shd w:val="clear" w:color="auto" w:fill="auto"/>
            <w:vAlign w:val="center"/>
          </w:tcPr>
          <w:p w14:paraId="3F9E1262" w14:textId="77777777" w:rsidR="002F6E52" w:rsidRPr="00DF6807" w:rsidRDefault="002F6E52" w:rsidP="002F6E52">
            <w:pPr>
              <w:jc w:val="right"/>
            </w:pPr>
            <w:r>
              <w:t>2,781</w:t>
            </w:r>
          </w:p>
        </w:tc>
      </w:tr>
      <w:tr w:rsidR="002F6E52" w:rsidRPr="00DF6807" w14:paraId="4633651B" w14:textId="77777777" w:rsidTr="003E4C0A">
        <w:trPr>
          <w:trHeight w:val="151"/>
        </w:trPr>
        <w:tc>
          <w:tcPr>
            <w:tcW w:w="4253" w:type="dxa"/>
            <w:tcBorders>
              <w:top w:val="nil"/>
              <w:left w:val="nil"/>
              <w:bottom w:val="single" w:sz="12" w:space="0" w:color="000000"/>
              <w:right w:val="nil"/>
            </w:tcBorders>
            <w:shd w:val="clear" w:color="auto" w:fill="auto"/>
            <w:vAlign w:val="center"/>
            <w:hideMark/>
          </w:tcPr>
          <w:p w14:paraId="1D061CCE" w14:textId="77777777" w:rsidR="002F6E52" w:rsidRPr="00DF6807" w:rsidRDefault="002F6E52" w:rsidP="002F6E52">
            <w:pPr>
              <w:rPr>
                <w:b/>
                <w:bCs/>
              </w:rPr>
            </w:pPr>
            <w:r w:rsidRPr="00DF6807">
              <w:rPr>
                <w:b/>
                <w:bCs/>
              </w:rPr>
              <w:t>Total non-current liabilities</w:t>
            </w:r>
          </w:p>
        </w:tc>
        <w:tc>
          <w:tcPr>
            <w:tcW w:w="992" w:type="dxa"/>
            <w:tcBorders>
              <w:top w:val="nil"/>
              <w:left w:val="nil"/>
              <w:bottom w:val="single" w:sz="12" w:space="0" w:color="000000"/>
              <w:right w:val="nil"/>
            </w:tcBorders>
            <w:shd w:val="clear" w:color="auto" w:fill="auto"/>
            <w:vAlign w:val="center"/>
            <w:hideMark/>
          </w:tcPr>
          <w:p w14:paraId="0E8BD16C" w14:textId="77777777" w:rsidR="002F6E52" w:rsidRPr="00DF6807" w:rsidRDefault="002F6E52" w:rsidP="002F6E52">
            <w:pPr>
              <w:jc w:val="center"/>
            </w:pPr>
            <w:r w:rsidRPr="00DF6807">
              <w:t> </w:t>
            </w:r>
          </w:p>
        </w:tc>
        <w:tc>
          <w:tcPr>
            <w:tcW w:w="1701" w:type="dxa"/>
            <w:tcBorders>
              <w:top w:val="nil"/>
              <w:left w:val="nil"/>
              <w:bottom w:val="single" w:sz="12" w:space="0" w:color="000000"/>
              <w:right w:val="nil"/>
            </w:tcBorders>
          </w:tcPr>
          <w:p w14:paraId="24EDD3C2" w14:textId="7B480EEE" w:rsidR="002F6E52" w:rsidRPr="00C41516" w:rsidRDefault="002F6E52" w:rsidP="002F6E52">
            <w:pPr>
              <w:jc w:val="right"/>
              <w:rPr>
                <w:b/>
                <w:bCs/>
              </w:rPr>
            </w:pPr>
            <w:r w:rsidRPr="00D75875">
              <w:t xml:space="preserve"> </w:t>
            </w:r>
            <w:r w:rsidRPr="00C41516">
              <w:rPr>
                <w:b/>
                <w:bCs/>
              </w:rPr>
              <w:t xml:space="preserve">-   </w:t>
            </w:r>
          </w:p>
        </w:tc>
        <w:tc>
          <w:tcPr>
            <w:tcW w:w="2552" w:type="dxa"/>
            <w:tcBorders>
              <w:top w:val="nil"/>
              <w:left w:val="nil"/>
              <w:bottom w:val="single" w:sz="12" w:space="0" w:color="000000"/>
              <w:right w:val="nil"/>
            </w:tcBorders>
            <w:shd w:val="clear" w:color="auto" w:fill="auto"/>
            <w:vAlign w:val="center"/>
          </w:tcPr>
          <w:p w14:paraId="308A56DF" w14:textId="77777777" w:rsidR="002F6E52" w:rsidRPr="00DF6807" w:rsidRDefault="002F6E52" w:rsidP="002F6E52">
            <w:pPr>
              <w:jc w:val="right"/>
              <w:rPr>
                <w:b/>
                <w:bCs/>
              </w:rPr>
            </w:pPr>
            <w:r>
              <w:rPr>
                <w:b/>
                <w:bCs/>
              </w:rPr>
              <w:t>3,127</w:t>
            </w:r>
          </w:p>
        </w:tc>
      </w:tr>
      <w:tr w:rsidR="002F6E52" w:rsidRPr="00DF6807" w14:paraId="353FF237" w14:textId="77777777" w:rsidTr="003E4C0A">
        <w:trPr>
          <w:trHeight w:val="204"/>
        </w:trPr>
        <w:tc>
          <w:tcPr>
            <w:tcW w:w="4253" w:type="dxa"/>
            <w:tcBorders>
              <w:top w:val="nil"/>
              <w:left w:val="nil"/>
              <w:bottom w:val="nil"/>
              <w:right w:val="nil"/>
            </w:tcBorders>
            <w:shd w:val="clear" w:color="auto" w:fill="auto"/>
            <w:vAlign w:val="center"/>
            <w:hideMark/>
          </w:tcPr>
          <w:p w14:paraId="3CBA8A36" w14:textId="77777777" w:rsidR="002F6E52" w:rsidRPr="00DF6807" w:rsidRDefault="002F6E52" w:rsidP="002F6E52">
            <w:pPr>
              <w:jc w:val="right"/>
              <w:rPr>
                <w:b/>
                <w:bCs/>
              </w:rPr>
            </w:pPr>
          </w:p>
        </w:tc>
        <w:tc>
          <w:tcPr>
            <w:tcW w:w="992" w:type="dxa"/>
            <w:tcBorders>
              <w:top w:val="nil"/>
              <w:left w:val="nil"/>
              <w:bottom w:val="nil"/>
              <w:right w:val="nil"/>
            </w:tcBorders>
            <w:shd w:val="clear" w:color="auto" w:fill="auto"/>
            <w:vAlign w:val="center"/>
            <w:hideMark/>
          </w:tcPr>
          <w:p w14:paraId="5B550571" w14:textId="77777777" w:rsidR="002F6E52" w:rsidRPr="00DF6807" w:rsidRDefault="002F6E52" w:rsidP="002F6E52">
            <w:pPr>
              <w:rPr>
                <w:sz w:val="20"/>
                <w:szCs w:val="20"/>
              </w:rPr>
            </w:pPr>
          </w:p>
        </w:tc>
        <w:tc>
          <w:tcPr>
            <w:tcW w:w="1701" w:type="dxa"/>
            <w:tcBorders>
              <w:top w:val="nil"/>
              <w:left w:val="nil"/>
              <w:bottom w:val="nil"/>
              <w:right w:val="nil"/>
            </w:tcBorders>
            <w:vAlign w:val="center"/>
          </w:tcPr>
          <w:p w14:paraId="67BEB95C" w14:textId="77777777" w:rsidR="002F6E52" w:rsidRPr="00DF6807" w:rsidRDefault="002F6E52" w:rsidP="002F6E52">
            <w:pPr>
              <w:jc w:val="center"/>
              <w:rPr>
                <w:sz w:val="20"/>
                <w:szCs w:val="20"/>
              </w:rPr>
            </w:pPr>
          </w:p>
        </w:tc>
        <w:tc>
          <w:tcPr>
            <w:tcW w:w="2552" w:type="dxa"/>
            <w:tcBorders>
              <w:top w:val="nil"/>
              <w:left w:val="nil"/>
              <w:bottom w:val="nil"/>
              <w:right w:val="nil"/>
            </w:tcBorders>
            <w:shd w:val="clear" w:color="auto" w:fill="auto"/>
            <w:vAlign w:val="center"/>
          </w:tcPr>
          <w:p w14:paraId="32BA6EF8" w14:textId="77777777" w:rsidR="002F6E52" w:rsidRPr="00DF6807" w:rsidRDefault="002F6E52" w:rsidP="002F6E52">
            <w:pPr>
              <w:rPr>
                <w:sz w:val="20"/>
                <w:szCs w:val="20"/>
              </w:rPr>
            </w:pPr>
          </w:p>
        </w:tc>
      </w:tr>
      <w:tr w:rsidR="002F6E52" w:rsidRPr="00DF6807" w14:paraId="288EF115" w14:textId="77777777" w:rsidTr="003E4C0A">
        <w:trPr>
          <w:trHeight w:val="193"/>
        </w:trPr>
        <w:tc>
          <w:tcPr>
            <w:tcW w:w="4253" w:type="dxa"/>
            <w:tcBorders>
              <w:top w:val="nil"/>
              <w:left w:val="nil"/>
              <w:bottom w:val="nil"/>
              <w:right w:val="nil"/>
            </w:tcBorders>
            <w:shd w:val="clear" w:color="auto" w:fill="auto"/>
            <w:vAlign w:val="center"/>
            <w:hideMark/>
          </w:tcPr>
          <w:p w14:paraId="713C04D0" w14:textId="77777777" w:rsidR="002F6E52" w:rsidRPr="00DF6807" w:rsidRDefault="002F6E52" w:rsidP="002F6E52">
            <w:pPr>
              <w:rPr>
                <w:b/>
                <w:bCs/>
              </w:rPr>
            </w:pPr>
            <w:r w:rsidRPr="00DF6807">
              <w:rPr>
                <w:b/>
                <w:bCs/>
              </w:rPr>
              <w:t>Current liabilities</w:t>
            </w:r>
          </w:p>
        </w:tc>
        <w:tc>
          <w:tcPr>
            <w:tcW w:w="992" w:type="dxa"/>
            <w:tcBorders>
              <w:top w:val="nil"/>
              <w:left w:val="nil"/>
              <w:bottom w:val="nil"/>
              <w:right w:val="nil"/>
            </w:tcBorders>
            <w:shd w:val="clear" w:color="auto" w:fill="auto"/>
            <w:vAlign w:val="center"/>
            <w:hideMark/>
          </w:tcPr>
          <w:p w14:paraId="2691A1CA" w14:textId="77777777" w:rsidR="002F6E52" w:rsidRPr="00DF6807" w:rsidRDefault="002F6E52" w:rsidP="002F6E52">
            <w:pPr>
              <w:rPr>
                <w:b/>
                <w:bCs/>
              </w:rPr>
            </w:pPr>
          </w:p>
        </w:tc>
        <w:tc>
          <w:tcPr>
            <w:tcW w:w="1701" w:type="dxa"/>
            <w:tcBorders>
              <w:top w:val="nil"/>
              <w:left w:val="nil"/>
              <w:bottom w:val="nil"/>
              <w:right w:val="nil"/>
            </w:tcBorders>
            <w:vAlign w:val="center"/>
          </w:tcPr>
          <w:p w14:paraId="3BF89089" w14:textId="77777777" w:rsidR="002F6E52" w:rsidRPr="00DF6807" w:rsidRDefault="002F6E52" w:rsidP="002F6E52">
            <w:pPr>
              <w:jc w:val="center"/>
              <w:rPr>
                <w:sz w:val="20"/>
                <w:szCs w:val="20"/>
              </w:rPr>
            </w:pPr>
          </w:p>
        </w:tc>
        <w:tc>
          <w:tcPr>
            <w:tcW w:w="2552" w:type="dxa"/>
            <w:tcBorders>
              <w:top w:val="nil"/>
              <w:left w:val="nil"/>
              <w:bottom w:val="nil"/>
              <w:right w:val="nil"/>
            </w:tcBorders>
            <w:shd w:val="clear" w:color="auto" w:fill="auto"/>
            <w:vAlign w:val="center"/>
          </w:tcPr>
          <w:p w14:paraId="6FFBC3AF" w14:textId="77777777" w:rsidR="002F6E52" w:rsidRPr="00DF6807" w:rsidRDefault="002F6E52" w:rsidP="002F6E52">
            <w:pPr>
              <w:rPr>
                <w:sz w:val="20"/>
                <w:szCs w:val="20"/>
              </w:rPr>
            </w:pPr>
          </w:p>
        </w:tc>
      </w:tr>
      <w:tr w:rsidR="002F6E52" w:rsidRPr="00DF6807" w14:paraId="39CD443C" w14:textId="77777777" w:rsidTr="003E4C0A">
        <w:trPr>
          <w:trHeight w:val="324"/>
        </w:trPr>
        <w:tc>
          <w:tcPr>
            <w:tcW w:w="4253" w:type="dxa"/>
            <w:tcBorders>
              <w:top w:val="nil"/>
              <w:left w:val="nil"/>
              <w:right w:val="nil"/>
            </w:tcBorders>
            <w:shd w:val="clear" w:color="auto" w:fill="auto"/>
            <w:vAlign w:val="center"/>
            <w:hideMark/>
          </w:tcPr>
          <w:p w14:paraId="0EC38AAC" w14:textId="77777777" w:rsidR="002F6E52" w:rsidRPr="00DF6807" w:rsidRDefault="002F6E52" w:rsidP="002F6E52">
            <w:r w:rsidRPr="00DF6807">
              <w:lastRenderedPageBreak/>
              <w:t>Trade and other payables</w:t>
            </w:r>
          </w:p>
        </w:tc>
        <w:tc>
          <w:tcPr>
            <w:tcW w:w="992" w:type="dxa"/>
            <w:tcBorders>
              <w:top w:val="nil"/>
              <w:left w:val="nil"/>
              <w:right w:val="nil"/>
            </w:tcBorders>
            <w:shd w:val="clear" w:color="auto" w:fill="auto"/>
            <w:vAlign w:val="center"/>
            <w:hideMark/>
          </w:tcPr>
          <w:p w14:paraId="7EABAC5E" w14:textId="77777777" w:rsidR="002F6E52" w:rsidRPr="00536A7E" w:rsidRDefault="002F6E52" w:rsidP="002F6E52">
            <w:pPr>
              <w:jc w:val="center"/>
            </w:pPr>
            <w:r w:rsidRPr="00536A7E">
              <w:t>8</w:t>
            </w:r>
          </w:p>
        </w:tc>
        <w:tc>
          <w:tcPr>
            <w:tcW w:w="1701" w:type="dxa"/>
            <w:tcBorders>
              <w:top w:val="nil"/>
              <w:left w:val="nil"/>
              <w:right w:val="nil"/>
            </w:tcBorders>
          </w:tcPr>
          <w:p w14:paraId="1B0081B8" w14:textId="24B40E9C" w:rsidR="002F6E52" w:rsidRPr="00DF6807" w:rsidRDefault="002F6E52" w:rsidP="002F6E52">
            <w:pPr>
              <w:jc w:val="right"/>
            </w:pPr>
            <w:r w:rsidRPr="00B520C6">
              <w:t xml:space="preserve"> </w:t>
            </w:r>
            <w:r>
              <w:t>506</w:t>
            </w:r>
            <w:r w:rsidRPr="00B520C6">
              <w:t xml:space="preserve"> </w:t>
            </w:r>
          </w:p>
        </w:tc>
        <w:tc>
          <w:tcPr>
            <w:tcW w:w="2552" w:type="dxa"/>
            <w:tcBorders>
              <w:top w:val="nil"/>
              <w:left w:val="nil"/>
              <w:right w:val="nil"/>
            </w:tcBorders>
            <w:shd w:val="clear" w:color="auto" w:fill="auto"/>
            <w:vAlign w:val="center"/>
          </w:tcPr>
          <w:p w14:paraId="476CF3AE" w14:textId="77777777" w:rsidR="002F6E52" w:rsidRPr="00DF6807" w:rsidRDefault="002F6E52" w:rsidP="002F6E52">
            <w:pPr>
              <w:jc w:val="right"/>
            </w:pPr>
            <w:r>
              <w:t>1,526</w:t>
            </w:r>
          </w:p>
        </w:tc>
      </w:tr>
      <w:tr w:rsidR="002F6E52" w:rsidRPr="00DF6807" w14:paraId="4B6ACEE1" w14:textId="77777777" w:rsidTr="00745EF0">
        <w:trPr>
          <w:trHeight w:val="324"/>
        </w:trPr>
        <w:tc>
          <w:tcPr>
            <w:tcW w:w="4253" w:type="dxa"/>
            <w:tcBorders>
              <w:top w:val="nil"/>
              <w:left w:val="nil"/>
              <w:right w:val="nil"/>
            </w:tcBorders>
            <w:shd w:val="clear" w:color="auto" w:fill="auto"/>
            <w:vAlign w:val="center"/>
            <w:hideMark/>
          </w:tcPr>
          <w:p w14:paraId="12BF8C77" w14:textId="77777777" w:rsidR="002F6E52" w:rsidRPr="00DF6807" w:rsidRDefault="002F6E52" w:rsidP="002F6E52">
            <w:r w:rsidRPr="00DF6807">
              <w:t>Deferred revenue</w:t>
            </w:r>
          </w:p>
        </w:tc>
        <w:tc>
          <w:tcPr>
            <w:tcW w:w="992" w:type="dxa"/>
            <w:tcBorders>
              <w:top w:val="nil"/>
              <w:left w:val="nil"/>
              <w:right w:val="nil"/>
            </w:tcBorders>
            <w:shd w:val="clear" w:color="auto" w:fill="auto"/>
            <w:vAlign w:val="center"/>
            <w:hideMark/>
          </w:tcPr>
          <w:p w14:paraId="597C5C76" w14:textId="77777777" w:rsidR="002F6E52" w:rsidRPr="00DF6807" w:rsidRDefault="002F6E52" w:rsidP="002F6E52">
            <w:pPr>
              <w:jc w:val="center"/>
              <w:rPr>
                <w:b/>
                <w:bCs/>
              </w:rPr>
            </w:pPr>
            <w:r w:rsidRPr="00DF6807">
              <w:rPr>
                <w:b/>
                <w:bCs/>
              </w:rPr>
              <w:t> </w:t>
            </w:r>
          </w:p>
        </w:tc>
        <w:tc>
          <w:tcPr>
            <w:tcW w:w="1701" w:type="dxa"/>
            <w:tcBorders>
              <w:top w:val="nil"/>
              <w:left w:val="nil"/>
              <w:right w:val="nil"/>
            </w:tcBorders>
          </w:tcPr>
          <w:p w14:paraId="12F413A8" w14:textId="0827B3F3" w:rsidR="002F6E52" w:rsidRPr="00DF6807" w:rsidRDefault="002F6E52" w:rsidP="002F6E52">
            <w:pPr>
              <w:jc w:val="right"/>
            </w:pPr>
            <w:r w:rsidRPr="00B520C6">
              <w:t xml:space="preserve"> -   </w:t>
            </w:r>
          </w:p>
        </w:tc>
        <w:tc>
          <w:tcPr>
            <w:tcW w:w="2552" w:type="dxa"/>
            <w:tcBorders>
              <w:top w:val="nil"/>
              <w:left w:val="nil"/>
              <w:right w:val="nil"/>
            </w:tcBorders>
            <w:shd w:val="clear" w:color="auto" w:fill="auto"/>
            <w:vAlign w:val="center"/>
          </w:tcPr>
          <w:p w14:paraId="56AD24D4" w14:textId="77777777" w:rsidR="002F6E52" w:rsidRPr="00DF6807" w:rsidRDefault="002F6E52" w:rsidP="002F6E52">
            <w:pPr>
              <w:jc w:val="right"/>
            </w:pPr>
            <w:r>
              <w:t>707</w:t>
            </w:r>
          </w:p>
        </w:tc>
      </w:tr>
      <w:tr w:rsidR="002F6E52" w:rsidRPr="00DF6807" w14:paraId="7AA82965" w14:textId="77777777" w:rsidTr="00745EF0">
        <w:trPr>
          <w:trHeight w:val="324"/>
        </w:trPr>
        <w:tc>
          <w:tcPr>
            <w:tcW w:w="4253" w:type="dxa"/>
            <w:tcBorders>
              <w:left w:val="nil"/>
              <w:right w:val="nil"/>
            </w:tcBorders>
            <w:shd w:val="clear" w:color="auto" w:fill="auto"/>
            <w:vAlign w:val="center"/>
          </w:tcPr>
          <w:p w14:paraId="5B8F5CDC" w14:textId="77777777" w:rsidR="002F6E52" w:rsidRPr="00DF6807" w:rsidRDefault="002F6E52" w:rsidP="002F6E52">
            <w:r>
              <w:t>Lease liability</w:t>
            </w:r>
          </w:p>
        </w:tc>
        <w:tc>
          <w:tcPr>
            <w:tcW w:w="992" w:type="dxa"/>
            <w:tcBorders>
              <w:left w:val="nil"/>
              <w:right w:val="nil"/>
            </w:tcBorders>
            <w:shd w:val="clear" w:color="auto" w:fill="auto"/>
            <w:vAlign w:val="center"/>
          </w:tcPr>
          <w:p w14:paraId="25EA5CEF" w14:textId="77777777" w:rsidR="002F6E52" w:rsidRPr="00DF6807" w:rsidRDefault="002F6E52" w:rsidP="002F6E52">
            <w:pPr>
              <w:jc w:val="center"/>
              <w:rPr>
                <w:b/>
                <w:bCs/>
              </w:rPr>
            </w:pPr>
          </w:p>
        </w:tc>
        <w:tc>
          <w:tcPr>
            <w:tcW w:w="1701" w:type="dxa"/>
            <w:tcBorders>
              <w:left w:val="nil"/>
              <w:right w:val="nil"/>
            </w:tcBorders>
          </w:tcPr>
          <w:p w14:paraId="2AFBFDB7" w14:textId="08BEBC01" w:rsidR="002F6E52" w:rsidRPr="00DF6807" w:rsidRDefault="002F6E52" w:rsidP="002F6E52">
            <w:pPr>
              <w:jc w:val="right"/>
            </w:pPr>
            <w:r w:rsidRPr="00B520C6">
              <w:t xml:space="preserve"> -   </w:t>
            </w:r>
          </w:p>
        </w:tc>
        <w:tc>
          <w:tcPr>
            <w:tcW w:w="2552" w:type="dxa"/>
            <w:tcBorders>
              <w:left w:val="nil"/>
              <w:right w:val="nil"/>
            </w:tcBorders>
            <w:shd w:val="clear" w:color="auto" w:fill="auto"/>
            <w:vAlign w:val="center"/>
          </w:tcPr>
          <w:p w14:paraId="7BBC1CC2" w14:textId="77777777" w:rsidR="002F6E52" w:rsidRPr="00DF6807" w:rsidRDefault="002F6E52" w:rsidP="002F6E52">
            <w:pPr>
              <w:jc w:val="right"/>
            </w:pPr>
            <w:r>
              <w:t>421</w:t>
            </w:r>
          </w:p>
        </w:tc>
      </w:tr>
      <w:tr w:rsidR="002F6E52" w:rsidRPr="00DF6807" w14:paraId="312D37AE" w14:textId="77777777" w:rsidTr="00745EF0">
        <w:trPr>
          <w:trHeight w:val="324"/>
        </w:trPr>
        <w:tc>
          <w:tcPr>
            <w:tcW w:w="4253" w:type="dxa"/>
            <w:tcBorders>
              <w:left w:val="nil"/>
              <w:bottom w:val="single" w:sz="8" w:space="0" w:color="auto"/>
              <w:right w:val="nil"/>
            </w:tcBorders>
            <w:shd w:val="clear" w:color="auto" w:fill="auto"/>
            <w:vAlign w:val="center"/>
          </w:tcPr>
          <w:p w14:paraId="3269A674" w14:textId="6C84E896" w:rsidR="002F6E52" w:rsidRDefault="002F6E52" w:rsidP="002F6E52">
            <w:r w:rsidRPr="00745EF0">
              <w:t>Corporation tax payable</w:t>
            </w:r>
          </w:p>
        </w:tc>
        <w:tc>
          <w:tcPr>
            <w:tcW w:w="992" w:type="dxa"/>
            <w:tcBorders>
              <w:left w:val="nil"/>
              <w:bottom w:val="single" w:sz="8" w:space="0" w:color="auto"/>
              <w:right w:val="nil"/>
            </w:tcBorders>
            <w:shd w:val="clear" w:color="auto" w:fill="auto"/>
            <w:vAlign w:val="center"/>
          </w:tcPr>
          <w:p w14:paraId="1A23790C" w14:textId="77777777" w:rsidR="002F6E52" w:rsidRPr="00DF6807" w:rsidRDefault="002F6E52" w:rsidP="002F6E52">
            <w:pPr>
              <w:jc w:val="center"/>
              <w:rPr>
                <w:b/>
                <w:bCs/>
              </w:rPr>
            </w:pPr>
          </w:p>
        </w:tc>
        <w:tc>
          <w:tcPr>
            <w:tcW w:w="1701" w:type="dxa"/>
            <w:tcBorders>
              <w:left w:val="nil"/>
              <w:bottom w:val="single" w:sz="8" w:space="0" w:color="auto"/>
              <w:right w:val="nil"/>
            </w:tcBorders>
          </w:tcPr>
          <w:p w14:paraId="5DE79115" w14:textId="4C58DB39" w:rsidR="002F6E52" w:rsidRPr="00B520C6" w:rsidRDefault="002F6E52" w:rsidP="002F6E52">
            <w:pPr>
              <w:jc w:val="right"/>
            </w:pPr>
            <w:r w:rsidRPr="00A1177F">
              <w:t xml:space="preserve"> 235 </w:t>
            </w:r>
          </w:p>
        </w:tc>
        <w:tc>
          <w:tcPr>
            <w:tcW w:w="2552" w:type="dxa"/>
            <w:tcBorders>
              <w:left w:val="nil"/>
              <w:bottom w:val="single" w:sz="8" w:space="0" w:color="auto"/>
              <w:right w:val="nil"/>
            </w:tcBorders>
            <w:shd w:val="clear" w:color="auto" w:fill="auto"/>
            <w:vAlign w:val="center"/>
          </w:tcPr>
          <w:p w14:paraId="17B5B6A9" w14:textId="426BB48E" w:rsidR="002F6E52" w:rsidRDefault="002F6E52" w:rsidP="002F6E52">
            <w:pPr>
              <w:jc w:val="right"/>
            </w:pPr>
            <w:r>
              <w:t>-</w:t>
            </w:r>
          </w:p>
        </w:tc>
      </w:tr>
      <w:tr w:rsidR="002F6E52" w:rsidRPr="00DF6807" w14:paraId="559675A5" w14:textId="77777777" w:rsidTr="003E4C0A">
        <w:trPr>
          <w:trHeight w:val="324"/>
        </w:trPr>
        <w:tc>
          <w:tcPr>
            <w:tcW w:w="4253" w:type="dxa"/>
            <w:tcBorders>
              <w:top w:val="nil"/>
              <w:left w:val="nil"/>
              <w:bottom w:val="single" w:sz="12" w:space="0" w:color="000000"/>
              <w:right w:val="nil"/>
            </w:tcBorders>
            <w:shd w:val="clear" w:color="auto" w:fill="auto"/>
            <w:vAlign w:val="center"/>
            <w:hideMark/>
          </w:tcPr>
          <w:p w14:paraId="20490FB0" w14:textId="77777777" w:rsidR="002F6E52" w:rsidRPr="00DF6807" w:rsidRDefault="002F6E52" w:rsidP="002F6E52">
            <w:pPr>
              <w:rPr>
                <w:b/>
                <w:bCs/>
              </w:rPr>
            </w:pPr>
            <w:r w:rsidRPr="00DF6807">
              <w:rPr>
                <w:b/>
                <w:bCs/>
              </w:rPr>
              <w:t>Total current liabilities</w:t>
            </w:r>
          </w:p>
        </w:tc>
        <w:tc>
          <w:tcPr>
            <w:tcW w:w="992" w:type="dxa"/>
            <w:tcBorders>
              <w:top w:val="nil"/>
              <w:left w:val="nil"/>
              <w:bottom w:val="single" w:sz="12" w:space="0" w:color="000000"/>
              <w:right w:val="nil"/>
            </w:tcBorders>
            <w:shd w:val="clear" w:color="auto" w:fill="auto"/>
            <w:vAlign w:val="center"/>
            <w:hideMark/>
          </w:tcPr>
          <w:p w14:paraId="2DEBA07D" w14:textId="77777777" w:rsidR="002F6E52" w:rsidRPr="00DF6807" w:rsidRDefault="002F6E52" w:rsidP="002F6E52">
            <w:pPr>
              <w:jc w:val="center"/>
            </w:pPr>
            <w:r w:rsidRPr="00DF6807">
              <w:t> </w:t>
            </w:r>
          </w:p>
        </w:tc>
        <w:tc>
          <w:tcPr>
            <w:tcW w:w="1701" w:type="dxa"/>
            <w:tcBorders>
              <w:top w:val="nil"/>
              <w:left w:val="nil"/>
              <w:bottom w:val="single" w:sz="12" w:space="0" w:color="000000"/>
              <w:right w:val="nil"/>
            </w:tcBorders>
          </w:tcPr>
          <w:p w14:paraId="4378B52D" w14:textId="0DEA6247" w:rsidR="002F6E52" w:rsidRPr="00745EF0" w:rsidRDefault="002F6E52" w:rsidP="002F6E52">
            <w:pPr>
              <w:jc w:val="right"/>
              <w:rPr>
                <w:b/>
                <w:bCs/>
              </w:rPr>
            </w:pPr>
            <w:r w:rsidRPr="00745EF0">
              <w:rPr>
                <w:b/>
                <w:bCs/>
              </w:rPr>
              <w:t xml:space="preserve"> </w:t>
            </w:r>
            <w:r>
              <w:rPr>
                <w:b/>
                <w:bCs/>
              </w:rPr>
              <w:t>7</w:t>
            </w:r>
            <w:r w:rsidRPr="00745EF0">
              <w:rPr>
                <w:b/>
                <w:bCs/>
              </w:rPr>
              <w:t>4</w:t>
            </w:r>
            <w:r>
              <w:rPr>
                <w:b/>
                <w:bCs/>
              </w:rPr>
              <w:t>1</w:t>
            </w:r>
            <w:r w:rsidRPr="00745EF0">
              <w:rPr>
                <w:b/>
                <w:bCs/>
              </w:rPr>
              <w:t xml:space="preserve"> </w:t>
            </w:r>
          </w:p>
        </w:tc>
        <w:tc>
          <w:tcPr>
            <w:tcW w:w="2552" w:type="dxa"/>
            <w:tcBorders>
              <w:top w:val="nil"/>
              <w:left w:val="nil"/>
              <w:bottom w:val="single" w:sz="12" w:space="0" w:color="000000"/>
              <w:right w:val="nil"/>
            </w:tcBorders>
            <w:shd w:val="clear" w:color="auto" w:fill="auto"/>
            <w:vAlign w:val="center"/>
          </w:tcPr>
          <w:p w14:paraId="79E4B23B" w14:textId="77777777" w:rsidR="002F6E52" w:rsidRPr="00DF6807" w:rsidRDefault="002F6E52" w:rsidP="002F6E52">
            <w:pPr>
              <w:jc w:val="right"/>
              <w:rPr>
                <w:b/>
                <w:bCs/>
              </w:rPr>
            </w:pPr>
            <w:r>
              <w:rPr>
                <w:b/>
                <w:bCs/>
              </w:rPr>
              <w:t>2,654</w:t>
            </w:r>
          </w:p>
        </w:tc>
      </w:tr>
      <w:tr w:rsidR="002F6E52" w:rsidRPr="00DF6807" w14:paraId="69F74B5B" w14:textId="77777777" w:rsidTr="003E4C0A">
        <w:trPr>
          <w:trHeight w:val="299"/>
        </w:trPr>
        <w:tc>
          <w:tcPr>
            <w:tcW w:w="4253" w:type="dxa"/>
            <w:tcBorders>
              <w:top w:val="nil"/>
              <w:left w:val="nil"/>
              <w:bottom w:val="single" w:sz="12" w:space="0" w:color="000000"/>
              <w:right w:val="nil"/>
            </w:tcBorders>
            <w:shd w:val="clear" w:color="auto" w:fill="auto"/>
            <w:vAlign w:val="center"/>
            <w:hideMark/>
          </w:tcPr>
          <w:p w14:paraId="082C30A8" w14:textId="77777777" w:rsidR="002F6E52" w:rsidRPr="00DF6807" w:rsidRDefault="002F6E52" w:rsidP="002F6E52">
            <w:pPr>
              <w:rPr>
                <w:b/>
                <w:bCs/>
              </w:rPr>
            </w:pPr>
            <w:r w:rsidRPr="00DF6807">
              <w:rPr>
                <w:b/>
                <w:bCs/>
              </w:rPr>
              <w:t>Total liabilities</w:t>
            </w:r>
          </w:p>
        </w:tc>
        <w:tc>
          <w:tcPr>
            <w:tcW w:w="992" w:type="dxa"/>
            <w:tcBorders>
              <w:top w:val="nil"/>
              <w:left w:val="nil"/>
              <w:bottom w:val="single" w:sz="12" w:space="0" w:color="000000"/>
              <w:right w:val="nil"/>
            </w:tcBorders>
            <w:shd w:val="clear" w:color="auto" w:fill="auto"/>
            <w:vAlign w:val="center"/>
            <w:hideMark/>
          </w:tcPr>
          <w:p w14:paraId="22535E39" w14:textId="77777777" w:rsidR="002F6E52" w:rsidRPr="00DF6807" w:rsidRDefault="002F6E52" w:rsidP="002F6E52">
            <w:pPr>
              <w:jc w:val="center"/>
            </w:pPr>
            <w:r w:rsidRPr="00DF6807">
              <w:t> </w:t>
            </w:r>
          </w:p>
        </w:tc>
        <w:tc>
          <w:tcPr>
            <w:tcW w:w="1701" w:type="dxa"/>
            <w:tcBorders>
              <w:top w:val="nil"/>
              <w:left w:val="nil"/>
              <w:bottom w:val="single" w:sz="12" w:space="0" w:color="000000"/>
              <w:right w:val="nil"/>
            </w:tcBorders>
            <w:vAlign w:val="center"/>
          </w:tcPr>
          <w:p w14:paraId="7352653B" w14:textId="0035A639" w:rsidR="002F6E52" w:rsidRPr="00DF6807" w:rsidRDefault="002F6E52" w:rsidP="002F6E52">
            <w:pPr>
              <w:jc w:val="right"/>
              <w:rPr>
                <w:b/>
                <w:bCs/>
              </w:rPr>
            </w:pPr>
            <w:r>
              <w:rPr>
                <w:b/>
                <w:bCs/>
              </w:rPr>
              <w:t>741</w:t>
            </w:r>
          </w:p>
        </w:tc>
        <w:tc>
          <w:tcPr>
            <w:tcW w:w="2552" w:type="dxa"/>
            <w:tcBorders>
              <w:top w:val="nil"/>
              <w:left w:val="nil"/>
              <w:bottom w:val="single" w:sz="12" w:space="0" w:color="000000"/>
              <w:right w:val="nil"/>
            </w:tcBorders>
            <w:shd w:val="clear" w:color="auto" w:fill="auto"/>
            <w:vAlign w:val="center"/>
          </w:tcPr>
          <w:p w14:paraId="6766B33E" w14:textId="77777777" w:rsidR="002F6E52" w:rsidRPr="00DF6807" w:rsidRDefault="002F6E52" w:rsidP="002F6E52">
            <w:pPr>
              <w:jc w:val="right"/>
              <w:rPr>
                <w:b/>
                <w:bCs/>
              </w:rPr>
            </w:pPr>
            <w:r>
              <w:rPr>
                <w:b/>
                <w:bCs/>
              </w:rPr>
              <w:t>5,781</w:t>
            </w:r>
          </w:p>
        </w:tc>
      </w:tr>
      <w:tr w:rsidR="002F6E52" w:rsidRPr="00DF6807" w14:paraId="471F565B" w14:textId="77777777" w:rsidTr="003E4C0A">
        <w:trPr>
          <w:trHeight w:val="204"/>
        </w:trPr>
        <w:tc>
          <w:tcPr>
            <w:tcW w:w="4253" w:type="dxa"/>
            <w:tcBorders>
              <w:top w:val="nil"/>
              <w:left w:val="nil"/>
              <w:bottom w:val="single" w:sz="12" w:space="0" w:color="000000"/>
              <w:right w:val="nil"/>
            </w:tcBorders>
            <w:shd w:val="clear" w:color="auto" w:fill="auto"/>
            <w:vAlign w:val="center"/>
            <w:hideMark/>
          </w:tcPr>
          <w:p w14:paraId="4F12C93C" w14:textId="77777777" w:rsidR="002F6E52" w:rsidRPr="00DF6807" w:rsidRDefault="002F6E52" w:rsidP="002F6E52">
            <w:r w:rsidRPr="00DF6807">
              <w:t> </w:t>
            </w:r>
          </w:p>
        </w:tc>
        <w:tc>
          <w:tcPr>
            <w:tcW w:w="992" w:type="dxa"/>
            <w:tcBorders>
              <w:top w:val="nil"/>
              <w:left w:val="nil"/>
              <w:bottom w:val="single" w:sz="12" w:space="0" w:color="000000"/>
              <w:right w:val="nil"/>
            </w:tcBorders>
            <w:shd w:val="clear" w:color="auto" w:fill="auto"/>
            <w:vAlign w:val="center"/>
            <w:hideMark/>
          </w:tcPr>
          <w:p w14:paraId="1EBEE135" w14:textId="77777777" w:rsidR="002F6E52" w:rsidRPr="00DF6807" w:rsidRDefault="002F6E52" w:rsidP="002F6E52">
            <w:pPr>
              <w:jc w:val="center"/>
            </w:pPr>
            <w:r w:rsidRPr="00DF6807">
              <w:t> </w:t>
            </w:r>
          </w:p>
        </w:tc>
        <w:tc>
          <w:tcPr>
            <w:tcW w:w="1701" w:type="dxa"/>
            <w:tcBorders>
              <w:top w:val="nil"/>
              <w:left w:val="nil"/>
              <w:bottom w:val="single" w:sz="12" w:space="0" w:color="000000"/>
              <w:right w:val="nil"/>
            </w:tcBorders>
            <w:vAlign w:val="center"/>
          </w:tcPr>
          <w:p w14:paraId="1BD28300" w14:textId="77777777" w:rsidR="002F6E52" w:rsidRPr="00DF6807" w:rsidRDefault="002F6E52" w:rsidP="002F6E52"/>
        </w:tc>
        <w:tc>
          <w:tcPr>
            <w:tcW w:w="2552" w:type="dxa"/>
            <w:tcBorders>
              <w:top w:val="nil"/>
              <w:left w:val="nil"/>
              <w:bottom w:val="single" w:sz="12" w:space="0" w:color="000000"/>
              <w:right w:val="nil"/>
            </w:tcBorders>
            <w:shd w:val="clear" w:color="auto" w:fill="auto"/>
            <w:vAlign w:val="center"/>
          </w:tcPr>
          <w:p w14:paraId="53CEFF27" w14:textId="77777777" w:rsidR="002F6E52" w:rsidRPr="00DF6807" w:rsidRDefault="002F6E52" w:rsidP="002F6E52"/>
        </w:tc>
      </w:tr>
      <w:tr w:rsidR="002F6E52" w:rsidRPr="00DF6807" w14:paraId="7C737838" w14:textId="77777777" w:rsidTr="003E4C0A">
        <w:trPr>
          <w:trHeight w:val="324"/>
        </w:trPr>
        <w:tc>
          <w:tcPr>
            <w:tcW w:w="4253" w:type="dxa"/>
            <w:tcBorders>
              <w:top w:val="nil"/>
              <w:left w:val="nil"/>
              <w:bottom w:val="single" w:sz="12" w:space="0" w:color="000000"/>
              <w:right w:val="nil"/>
            </w:tcBorders>
            <w:shd w:val="clear" w:color="auto" w:fill="auto"/>
            <w:vAlign w:val="center"/>
            <w:hideMark/>
          </w:tcPr>
          <w:p w14:paraId="1840BD13" w14:textId="77777777" w:rsidR="002F6E52" w:rsidRPr="00DF6807" w:rsidRDefault="002F6E52" w:rsidP="002F6E52">
            <w:pPr>
              <w:rPr>
                <w:b/>
                <w:bCs/>
              </w:rPr>
            </w:pPr>
            <w:r w:rsidRPr="00DF6807">
              <w:rPr>
                <w:b/>
                <w:bCs/>
              </w:rPr>
              <w:t>Total equity and liabilities</w:t>
            </w:r>
          </w:p>
        </w:tc>
        <w:tc>
          <w:tcPr>
            <w:tcW w:w="992" w:type="dxa"/>
            <w:tcBorders>
              <w:top w:val="nil"/>
              <w:left w:val="nil"/>
              <w:bottom w:val="single" w:sz="12" w:space="0" w:color="000000"/>
              <w:right w:val="nil"/>
            </w:tcBorders>
            <w:shd w:val="clear" w:color="auto" w:fill="auto"/>
            <w:vAlign w:val="center"/>
            <w:hideMark/>
          </w:tcPr>
          <w:p w14:paraId="06A2377B" w14:textId="77777777" w:rsidR="002F6E52" w:rsidRPr="00DF6807" w:rsidRDefault="002F6E52" w:rsidP="002F6E52">
            <w:pPr>
              <w:jc w:val="center"/>
            </w:pPr>
            <w:r w:rsidRPr="00DF6807">
              <w:t> </w:t>
            </w:r>
          </w:p>
        </w:tc>
        <w:tc>
          <w:tcPr>
            <w:tcW w:w="1701" w:type="dxa"/>
            <w:tcBorders>
              <w:top w:val="nil"/>
              <w:left w:val="nil"/>
              <w:bottom w:val="single" w:sz="12" w:space="0" w:color="000000"/>
              <w:right w:val="nil"/>
            </w:tcBorders>
            <w:vAlign w:val="center"/>
          </w:tcPr>
          <w:p w14:paraId="1837184B" w14:textId="39423206" w:rsidR="002F6E52" w:rsidRPr="00DF6807" w:rsidRDefault="002F6E52" w:rsidP="002F6E52">
            <w:pPr>
              <w:jc w:val="right"/>
              <w:rPr>
                <w:b/>
                <w:bCs/>
              </w:rPr>
            </w:pPr>
            <w:r>
              <w:rPr>
                <w:b/>
                <w:bCs/>
              </w:rPr>
              <w:t>121</w:t>
            </w:r>
          </w:p>
        </w:tc>
        <w:tc>
          <w:tcPr>
            <w:tcW w:w="2552" w:type="dxa"/>
            <w:tcBorders>
              <w:top w:val="nil"/>
              <w:left w:val="nil"/>
              <w:bottom w:val="single" w:sz="12" w:space="0" w:color="000000"/>
              <w:right w:val="nil"/>
            </w:tcBorders>
            <w:shd w:val="clear" w:color="auto" w:fill="auto"/>
            <w:vAlign w:val="center"/>
          </w:tcPr>
          <w:p w14:paraId="1857D42D" w14:textId="2ABF9E0F" w:rsidR="002F6E52" w:rsidRPr="00DF6807" w:rsidRDefault="002F6E52" w:rsidP="002F6E52">
            <w:pPr>
              <w:jc w:val="right"/>
              <w:rPr>
                <w:b/>
                <w:bCs/>
              </w:rPr>
            </w:pPr>
            <w:r>
              <w:rPr>
                <w:b/>
                <w:bCs/>
              </w:rPr>
              <w:t>5,550</w:t>
            </w:r>
          </w:p>
        </w:tc>
      </w:tr>
    </w:tbl>
    <w:p w14:paraId="0F816B19" w14:textId="77777777" w:rsidR="00D55CC7" w:rsidRDefault="00D55CC7" w:rsidP="0024507F">
      <w:pPr>
        <w:rPr>
          <w:b/>
          <w:bCs/>
        </w:rPr>
      </w:pPr>
    </w:p>
    <w:p w14:paraId="70ABF536" w14:textId="6DB51060" w:rsidR="00D55CC7" w:rsidRDefault="00D55CC7">
      <w:pPr>
        <w:rPr>
          <w:b/>
          <w:bCs/>
        </w:rPr>
      </w:pPr>
    </w:p>
    <w:p w14:paraId="14AF9D2D" w14:textId="77777777" w:rsidR="00970A04" w:rsidRDefault="00970A04">
      <w:pPr>
        <w:rPr>
          <w:b/>
          <w:bCs/>
        </w:rPr>
      </w:pPr>
    </w:p>
    <w:p w14:paraId="5F9396DE" w14:textId="77777777" w:rsidR="00970A04" w:rsidRDefault="00970A04">
      <w:pPr>
        <w:rPr>
          <w:b/>
          <w:bCs/>
        </w:rPr>
      </w:pPr>
    </w:p>
    <w:p w14:paraId="0993ADBB" w14:textId="79AE5E9C" w:rsidR="00344FC2" w:rsidRPr="00344FC2" w:rsidRDefault="00344FC2" w:rsidP="0024507F">
      <w:pPr>
        <w:rPr>
          <w:b/>
          <w:bCs/>
        </w:rPr>
      </w:pPr>
      <w:r w:rsidRPr="00344FC2">
        <w:rPr>
          <w:b/>
          <w:bCs/>
        </w:rPr>
        <w:t xml:space="preserve">CONDENSED STATEMENT OF COMPREHENSIVE INCOME </w:t>
      </w:r>
    </w:p>
    <w:p w14:paraId="221B028D" w14:textId="77777777" w:rsidR="00344FC2" w:rsidRDefault="00344FC2" w:rsidP="0024507F">
      <w:pPr>
        <w:rPr>
          <w:b/>
          <w:bCs/>
        </w:rPr>
      </w:pPr>
    </w:p>
    <w:p w14:paraId="326B27C3" w14:textId="4B82B32E" w:rsidR="00344FC2" w:rsidRPr="00745EF0" w:rsidRDefault="00344FC2" w:rsidP="0024507F">
      <w:r w:rsidRPr="00AB2949">
        <w:t xml:space="preserve">The unaudited condensed statement of </w:t>
      </w:r>
      <w:r>
        <w:t xml:space="preserve">comprehensive income </w:t>
      </w:r>
      <w:r w:rsidRPr="00AB2949">
        <w:t xml:space="preserve">of the Company for the </w:t>
      </w:r>
      <w:r>
        <w:t xml:space="preserve">fifteen months </w:t>
      </w:r>
      <w:r w:rsidRPr="00AB2949">
        <w:t>ended 31</w:t>
      </w:r>
      <w:r>
        <w:t xml:space="preserve"> December </w:t>
      </w:r>
      <w:r w:rsidRPr="00AB2949">
        <w:t>202</w:t>
      </w:r>
      <w:r>
        <w:t>4</w:t>
      </w:r>
      <w:r w:rsidRPr="00AB2949">
        <w:t xml:space="preserve"> is set out belo</w:t>
      </w:r>
      <w:r>
        <w:t>w</w:t>
      </w:r>
      <w:r w:rsidR="00745EF0">
        <w:t>.</w:t>
      </w:r>
    </w:p>
    <w:tbl>
      <w:tblPr>
        <w:tblW w:w="10170" w:type="dxa"/>
        <w:tblLook w:val="04A0" w:firstRow="1" w:lastRow="0" w:firstColumn="1" w:lastColumn="0" w:noHBand="0" w:noVBand="1"/>
      </w:tblPr>
      <w:tblGrid>
        <w:gridCol w:w="5899"/>
        <w:gridCol w:w="874"/>
        <w:gridCol w:w="1594"/>
        <w:gridCol w:w="278"/>
        <w:gridCol w:w="1525"/>
      </w:tblGrid>
      <w:tr w:rsidR="00745EF0" w:rsidRPr="00745EF0" w14:paraId="43D3FEF2" w14:textId="77777777" w:rsidTr="002F6E52">
        <w:trPr>
          <w:trHeight w:val="256"/>
        </w:trPr>
        <w:tc>
          <w:tcPr>
            <w:tcW w:w="5899" w:type="dxa"/>
            <w:tcBorders>
              <w:top w:val="nil"/>
              <w:left w:val="nil"/>
              <w:bottom w:val="nil"/>
              <w:right w:val="nil"/>
            </w:tcBorders>
            <w:shd w:val="clear" w:color="auto" w:fill="auto"/>
            <w:noWrap/>
            <w:vAlign w:val="bottom"/>
            <w:hideMark/>
          </w:tcPr>
          <w:p w14:paraId="486E35A0" w14:textId="77777777" w:rsidR="00745EF0" w:rsidRPr="00745EF0" w:rsidRDefault="00745EF0" w:rsidP="00745EF0">
            <w:pPr>
              <w:spacing w:line="240" w:lineRule="auto"/>
              <w:rPr>
                <w:rFonts w:eastAsia="Times New Roman"/>
                <w:sz w:val="24"/>
                <w:szCs w:val="24"/>
                <w:lang w:val="en-US" w:eastAsia="en-US"/>
              </w:rPr>
            </w:pPr>
          </w:p>
        </w:tc>
        <w:tc>
          <w:tcPr>
            <w:tcW w:w="874" w:type="dxa"/>
            <w:tcBorders>
              <w:top w:val="nil"/>
              <w:left w:val="nil"/>
              <w:bottom w:val="nil"/>
              <w:right w:val="nil"/>
            </w:tcBorders>
            <w:shd w:val="clear" w:color="auto" w:fill="auto"/>
            <w:noWrap/>
            <w:vAlign w:val="center"/>
            <w:hideMark/>
          </w:tcPr>
          <w:p w14:paraId="470C24EC" w14:textId="77777777" w:rsidR="00745EF0" w:rsidRPr="00745EF0" w:rsidRDefault="00745EF0" w:rsidP="00745EF0">
            <w:pPr>
              <w:spacing w:line="240" w:lineRule="auto"/>
              <w:rPr>
                <w:rFonts w:eastAsia="Times New Roman"/>
                <w:sz w:val="20"/>
                <w:szCs w:val="20"/>
                <w:lang w:val="en-US" w:eastAsia="en-US"/>
              </w:rPr>
            </w:pPr>
          </w:p>
        </w:tc>
        <w:tc>
          <w:tcPr>
            <w:tcW w:w="1594" w:type="dxa"/>
            <w:tcBorders>
              <w:top w:val="nil"/>
              <w:left w:val="nil"/>
              <w:bottom w:val="nil"/>
              <w:right w:val="nil"/>
            </w:tcBorders>
            <w:shd w:val="clear" w:color="auto" w:fill="auto"/>
            <w:noWrap/>
            <w:vAlign w:val="bottom"/>
            <w:hideMark/>
          </w:tcPr>
          <w:p w14:paraId="085A40F8" w14:textId="77777777" w:rsidR="00745EF0" w:rsidRPr="00745EF0" w:rsidRDefault="00745EF0" w:rsidP="00745EF0">
            <w:pPr>
              <w:spacing w:line="240" w:lineRule="auto"/>
              <w:jc w:val="center"/>
              <w:rPr>
                <w:rFonts w:eastAsia="Times New Roman"/>
                <w:b/>
                <w:bCs/>
                <w:lang w:val="en-US" w:eastAsia="en-US"/>
              </w:rPr>
            </w:pPr>
            <w:r w:rsidRPr="00745EF0">
              <w:rPr>
                <w:rFonts w:eastAsia="Times New Roman"/>
                <w:b/>
                <w:bCs/>
                <w:lang w:val="en-US" w:eastAsia="en-US"/>
              </w:rPr>
              <w:t>Unaudited</w:t>
            </w:r>
          </w:p>
          <w:p w14:paraId="37F15DDB" w14:textId="32372384" w:rsidR="00745EF0" w:rsidRPr="00745EF0" w:rsidRDefault="00745EF0" w:rsidP="00745EF0">
            <w:pPr>
              <w:spacing w:line="240" w:lineRule="auto"/>
              <w:jc w:val="center"/>
              <w:rPr>
                <w:rFonts w:eastAsia="Times New Roman"/>
                <w:b/>
                <w:bCs/>
                <w:lang w:val="en-US" w:eastAsia="en-US"/>
              </w:rPr>
            </w:pPr>
            <w:r w:rsidRPr="00745EF0">
              <w:rPr>
                <w:rFonts w:eastAsia="Times New Roman"/>
                <w:b/>
                <w:bCs/>
                <w:lang w:val="en-US" w:eastAsia="en-US"/>
              </w:rPr>
              <w:t>15 Months ended</w:t>
            </w:r>
          </w:p>
        </w:tc>
        <w:tc>
          <w:tcPr>
            <w:tcW w:w="278" w:type="dxa"/>
            <w:tcBorders>
              <w:top w:val="nil"/>
              <w:left w:val="nil"/>
              <w:bottom w:val="nil"/>
              <w:right w:val="nil"/>
            </w:tcBorders>
            <w:shd w:val="clear" w:color="auto" w:fill="auto"/>
            <w:noWrap/>
            <w:vAlign w:val="center"/>
            <w:hideMark/>
          </w:tcPr>
          <w:p w14:paraId="41AA7885" w14:textId="77777777" w:rsidR="00745EF0" w:rsidRPr="00745EF0" w:rsidRDefault="00745EF0" w:rsidP="00745EF0">
            <w:pPr>
              <w:spacing w:line="240" w:lineRule="auto"/>
              <w:jc w:val="center"/>
              <w:rPr>
                <w:rFonts w:eastAsia="Times New Roman"/>
                <w:b/>
                <w:bCs/>
                <w:lang w:val="en-US" w:eastAsia="en-US"/>
              </w:rPr>
            </w:pPr>
          </w:p>
        </w:tc>
        <w:tc>
          <w:tcPr>
            <w:tcW w:w="1525" w:type="dxa"/>
            <w:tcBorders>
              <w:top w:val="nil"/>
              <w:left w:val="nil"/>
              <w:bottom w:val="nil"/>
              <w:right w:val="nil"/>
            </w:tcBorders>
            <w:shd w:val="clear" w:color="auto" w:fill="auto"/>
            <w:noWrap/>
            <w:vAlign w:val="bottom"/>
            <w:hideMark/>
          </w:tcPr>
          <w:p w14:paraId="1E494D25" w14:textId="77777777" w:rsidR="00E37778" w:rsidRDefault="00E37778" w:rsidP="00745EF0">
            <w:pPr>
              <w:spacing w:line="240" w:lineRule="auto"/>
              <w:jc w:val="center"/>
              <w:rPr>
                <w:rFonts w:eastAsia="Times New Roman"/>
                <w:b/>
                <w:bCs/>
                <w:lang w:val="en-US" w:eastAsia="en-US"/>
              </w:rPr>
            </w:pPr>
            <w:r>
              <w:rPr>
                <w:rFonts w:eastAsia="Times New Roman"/>
                <w:b/>
                <w:bCs/>
                <w:lang w:val="en-US" w:eastAsia="en-US"/>
              </w:rPr>
              <w:t>Audited</w:t>
            </w:r>
          </w:p>
          <w:p w14:paraId="3B80B7FC" w14:textId="77777777" w:rsidR="00E37778" w:rsidRDefault="00E37778" w:rsidP="00745EF0">
            <w:pPr>
              <w:spacing w:line="240" w:lineRule="auto"/>
              <w:jc w:val="center"/>
              <w:rPr>
                <w:rFonts w:eastAsia="Times New Roman"/>
                <w:b/>
                <w:bCs/>
                <w:lang w:val="en-US" w:eastAsia="en-US"/>
              </w:rPr>
            </w:pPr>
            <w:r>
              <w:rPr>
                <w:rFonts w:eastAsia="Times New Roman"/>
                <w:b/>
                <w:bCs/>
                <w:lang w:val="en-US" w:eastAsia="en-US"/>
              </w:rPr>
              <w:t>y</w:t>
            </w:r>
            <w:r w:rsidR="00745EF0" w:rsidRPr="00745EF0">
              <w:rPr>
                <w:rFonts w:eastAsia="Times New Roman"/>
                <w:b/>
                <w:bCs/>
                <w:lang w:val="en-US" w:eastAsia="en-US"/>
              </w:rPr>
              <w:t xml:space="preserve">ear </w:t>
            </w:r>
          </w:p>
          <w:p w14:paraId="43DE579D" w14:textId="1B0C21FD" w:rsidR="00745EF0" w:rsidRPr="00745EF0" w:rsidRDefault="00745EF0" w:rsidP="00745EF0">
            <w:pPr>
              <w:spacing w:line="240" w:lineRule="auto"/>
              <w:jc w:val="center"/>
              <w:rPr>
                <w:rFonts w:eastAsia="Times New Roman"/>
                <w:b/>
                <w:bCs/>
                <w:lang w:val="en-US" w:eastAsia="en-US"/>
              </w:rPr>
            </w:pPr>
            <w:r w:rsidRPr="00745EF0">
              <w:rPr>
                <w:rFonts w:eastAsia="Times New Roman"/>
                <w:b/>
                <w:bCs/>
                <w:lang w:val="en-US" w:eastAsia="en-US"/>
              </w:rPr>
              <w:t xml:space="preserve">ended </w:t>
            </w:r>
          </w:p>
        </w:tc>
      </w:tr>
      <w:tr w:rsidR="00745EF0" w:rsidRPr="00745EF0" w14:paraId="19DF6775" w14:textId="77777777" w:rsidTr="002F6E52">
        <w:trPr>
          <w:trHeight w:val="256"/>
        </w:trPr>
        <w:tc>
          <w:tcPr>
            <w:tcW w:w="5899" w:type="dxa"/>
            <w:tcBorders>
              <w:top w:val="nil"/>
              <w:left w:val="nil"/>
              <w:bottom w:val="nil"/>
              <w:right w:val="nil"/>
            </w:tcBorders>
            <w:shd w:val="clear" w:color="auto" w:fill="auto"/>
            <w:noWrap/>
            <w:vAlign w:val="bottom"/>
            <w:hideMark/>
          </w:tcPr>
          <w:p w14:paraId="36E86CBF" w14:textId="77777777" w:rsidR="00745EF0" w:rsidRPr="00745EF0" w:rsidRDefault="00745EF0" w:rsidP="00745EF0">
            <w:pPr>
              <w:spacing w:line="240" w:lineRule="auto"/>
              <w:jc w:val="center"/>
              <w:rPr>
                <w:rFonts w:eastAsia="Times New Roman"/>
                <w:b/>
                <w:bCs/>
                <w:lang w:val="en-US" w:eastAsia="en-US"/>
              </w:rPr>
            </w:pPr>
          </w:p>
        </w:tc>
        <w:tc>
          <w:tcPr>
            <w:tcW w:w="874" w:type="dxa"/>
            <w:tcBorders>
              <w:top w:val="nil"/>
              <w:left w:val="nil"/>
              <w:bottom w:val="nil"/>
              <w:right w:val="nil"/>
            </w:tcBorders>
            <w:shd w:val="clear" w:color="auto" w:fill="auto"/>
            <w:noWrap/>
            <w:vAlign w:val="center"/>
            <w:hideMark/>
          </w:tcPr>
          <w:p w14:paraId="0DA0A545" w14:textId="77777777" w:rsidR="00745EF0" w:rsidRPr="00745EF0" w:rsidRDefault="00745EF0" w:rsidP="00745EF0">
            <w:pPr>
              <w:spacing w:line="240" w:lineRule="auto"/>
              <w:rPr>
                <w:rFonts w:eastAsia="Times New Roman"/>
                <w:sz w:val="20"/>
                <w:szCs w:val="20"/>
                <w:lang w:val="en-US" w:eastAsia="en-US"/>
              </w:rPr>
            </w:pPr>
          </w:p>
        </w:tc>
        <w:tc>
          <w:tcPr>
            <w:tcW w:w="1594" w:type="dxa"/>
            <w:tcBorders>
              <w:top w:val="nil"/>
              <w:left w:val="nil"/>
              <w:bottom w:val="nil"/>
              <w:right w:val="nil"/>
            </w:tcBorders>
            <w:shd w:val="clear" w:color="auto" w:fill="auto"/>
            <w:vAlign w:val="bottom"/>
            <w:hideMark/>
          </w:tcPr>
          <w:p w14:paraId="66F0FF49" w14:textId="77777777" w:rsidR="00745EF0" w:rsidRPr="00745EF0" w:rsidRDefault="00745EF0" w:rsidP="00745EF0">
            <w:pPr>
              <w:spacing w:line="240" w:lineRule="auto"/>
              <w:jc w:val="center"/>
              <w:rPr>
                <w:rFonts w:eastAsia="Times New Roman"/>
                <w:b/>
                <w:bCs/>
                <w:lang w:val="en-US" w:eastAsia="en-US"/>
              </w:rPr>
            </w:pPr>
            <w:r w:rsidRPr="00745EF0">
              <w:rPr>
                <w:rFonts w:eastAsia="Times New Roman"/>
                <w:b/>
                <w:bCs/>
                <w:lang w:val="en-US" w:eastAsia="en-US"/>
              </w:rPr>
              <w:t>31-Dec-2024</w:t>
            </w:r>
          </w:p>
        </w:tc>
        <w:tc>
          <w:tcPr>
            <w:tcW w:w="278" w:type="dxa"/>
            <w:tcBorders>
              <w:top w:val="nil"/>
              <w:left w:val="nil"/>
              <w:bottom w:val="nil"/>
              <w:right w:val="nil"/>
            </w:tcBorders>
            <w:shd w:val="clear" w:color="auto" w:fill="auto"/>
            <w:noWrap/>
            <w:vAlign w:val="bottom"/>
            <w:hideMark/>
          </w:tcPr>
          <w:p w14:paraId="467E8EB4" w14:textId="77777777" w:rsidR="00745EF0" w:rsidRPr="00745EF0" w:rsidRDefault="00745EF0" w:rsidP="00745EF0">
            <w:pPr>
              <w:spacing w:line="240" w:lineRule="auto"/>
              <w:jc w:val="center"/>
              <w:rPr>
                <w:rFonts w:eastAsia="Times New Roman"/>
                <w:b/>
                <w:bCs/>
                <w:lang w:val="en-US" w:eastAsia="en-US"/>
              </w:rPr>
            </w:pPr>
          </w:p>
        </w:tc>
        <w:tc>
          <w:tcPr>
            <w:tcW w:w="1525" w:type="dxa"/>
            <w:tcBorders>
              <w:top w:val="nil"/>
              <w:left w:val="nil"/>
              <w:bottom w:val="nil"/>
              <w:right w:val="nil"/>
            </w:tcBorders>
            <w:shd w:val="clear" w:color="auto" w:fill="auto"/>
            <w:vAlign w:val="bottom"/>
            <w:hideMark/>
          </w:tcPr>
          <w:p w14:paraId="00355A8C" w14:textId="77777777" w:rsidR="00745EF0" w:rsidRPr="00745EF0" w:rsidRDefault="00745EF0" w:rsidP="00745EF0">
            <w:pPr>
              <w:spacing w:line="240" w:lineRule="auto"/>
              <w:jc w:val="center"/>
              <w:rPr>
                <w:rFonts w:eastAsia="Times New Roman"/>
                <w:b/>
                <w:bCs/>
                <w:lang w:val="en-US" w:eastAsia="en-US"/>
              </w:rPr>
            </w:pPr>
            <w:r w:rsidRPr="00745EF0">
              <w:rPr>
                <w:rFonts w:eastAsia="Times New Roman"/>
                <w:b/>
                <w:bCs/>
                <w:lang w:val="en-US" w:eastAsia="en-US"/>
              </w:rPr>
              <w:t>30-Sep-2023</w:t>
            </w:r>
          </w:p>
        </w:tc>
      </w:tr>
      <w:tr w:rsidR="00745EF0" w:rsidRPr="00745EF0" w14:paraId="4A170486" w14:textId="77777777" w:rsidTr="002F6E52">
        <w:trPr>
          <w:trHeight w:val="256"/>
        </w:trPr>
        <w:tc>
          <w:tcPr>
            <w:tcW w:w="5899" w:type="dxa"/>
            <w:tcBorders>
              <w:top w:val="nil"/>
              <w:left w:val="nil"/>
              <w:bottom w:val="single" w:sz="8" w:space="0" w:color="auto"/>
              <w:right w:val="nil"/>
            </w:tcBorders>
            <w:shd w:val="clear" w:color="auto" w:fill="auto"/>
            <w:noWrap/>
            <w:vAlign w:val="bottom"/>
            <w:hideMark/>
          </w:tcPr>
          <w:p w14:paraId="2A90A8A2" w14:textId="77777777" w:rsidR="00745EF0" w:rsidRPr="00745EF0" w:rsidRDefault="00745EF0" w:rsidP="00745EF0">
            <w:pPr>
              <w:spacing w:line="240" w:lineRule="auto"/>
              <w:rPr>
                <w:rFonts w:eastAsia="Times New Roman"/>
                <w:lang w:val="en-US" w:eastAsia="en-US"/>
              </w:rPr>
            </w:pPr>
            <w:r w:rsidRPr="00745EF0">
              <w:rPr>
                <w:rFonts w:eastAsia="Times New Roman"/>
                <w:lang w:val="en-US" w:eastAsia="en-US"/>
              </w:rPr>
              <w:t> </w:t>
            </w:r>
          </w:p>
        </w:tc>
        <w:tc>
          <w:tcPr>
            <w:tcW w:w="874" w:type="dxa"/>
            <w:tcBorders>
              <w:top w:val="nil"/>
              <w:left w:val="nil"/>
              <w:bottom w:val="single" w:sz="8" w:space="0" w:color="auto"/>
              <w:right w:val="nil"/>
            </w:tcBorders>
            <w:shd w:val="clear" w:color="auto" w:fill="auto"/>
            <w:noWrap/>
            <w:vAlign w:val="center"/>
            <w:hideMark/>
          </w:tcPr>
          <w:p w14:paraId="0AA20862" w14:textId="77777777" w:rsidR="00745EF0" w:rsidRPr="00745EF0" w:rsidRDefault="00745EF0" w:rsidP="00745EF0">
            <w:pPr>
              <w:spacing w:line="240" w:lineRule="auto"/>
              <w:jc w:val="center"/>
              <w:rPr>
                <w:rFonts w:eastAsia="Times New Roman"/>
                <w:b/>
                <w:bCs/>
                <w:lang w:val="en-US" w:eastAsia="en-US"/>
              </w:rPr>
            </w:pPr>
            <w:r w:rsidRPr="00745EF0">
              <w:rPr>
                <w:rFonts w:eastAsia="Times New Roman"/>
                <w:b/>
                <w:bCs/>
                <w:lang w:val="en-US" w:eastAsia="en-US"/>
              </w:rPr>
              <w:t>NOTE</w:t>
            </w:r>
          </w:p>
        </w:tc>
        <w:tc>
          <w:tcPr>
            <w:tcW w:w="1594" w:type="dxa"/>
            <w:tcBorders>
              <w:top w:val="nil"/>
              <w:left w:val="nil"/>
              <w:bottom w:val="single" w:sz="8" w:space="0" w:color="auto"/>
              <w:right w:val="nil"/>
            </w:tcBorders>
            <w:shd w:val="clear" w:color="auto" w:fill="auto"/>
            <w:noWrap/>
            <w:vAlign w:val="bottom"/>
            <w:hideMark/>
          </w:tcPr>
          <w:p w14:paraId="05283FC4" w14:textId="77777777" w:rsidR="00745EF0" w:rsidRPr="00745EF0" w:rsidRDefault="00745EF0" w:rsidP="00745EF0">
            <w:pPr>
              <w:spacing w:line="240" w:lineRule="auto"/>
              <w:jc w:val="center"/>
              <w:rPr>
                <w:rFonts w:eastAsia="Times New Roman"/>
                <w:b/>
                <w:bCs/>
                <w:lang w:val="en-US" w:eastAsia="en-US"/>
              </w:rPr>
            </w:pPr>
            <w:r w:rsidRPr="00745EF0">
              <w:rPr>
                <w:rFonts w:eastAsia="Times New Roman"/>
                <w:b/>
                <w:bCs/>
                <w:lang w:val="en-US" w:eastAsia="en-US"/>
              </w:rPr>
              <w:t xml:space="preserve"> (£'000) </w:t>
            </w:r>
          </w:p>
        </w:tc>
        <w:tc>
          <w:tcPr>
            <w:tcW w:w="278" w:type="dxa"/>
            <w:tcBorders>
              <w:top w:val="nil"/>
              <w:left w:val="nil"/>
              <w:bottom w:val="single" w:sz="8" w:space="0" w:color="auto"/>
              <w:right w:val="nil"/>
            </w:tcBorders>
            <w:shd w:val="clear" w:color="auto" w:fill="auto"/>
            <w:noWrap/>
            <w:vAlign w:val="center"/>
            <w:hideMark/>
          </w:tcPr>
          <w:p w14:paraId="74230376" w14:textId="77777777" w:rsidR="00745EF0" w:rsidRPr="00745EF0" w:rsidRDefault="00745EF0" w:rsidP="00745EF0">
            <w:pPr>
              <w:spacing w:line="240" w:lineRule="auto"/>
              <w:jc w:val="center"/>
              <w:rPr>
                <w:rFonts w:eastAsia="Times New Roman"/>
                <w:b/>
                <w:bCs/>
                <w:lang w:val="en-US" w:eastAsia="en-US"/>
              </w:rPr>
            </w:pPr>
            <w:r w:rsidRPr="00745EF0">
              <w:rPr>
                <w:rFonts w:eastAsia="Times New Roman"/>
                <w:b/>
                <w:bCs/>
                <w:lang w:val="en-US" w:eastAsia="en-US"/>
              </w:rPr>
              <w:t> </w:t>
            </w:r>
          </w:p>
        </w:tc>
        <w:tc>
          <w:tcPr>
            <w:tcW w:w="1525" w:type="dxa"/>
            <w:tcBorders>
              <w:top w:val="nil"/>
              <w:left w:val="nil"/>
              <w:bottom w:val="single" w:sz="8" w:space="0" w:color="auto"/>
              <w:right w:val="nil"/>
            </w:tcBorders>
            <w:shd w:val="clear" w:color="auto" w:fill="auto"/>
            <w:noWrap/>
            <w:vAlign w:val="bottom"/>
            <w:hideMark/>
          </w:tcPr>
          <w:p w14:paraId="7E48CE15" w14:textId="77777777" w:rsidR="00745EF0" w:rsidRPr="00745EF0" w:rsidRDefault="00745EF0" w:rsidP="00745EF0">
            <w:pPr>
              <w:spacing w:line="240" w:lineRule="auto"/>
              <w:jc w:val="center"/>
              <w:rPr>
                <w:rFonts w:eastAsia="Times New Roman"/>
                <w:b/>
                <w:bCs/>
                <w:lang w:val="en-US" w:eastAsia="en-US"/>
              </w:rPr>
            </w:pPr>
            <w:r w:rsidRPr="00745EF0">
              <w:rPr>
                <w:rFonts w:eastAsia="Times New Roman"/>
                <w:b/>
                <w:bCs/>
                <w:lang w:val="en-US" w:eastAsia="en-US"/>
              </w:rPr>
              <w:t xml:space="preserve"> (£'000) </w:t>
            </w:r>
          </w:p>
        </w:tc>
      </w:tr>
      <w:tr w:rsidR="00745EF0" w:rsidRPr="00745EF0" w14:paraId="29040F2B" w14:textId="77777777" w:rsidTr="002F6E52">
        <w:trPr>
          <w:trHeight w:val="256"/>
        </w:trPr>
        <w:tc>
          <w:tcPr>
            <w:tcW w:w="5899" w:type="dxa"/>
            <w:tcBorders>
              <w:top w:val="nil"/>
              <w:left w:val="nil"/>
              <w:bottom w:val="single" w:sz="4" w:space="0" w:color="auto"/>
              <w:right w:val="nil"/>
            </w:tcBorders>
            <w:shd w:val="clear" w:color="auto" w:fill="auto"/>
            <w:noWrap/>
            <w:vAlign w:val="bottom"/>
            <w:hideMark/>
          </w:tcPr>
          <w:p w14:paraId="70155D1F" w14:textId="77777777" w:rsidR="00745EF0" w:rsidRPr="00745EF0" w:rsidRDefault="00745EF0" w:rsidP="00745EF0">
            <w:pPr>
              <w:spacing w:line="240" w:lineRule="auto"/>
              <w:rPr>
                <w:rFonts w:eastAsia="Times New Roman"/>
                <w:b/>
                <w:bCs/>
                <w:lang w:val="en-US" w:eastAsia="en-US"/>
              </w:rPr>
            </w:pPr>
            <w:r w:rsidRPr="00745EF0">
              <w:rPr>
                <w:rFonts w:eastAsia="Times New Roman"/>
                <w:b/>
                <w:bCs/>
                <w:lang w:val="en-US" w:eastAsia="en-US"/>
              </w:rPr>
              <w:t>Continuing Operations</w:t>
            </w:r>
          </w:p>
        </w:tc>
        <w:tc>
          <w:tcPr>
            <w:tcW w:w="874" w:type="dxa"/>
            <w:tcBorders>
              <w:top w:val="nil"/>
              <w:left w:val="nil"/>
              <w:bottom w:val="single" w:sz="4" w:space="0" w:color="auto"/>
              <w:right w:val="nil"/>
            </w:tcBorders>
            <w:shd w:val="clear" w:color="auto" w:fill="auto"/>
            <w:noWrap/>
            <w:vAlign w:val="center"/>
            <w:hideMark/>
          </w:tcPr>
          <w:p w14:paraId="7EA2634C" w14:textId="77777777" w:rsidR="00745EF0" w:rsidRPr="00745EF0" w:rsidRDefault="00745EF0" w:rsidP="00745EF0">
            <w:pPr>
              <w:spacing w:line="240" w:lineRule="auto"/>
              <w:jc w:val="center"/>
              <w:rPr>
                <w:rFonts w:eastAsia="Times New Roman"/>
                <w:lang w:val="en-US" w:eastAsia="en-US"/>
              </w:rPr>
            </w:pPr>
            <w:r w:rsidRPr="00745EF0">
              <w:rPr>
                <w:rFonts w:eastAsia="Times New Roman"/>
                <w:lang w:val="en-US" w:eastAsia="en-US"/>
              </w:rPr>
              <w:t> </w:t>
            </w:r>
          </w:p>
        </w:tc>
        <w:tc>
          <w:tcPr>
            <w:tcW w:w="1594" w:type="dxa"/>
            <w:tcBorders>
              <w:top w:val="nil"/>
              <w:left w:val="nil"/>
              <w:bottom w:val="single" w:sz="4" w:space="0" w:color="auto"/>
              <w:right w:val="nil"/>
            </w:tcBorders>
            <w:shd w:val="clear" w:color="auto" w:fill="auto"/>
            <w:noWrap/>
            <w:vAlign w:val="center"/>
            <w:hideMark/>
          </w:tcPr>
          <w:p w14:paraId="36C85053" w14:textId="77777777" w:rsidR="00745EF0" w:rsidRPr="00745EF0" w:rsidRDefault="00745EF0" w:rsidP="00745EF0">
            <w:pPr>
              <w:spacing w:line="240" w:lineRule="auto"/>
              <w:jc w:val="center"/>
              <w:rPr>
                <w:rFonts w:eastAsia="Times New Roman"/>
                <w:lang w:val="en-US" w:eastAsia="en-US"/>
              </w:rPr>
            </w:pPr>
            <w:r w:rsidRPr="00745EF0">
              <w:rPr>
                <w:rFonts w:eastAsia="Times New Roman"/>
                <w:lang w:val="en-US" w:eastAsia="en-US"/>
              </w:rPr>
              <w:t> </w:t>
            </w:r>
          </w:p>
        </w:tc>
        <w:tc>
          <w:tcPr>
            <w:tcW w:w="278" w:type="dxa"/>
            <w:tcBorders>
              <w:top w:val="nil"/>
              <w:left w:val="nil"/>
              <w:bottom w:val="single" w:sz="4" w:space="0" w:color="auto"/>
              <w:right w:val="nil"/>
            </w:tcBorders>
            <w:shd w:val="clear" w:color="auto" w:fill="auto"/>
            <w:noWrap/>
            <w:vAlign w:val="center"/>
            <w:hideMark/>
          </w:tcPr>
          <w:p w14:paraId="3DBE416A" w14:textId="77777777" w:rsidR="00745EF0" w:rsidRPr="00745EF0" w:rsidRDefault="00745EF0" w:rsidP="00745EF0">
            <w:pPr>
              <w:spacing w:line="240" w:lineRule="auto"/>
              <w:jc w:val="center"/>
              <w:rPr>
                <w:rFonts w:eastAsia="Times New Roman"/>
                <w:lang w:val="en-US" w:eastAsia="en-US"/>
              </w:rPr>
            </w:pPr>
            <w:r w:rsidRPr="00745EF0">
              <w:rPr>
                <w:rFonts w:eastAsia="Times New Roman"/>
                <w:lang w:val="en-US" w:eastAsia="en-US"/>
              </w:rPr>
              <w:t> </w:t>
            </w:r>
          </w:p>
        </w:tc>
        <w:tc>
          <w:tcPr>
            <w:tcW w:w="1525" w:type="dxa"/>
            <w:tcBorders>
              <w:top w:val="nil"/>
              <w:left w:val="nil"/>
              <w:bottom w:val="single" w:sz="4" w:space="0" w:color="auto"/>
              <w:right w:val="nil"/>
            </w:tcBorders>
            <w:shd w:val="clear" w:color="auto" w:fill="auto"/>
            <w:noWrap/>
            <w:vAlign w:val="bottom"/>
            <w:hideMark/>
          </w:tcPr>
          <w:p w14:paraId="46E0615D" w14:textId="77777777" w:rsidR="00745EF0" w:rsidRPr="00745EF0" w:rsidRDefault="00745EF0" w:rsidP="00745EF0">
            <w:pPr>
              <w:spacing w:line="240" w:lineRule="auto"/>
              <w:jc w:val="center"/>
              <w:rPr>
                <w:rFonts w:eastAsia="Times New Roman"/>
                <w:b/>
                <w:bCs/>
                <w:lang w:val="en-US" w:eastAsia="en-US"/>
              </w:rPr>
            </w:pPr>
            <w:r w:rsidRPr="00745EF0">
              <w:rPr>
                <w:rFonts w:eastAsia="Times New Roman"/>
                <w:b/>
                <w:bCs/>
                <w:lang w:val="en-US" w:eastAsia="en-US"/>
              </w:rPr>
              <w:t> </w:t>
            </w:r>
          </w:p>
        </w:tc>
      </w:tr>
      <w:tr w:rsidR="00745EF0" w:rsidRPr="00745EF0" w14:paraId="32F73F7B" w14:textId="77777777" w:rsidTr="002F6E52">
        <w:trPr>
          <w:trHeight w:val="426"/>
        </w:trPr>
        <w:tc>
          <w:tcPr>
            <w:tcW w:w="5899" w:type="dxa"/>
            <w:tcBorders>
              <w:top w:val="nil"/>
              <w:left w:val="nil"/>
              <w:bottom w:val="nil"/>
              <w:right w:val="nil"/>
            </w:tcBorders>
            <w:shd w:val="clear" w:color="auto" w:fill="auto"/>
            <w:noWrap/>
            <w:vAlign w:val="center"/>
            <w:hideMark/>
          </w:tcPr>
          <w:p w14:paraId="1BC6AB0E" w14:textId="77777777" w:rsidR="00745EF0" w:rsidRPr="00745EF0" w:rsidRDefault="00745EF0" w:rsidP="00745EF0">
            <w:pPr>
              <w:spacing w:line="240" w:lineRule="auto"/>
              <w:rPr>
                <w:rFonts w:eastAsia="Times New Roman"/>
                <w:lang w:val="en-US" w:eastAsia="en-US"/>
              </w:rPr>
            </w:pPr>
            <w:r w:rsidRPr="00745EF0">
              <w:rPr>
                <w:rFonts w:eastAsia="Times New Roman"/>
                <w:lang w:val="en-US" w:eastAsia="en-US"/>
              </w:rPr>
              <w:t>Revenue</w:t>
            </w:r>
          </w:p>
        </w:tc>
        <w:tc>
          <w:tcPr>
            <w:tcW w:w="874" w:type="dxa"/>
            <w:tcBorders>
              <w:top w:val="nil"/>
              <w:left w:val="nil"/>
              <w:bottom w:val="nil"/>
              <w:right w:val="nil"/>
            </w:tcBorders>
            <w:shd w:val="clear" w:color="auto" w:fill="auto"/>
            <w:noWrap/>
            <w:vAlign w:val="center"/>
            <w:hideMark/>
          </w:tcPr>
          <w:p w14:paraId="2F9D0809" w14:textId="77777777" w:rsidR="00745EF0" w:rsidRPr="00745EF0" w:rsidRDefault="00745EF0" w:rsidP="00745EF0">
            <w:pPr>
              <w:spacing w:line="240" w:lineRule="auto"/>
              <w:jc w:val="center"/>
              <w:rPr>
                <w:rFonts w:eastAsia="Times New Roman"/>
                <w:lang w:val="en-US" w:eastAsia="en-US"/>
              </w:rPr>
            </w:pPr>
            <w:r w:rsidRPr="00745EF0">
              <w:rPr>
                <w:rFonts w:eastAsia="Times New Roman"/>
                <w:lang w:val="en-US" w:eastAsia="en-US"/>
              </w:rPr>
              <w:t>3</w:t>
            </w:r>
          </w:p>
        </w:tc>
        <w:tc>
          <w:tcPr>
            <w:tcW w:w="1594" w:type="dxa"/>
            <w:tcBorders>
              <w:top w:val="nil"/>
              <w:left w:val="nil"/>
              <w:bottom w:val="nil"/>
              <w:right w:val="nil"/>
            </w:tcBorders>
            <w:shd w:val="clear" w:color="auto" w:fill="auto"/>
            <w:noWrap/>
            <w:vAlign w:val="center"/>
            <w:hideMark/>
          </w:tcPr>
          <w:p w14:paraId="364A13D7" w14:textId="77777777" w:rsidR="00745EF0" w:rsidRPr="00745EF0" w:rsidRDefault="00745EF0" w:rsidP="00745EF0">
            <w:pPr>
              <w:spacing w:line="240" w:lineRule="auto"/>
              <w:jc w:val="center"/>
              <w:rPr>
                <w:rFonts w:eastAsia="Times New Roman"/>
                <w:lang w:val="en-US" w:eastAsia="en-US"/>
              </w:rPr>
            </w:pPr>
            <w:r w:rsidRPr="00745EF0">
              <w:rPr>
                <w:rFonts w:eastAsia="Times New Roman"/>
                <w:lang w:val="en-US" w:eastAsia="en-US"/>
              </w:rPr>
              <w:t xml:space="preserve">                     4,334 </w:t>
            </w:r>
          </w:p>
        </w:tc>
        <w:tc>
          <w:tcPr>
            <w:tcW w:w="278" w:type="dxa"/>
            <w:tcBorders>
              <w:top w:val="nil"/>
              <w:left w:val="nil"/>
              <w:bottom w:val="nil"/>
              <w:right w:val="nil"/>
            </w:tcBorders>
            <w:shd w:val="clear" w:color="auto" w:fill="auto"/>
            <w:noWrap/>
            <w:vAlign w:val="center"/>
            <w:hideMark/>
          </w:tcPr>
          <w:p w14:paraId="52E7FF63" w14:textId="77777777" w:rsidR="00745EF0" w:rsidRPr="00745EF0" w:rsidRDefault="00745EF0" w:rsidP="00745EF0">
            <w:pPr>
              <w:spacing w:line="240" w:lineRule="auto"/>
              <w:jc w:val="center"/>
              <w:rPr>
                <w:rFonts w:eastAsia="Times New Roman"/>
                <w:lang w:val="en-US" w:eastAsia="en-US"/>
              </w:rPr>
            </w:pPr>
          </w:p>
        </w:tc>
        <w:tc>
          <w:tcPr>
            <w:tcW w:w="1525" w:type="dxa"/>
            <w:tcBorders>
              <w:top w:val="nil"/>
              <w:left w:val="nil"/>
              <w:bottom w:val="nil"/>
              <w:right w:val="nil"/>
            </w:tcBorders>
            <w:shd w:val="clear" w:color="auto" w:fill="auto"/>
            <w:noWrap/>
            <w:vAlign w:val="center"/>
            <w:hideMark/>
          </w:tcPr>
          <w:p w14:paraId="293D6277" w14:textId="77777777" w:rsidR="00745EF0" w:rsidRPr="00745EF0" w:rsidRDefault="00745EF0" w:rsidP="00745EF0">
            <w:pPr>
              <w:spacing w:line="240" w:lineRule="auto"/>
              <w:jc w:val="center"/>
              <w:rPr>
                <w:rFonts w:eastAsia="Times New Roman"/>
                <w:lang w:val="en-US" w:eastAsia="en-US"/>
              </w:rPr>
            </w:pPr>
            <w:r w:rsidRPr="00745EF0">
              <w:rPr>
                <w:rFonts w:eastAsia="Times New Roman"/>
                <w:lang w:val="en-US" w:eastAsia="en-US"/>
              </w:rPr>
              <w:t xml:space="preserve">                   5,525 </w:t>
            </w:r>
          </w:p>
        </w:tc>
      </w:tr>
      <w:tr w:rsidR="00745EF0" w:rsidRPr="00745EF0" w14:paraId="5554971A" w14:textId="77777777" w:rsidTr="002F6E52">
        <w:trPr>
          <w:trHeight w:val="426"/>
        </w:trPr>
        <w:tc>
          <w:tcPr>
            <w:tcW w:w="5899" w:type="dxa"/>
            <w:tcBorders>
              <w:top w:val="nil"/>
              <w:left w:val="nil"/>
              <w:bottom w:val="single" w:sz="4" w:space="0" w:color="auto"/>
              <w:right w:val="nil"/>
            </w:tcBorders>
            <w:shd w:val="clear" w:color="auto" w:fill="auto"/>
            <w:noWrap/>
            <w:vAlign w:val="center"/>
            <w:hideMark/>
          </w:tcPr>
          <w:p w14:paraId="524B19C4" w14:textId="77777777" w:rsidR="00745EF0" w:rsidRPr="00745EF0" w:rsidRDefault="00745EF0" w:rsidP="00745EF0">
            <w:pPr>
              <w:spacing w:line="240" w:lineRule="auto"/>
              <w:rPr>
                <w:rFonts w:eastAsia="Times New Roman"/>
                <w:lang w:val="en-US" w:eastAsia="en-US"/>
              </w:rPr>
            </w:pPr>
            <w:r w:rsidRPr="00745EF0">
              <w:rPr>
                <w:rFonts w:eastAsia="Times New Roman"/>
                <w:lang w:val="en-US" w:eastAsia="en-US"/>
              </w:rPr>
              <w:t>Cost of sales</w:t>
            </w:r>
          </w:p>
        </w:tc>
        <w:tc>
          <w:tcPr>
            <w:tcW w:w="874" w:type="dxa"/>
            <w:tcBorders>
              <w:top w:val="nil"/>
              <w:left w:val="nil"/>
              <w:bottom w:val="single" w:sz="4" w:space="0" w:color="auto"/>
              <w:right w:val="nil"/>
            </w:tcBorders>
            <w:shd w:val="clear" w:color="auto" w:fill="auto"/>
            <w:noWrap/>
            <w:vAlign w:val="center"/>
            <w:hideMark/>
          </w:tcPr>
          <w:p w14:paraId="26284401" w14:textId="77777777" w:rsidR="00745EF0" w:rsidRPr="00745EF0" w:rsidRDefault="00745EF0" w:rsidP="00745EF0">
            <w:pPr>
              <w:spacing w:line="240" w:lineRule="auto"/>
              <w:jc w:val="center"/>
              <w:rPr>
                <w:rFonts w:eastAsia="Times New Roman"/>
                <w:lang w:val="en-US" w:eastAsia="en-US"/>
              </w:rPr>
            </w:pPr>
            <w:r w:rsidRPr="00745EF0">
              <w:rPr>
                <w:rFonts w:eastAsia="Times New Roman"/>
                <w:lang w:val="en-US" w:eastAsia="en-US"/>
              </w:rPr>
              <w:t>4</w:t>
            </w:r>
          </w:p>
        </w:tc>
        <w:tc>
          <w:tcPr>
            <w:tcW w:w="1594" w:type="dxa"/>
            <w:tcBorders>
              <w:top w:val="nil"/>
              <w:left w:val="nil"/>
              <w:bottom w:val="single" w:sz="4" w:space="0" w:color="auto"/>
              <w:right w:val="nil"/>
            </w:tcBorders>
            <w:shd w:val="clear" w:color="auto" w:fill="auto"/>
            <w:noWrap/>
            <w:vAlign w:val="center"/>
            <w:hideMark/>
          </w:tcPr>
          <w:p w14:paraId="71C59EFF" w14:textId="77777777" w:rsidR="00745EF0" w:rsidRPr="00745EF0" w:rsidRDefault="00745EF0" w:rsidP="00745EF0">
            <w:pPr>
              <w:spacing w:line="240" w:lineRule="auto"/>
              <w:jc w:val="center"/>
              <w:rPr>
                <w:rFonts w:eastAsia="Times New Roman"/>
                <w:lang w:val="en-US" w:eastAsia="en-US"/>
              </w:rPr>
            </w:pPr>
            <w:r w:rsidRPr="00745EF0">
              <w:rPr>
                <w:rFonts w:eastAsia="Times New Roman"/>
                <w:lang w:val="en-US" w:eastAsia="en-US"/>
              </w:rPr>
              <w:t xml:space="preserve">                   (1,202)</w:t>
            </w:r>
          </w:p>
        </w:tc>
        <w:tc>
          <w:tcPr>
            <w:tcW w:w="278" w:type="dxa"/>
            <w:tcBorders>
              <w:top w:val="nil"/>
              <w:left w:val="nil"/>
              <w:bottom w:val="single" w:sz="4" w:space="0" w:color="auto"/>
              <w:right w:val="nil"/>
            </w:tcBorders>
            <w:shd w:val="clear" w:color="auto" w:fill="auto"/>
            <w:noWrap/>
            <w:vAlign w:val="center"/>
            <w:hideMark/>
          </w:tcPr>
          <w:p w14:paraId="45718529" w14:textId="77777777" w:rsidR="00745EF0" w:rsidRPr="00745EF0" w:rsidRDefault="00745EF0" w:rsidP="00745EF0">
            <w:pPr>
              <w:spacing w:line="240" w:lineRule="auto"/>
              <w:jc w:val="center"/>
              <w:rPr>
                <w:rFonts w:eastAsia="Times New Roman"/>
                <w:lang w:val="en-US" w:eastAsia="en-US"/>
              </w:rPr>
            </w:pPr>
            <w:r w:rsidRPr="00745EF0">
              <w:rPr>
                <w:rFonts w:eastAsia="Times New Roman"/>
                <w:lang w:val="en-US" w:eastAsia="en-US"/>
              </w:rPr>
              <w:t> </w:t>
            </w:r>
          </w:p>
        </w:tc>
        <w:tc>
          <w:tcPr>
            <w:tcW w:w="1525" w:type="dxa"/>
            <w:tcBorders>
              <w:top w:val="nil"/>
              <w:left w:val="nil"/>
              <w:bottom w:val="single" w:sz="4" w:space="0" w:color="auto"/>
              <w:right w:val="nil"/>
            </w:tcBorders>
            <w:shd w:val="clear" w:color="auto" w:fill="auto"/>
            <w:noWrap/>
            <w:vAlign w:val="center"/>
            <w:hideMark/>
          </w:tcPr>
          <w:p w14:paraId="2F0E5EB8" w14:textId="77777777" w:rsidR="00745EF0" w:rsidRPr="00745EF0" w:rsidRDefault="00745EF0" w:rsidP="00745EF0">
            <w:pPr>
              <w:spacing w:line="240" w:lineRule="auto"/>
              <w:jc w:val="center"/>
              <w:rPr>
                <w:rFonts w:eastAsia="Times New Roman"/>
                <w:lang w:val="en-US" w:eastAsia="en-US"/>
              </w:rPr>
            </w:pPr>
            <w:r w:rsidRPr="00745EF0">
              <w:rPr>
                <w:rFonts w:eastAsia="Times New Roman"/>
                <w:lang w:val="en-US" w:eastAsia="en-US"/>
              </w:rPr>
              <w:t xml:space="preserve">                  (1,538)</w:t>
            </w:r>
          </w:p>
        </w:tc>
      </w:tr>
      <w:tr w:rsidR="00745EF0" w:rsidRPr="00745EF0" w14:paraId="3EFC9444" w14:textId="77777777" w:rsidTr="002F6E52">
        <w:trPr>
          <w:trHeight w:val="426"/>
        </w:trPr>
        <w:tc>
          <w:tcPr>
            <w:tcW w:w="5899" w:type="dxa"/>
            <w:tcBorders>
              <w:top w:val="nil"/>
              <w:left w:val="nil"/>
              <w:bottom w:val="nil"/>
              <w:right w:val="nil"/>
            </w:tcBorders>
            <w:shd w:val="clear" w:color="auto" w:fill="auto"/>
            <w:noWrap/>
            <w:vAlign w:val="center"/>
            <w:hideMark/>
          </w:tcPr>
          <w:p w14:paraId="2935AD9E" w14:textId="77777777" w:rsidR="00745EF0" w:rsidRPr="00745EF0" w:rsidRDefault="00745EF0" w:rsidP="00745EF0">
            <w:pPr>
              <w:spacing w:line="240" w:lineRule="auto"/>
              <w:rPr>
                <w:rFonts w:eastAsia="Times New Roman"/>
                <w:b/>
                <w:bCs/>
                <w:lang w:val="en-US" w:eastAsia="en-US"/>
              </w:rPr>
            </w:pPr>
            <w:r w:rsidRPr="00745EF0">
              <w:rPr>
                <w:rFonts w:eastAsia="Times New Roman"/>
                <w:b/>
                <w:bCs/>
                <w:lang w:val="en-US" w:eastAsia="en-US"/>
              </w:rPr>
              <w:t>Gross profit</w:t>
            </w:r>
          </w:p>
        </w:tc>
        <w:tc>
          <w:tcPr>
            <w:tcW w:w="874" w:type="dxa"/>
            <w:tcBorders>
              <w:top w:val="nil"/>
              <w:left w:val="nil"/>
              <w:bottom w:val="nil"/>
              <w:right w:val="nil"/>
            </w:tcBorders>
            <w:shd w:val="clear" w:color="auto" w:fill="auto"/>
            <w:noWrap/>
            <w:vAlign w:val="center"/>
            <w:hideMark/>
          </w:tcPr>
          <w:p w14:paraId="0B5252D4" w14:textId="77777777" w:rsidR="00745EF0" w:rsidRPr="00745EF0" w:rsidRDefault="00745EF0" w:rsidP="00745EF0">
            <w:pPr>
              <w:spacing w:line="240" w:lineRule="auto"/>
              <w:rPr>
                <w:rFonts w:eastAsia="Times New Roman"/>
                <w:b/>
                <w:bCs/>
                <w:lang w:val="en-US" w:eastAsia="en-US"/>
              </w:rPr>
            </w:pPr>
          </w:p>
        </w:tc>
        <w:tc>
          <w:tcPr>
            <w:tcW w:w="1594" w:type="dxa"/>
            <w:tcBorders>
              <w:top w:val="nil"/>
              <w:left w:val="nil"/>
              <w:bottom w:val="nil"/>
              <w:right w:val="nil"/>
            </w:tcBorders>
            <w:shd w:val="clear" w:color="auto" w:fill="auto"/>
            <w:noWrap/>
            <w:vAlign w:val="center"/>
            <w:hideMark/>
          </w:tcPr>
          <w:p w14:paraId="70404CFB" w14:textId="77777777" w:rsidR="00745EF0" w:rsidRPr="00745EF0" w:rsidRDefault="00745EF0" w:rsidP="00745EF0">
            <w:pPr>
              <w:spacing w:line="240" w:lineRule="auto"/>
              <w:jc w:val="center"/>
              <w:rPr>
                <w:rFonts w:eastAsia="Times New Roman"/>
                <w:b/>
                <w:bCs/>
                <w:lang w:val="en-US" w:eastAsia="en-US"/>
              </w:rPr>
            </w:pPr>
            <w:r w:rsidRPr="00745EF0">
              <w:rPr>
                <w:rFonts w:eastAsia="Times New Roman"/>
                <w:b/>
                <w:bCs/>
                <w:lang w:val="en-US" w:eastAsia="en-US"/>
              </w:rPr>
              <w:t xml:space="preserve">                   3,132 </w:t>
            </w:r>
          </w:p>
        </w:tc>
        <w:tc>
          <w:tcPr>
            <w:tcW w:w="278" w:type="dxa"/>
            <w:tcBorders>
              <w:top w:val="nil"/>
              <w:left w:val="nil"/>
              <w:bottom w:val="nil"/>
              <w:right w:val="nil"/>
            </w:tcBorders>
            <w:shd w:val="clear" w:color="auto" w:fill="auto"/>
            <w:noWrap/>
            <w:vAlign w:val="center"/>
            <w:hideMark/>
          </w:tcPr>
          <w:p w14:paraId="6DD61B56" w14:textId="77777777" w:rsidR="00745EF0" w:rsidRPr="00745EF0" w:rsidRDefault="00745EF0" w:rsidP="00745EF0">
            <w:pPr>
              <w:spacing w:line="240" w:lineRule="auto"/>
              <w:jc w:val="center"/>
              <w:rPr>
                <w:rFonts w:eastAsia="Times New Roman"/>
                <w:b/>
                <w:bCs/>
                <w:lang w:val="en-US" w:eastAsia="en-US"/>
              </w:rPr>
            </w:pPr>
          </w:p>
        </w:tc>
        <w:tc>
          <w:tcPr>
            <w:tcW w:w="1525" w:type="dxa"/>
            <w:tcBorders>
              <w:top w:val="nil"/>
              <w:left w:val="nil"/>
              <w:bottom w:val="nil"/>
              <w:right w:val="nil"/>
            </w:tcBorders>
            <w:shd w:val="clear" w:color="auto" w:fill="auto"/>
            <w:noWrap/>
            <w:vAlign w:val="center"/>
            <w:hideMark/>
          </w:tcPr>
          <w:p w14:paraId="49E3B0A5" w14:textId="77777777" w:rsidR="00745EF0" w:rsidRPr="00745EF0" w:rsidRDefault="00745EF0" w:rsidP="00745EF0">
            <w:pPr>
              <w:spacing w:line="240" w:lineRule="auto"/>
              <w:jc w:val="center"/>
              <w:rPr>
                <w:rFonts w:eastAsia="Times New Roman"/>
                <w:b/>
                <w:bCs/>
                <w:lang w:val="en-US" w:eastAsia="en-US"/>
              </w:rPr>
            </w:pPr>
            <w:r w:rsidRPr="00745EF0">
              <w:rPr>
                <w:rFonts w:eastAsia="Times New Roman"/>
                <w:b/>
                <w:bCs/>
                <w:lang w:val="en-US" w:eastAsia="en-US"/>
              </w:rPr>
              <w:t xml:space="preserve">                  3,987 </w:t>
            </w:r>
          </w:p>
        </w:tc>
      </w:tr>
      <w:tr w:rsidR="00745EF0" w:rsidRPr="00745EF0" w14:paraId="1D97D90A" w14:textId="77777777" w:rsidTr="002F6E52">
        <w:trPr>
          <w:trHeight w:val="127"/>
        </w:trPr>
        <w:tc>
          <w:tcPr>
            <w:tcW w:w="5899" w:type="dxa"/>
            <w:tcBorders>
              <w:top w:val="nil"/>
              <w:left w:val="nil"/>
              <w:bottom w:val="nil"/>
              <w:right w:val="nil"/>
            </w:tcBorders>
            <w:shd w:val="clear" w:color="auto" w:fill="auto"/>
            <w:noWrap/>
            <w:vAlign w:val="center"/>
            <w:hideMark/>
          </w:tcPr>
          <w:p w14:paraId="7AD0C4E0" w14:textId="77777777" w:rsidR="00745EF0" w:rsidRPr="00745EF0" w:rsidRDefault="00745EF0" w:rsidP="00745EF0">
            <w:pPr>
              <w:spacing w:line="240" w:lineRule="auto"/>
              <w:jc w:val="center"/>
              <w:rPr>
                <w:rFonts w:eastAsia="Times New Roman"/>
                <w:b/>
                <w:bCs/>
                <w:lang w:val="en-US" w:eastAsia="en-US"/>
              </w:rPr>
            </w:pPr>
          </w:p>
        </w:tc>
        <w:tc>
          <w:tcPr>
            <w:tcW w:w="874" w:type="dxa"/>
            <w:tcBorders>
              <w:top w:val="nil"/>
              <w:left w:val="nil"/>
              <w:bottom w:val="nil"/>
              <w:right w:val="nil"/>
            </w:tcBorders>
            <w:shd w:val="clear" w:color="auto" w:fill="auto"/>
            <w:noWrap/>
            <w:vAlign w:val="center"/>
            <w:hideMark/>
          </w:tcPr>
          <w:p w14:paraId="361DACDA" w14:textId="77777777" w:rsidR="00745EF0" w:rsidRPr="00745EF0" w:rsidRDefault="00745EF0" w:rsidP="00745EF0">
            <w:pPr>
              <w:spacing w:line="240" w:lineRule="auto"/>
              <w:rPr>
                <w:rFonts w:eastAsia="Times New Roman"/>
                <w:sz w:val="20"/>
                <w:szCs w:val="20"/>
                <w:lang w:val="en-US" w:eastAsia="en-US"/>
              </w:rPr>
            </w:pPr>
          </w:p>
        </w:tc>
        <w:tc>
          <w:tcPr>
            <w:tcW w:w="1594" w:type="dxa"/>
            <w:tcBorders>
              <w:top w:val="nil"/>
              <w:left w:val="nil"/>
              <w:bottom w:val="nil"/>
              <w:right w:val="nil"/>
            </w:tcBorders>
            <w:shd w:val="clear" w:color="auto" w:fill="auto"/>
            <w:noWrap/>
            <w:vAlign w:val="center"/>
            <w:hideMark/>
          </w:tcPr>
          <w:p w14:paraId="2B7CFB31" w14:textId="77777777" w:rsidR="00745EF0" w:rsidRPr="00745EF0" w:rsidRDefault="00745EF0" w:rsidP="00745EF0">
            <w:pPr>
              <w:spacing w:line="240" w:lineRule="auto"/>
              <w:jc w:val="center"/>
              <w:rPr>
                <w:rFonts w:eastAsia="Times New Roman"/>
                <w:sz w:val="20"/>
                <w:szCs w:val="20"/>
                <w:lang w:val="en-US" w:eastAsia="en-US"/>
              </w:rPr>
            </w:pPr>
          </w:p>
        </w:tc>
        <w:tc>
          <w:tcPr>
            <w:tcW w:w="278" w:type="dxa"/>
            <w:tcBorders>
              <w:top w:val="nil"/>
              <w:left w:val="nil"/>
              <w:bottom w:val="nil"/>
              <w:right w:val="nil"/>
            </w:tcBorders>
            <w:shd w:val="clear" w:color="auto" w:fill="auto"/>
            <w:noWrap/>
            <w:vAlign w:val="center"/>
            <w:hideMark/>
          </w:tcPr>
          <w:p w14:paraId="74BD5207" w14:textId="77777777" w:rsidR="00745EF0" w:rsidRPr="00745EF0" w:rsidRDefault="00745EF0" w:rsidP="00745EF0">
            <w:pPr>
              <w:spacing w:line="240" w:lineRule="auto"/>
              <w:jc w:val="center"/>
              <w:rPr>
                <w:rFonts w:eastAsia="Times New Roman"/>
                <w:sz w:val="20"/>
                <w:szCs w:val="20"/>
                <w:lang w:val="en-US" w:eastAsia="en-US"/>
              </w:rPr>
            </w:pPr>
          </w:p>
        </w:tc>
        <w:tc>
          <w:tcPr>
            <w:tcW w:w="1525" w:type="dxa"/>
            <w:tcBorders>
              <w:top w:val="nil"/>
              <w:left w:val="nil"/>
              <w:bottom w:val="nil"/>
              <w:right w:val="nil"/>
            </w:tcBorders>
            <w:shd w:val="clear" w:color="auto" w:fill="auto"/>
            <w:noWrap/>
            <w:vAlign w:val="center"/>
            <w:hideMark/>
          </w:tcPr>
          <w:p w14:paraId="1E00BE79" w14:textId="77777777" w:rsidR="00745EF0" w:rsidRPr="00745EF0" w:rsidRDefault="00745EF0" w:rsidP="00745EF0">
            <w:pPr>
              <w:spacing w:line="240" w:lineRule="auto"/>
              <w:jc w:val="center"/>
              <w:rPr>
                <w:rFonts w:eastAsia="Times New Roman"/>
                <w:sz w:val="20"/>
                <w:szCs w:val="20"/>
                <w:lang w:val="en-US" w:eastAsia="en-US"/>
              </w:rPr>
            </w:pPr>
          </w:p>
        </w:tc>
      </w:tr>
      <w:tr w:rsidR="00745EF0" w:rsidRPr="00745EF0" w14:paraId="0404A126" w14:textId="77777777" w:rsidTr="002F6E52">
        <w:trPr>
          <w:trHeight w:val="426"/>
        </w:trPr>
        <w:tc>
          <w:tcPr>
            <w:tcW w:w="5899" w:type="dxa"/>
            <w:tcBorders>
              <w:top w:val="nil"/>
              <w:left w:val="nil"/>
              <w:bottom w:val="nil"/>
              <w:right w:val="nil"/>
            </w:tcBorders>
            <w:shd w:val="clear" w:color="auto" w:fill="auto"/>
            <w:noWrap/>
            <w:vAlign w:val="center"/>
            <w:hideMark/>
          </w:tcPr>
          <w:p w14:paraId="656E0722" w14:textId="77777777" w:rsidR="00745EF0" w:rsidRPr="00745EF0" w:rsidRDefault="00745EF0" w:rsidP="00745EF0">
            <w:pPr>
              <w:spacing w:line="240" w:lineRule="auto"/>
              <w:rPr>
                <w:rFonts w:eastAsia="Times New Roman"/>
                <w:lang w:val="en-US" w:eastAsia="en-US"/>
              </w:rPr>
            </w:pPr>
            <w:r w:rsidRPr="00745EF0">
              <w:rPr>
                <w:rFonts w:eastAsia="Times New Roman"/>
                <w:lang w:val="en-US" w:eastAsia="en-US"/>
              </w:rPr>
              <w:t>Administrative expenses</w:t>
            </w:r>
          </w:p>
        </w:tc>
        <w:tc>
          <w:tcPr>
            <w:tcW w:w="874" w:type="dxa"/>
            <w:tcBorders>
              <w:top w:val="nil"/>
              <w:left w:val="nil"/>
              <w:bottom w:val="nil"/>
              <w:right w:val="nil"/>
            </w:tcBorders>
            <w:shd w:val="clear" w:color="auto" w:fill="auto"/>
            <w:noWrap/>
            <w:vAlign w:val="center"/>
            <w:hideMark/>
          </w:tcPr>
          <w:p w14:paraId="49148D86" w14:textId="097B1E8C" w:rsidR="00745EF0" w:rsidRPr="00745EF0" w:rsidRDefault="00745EF0" w:rsidP="00745EF0">
            <w:pPr>
              <w:spacing w:line="240" w:lineRule="auto"/>
              <w:jc w:val="center"/>
              <w:rPr>
                <w:rFonts w:eastAsia="Times New Roman"/>
                <w:lang w:val="en-US" w:eastAsia="en-US"/>
              </w:rPr>
            </w:pPr>
          </w:p>
        </w:tc>
        <w:tc>
          <w:tcPr>
            <w:tcW w:w="1594" w:type="dxa"/>
            <w:tcBorders>
              <w:top w:val="nil"/>
              <w:left w:val="nil"/>
              <w:bottom w:val="nil"/>
              <w:right w:val="nil"/>
            </w:tcBorders>
            <w:shd w:val="clear" w:color="auto" w:fill="auto"/>
            <w:noWrap/>
            <w:vAlign w:val="center"/>
            <w:hideMark/>
          </w:tcPr>
          <w:p w14:paraId="34863648" w14:textId="77777777" w:rsidR="00745EF0" w:rsidRPr="00745EF0" w:rsidRDefault="00745EF0" w:rsidP="00745EF0">
            <w:pPr>
              <w:spacing w:line="240" w:lineRule="auto"/>
              <w:jc w:val="center"/>
              <w:rPr>
                <w:rFonts w:eastAsia="Times New Roman"/>
                <w:lang w:val="en-US" w:eastAsia="en-US"/>
              </w:rPr>
            </w:pPr>
            <w:r w:rsidRPr="00745EF0">
              <w:rPr>
                <w:rFonts w:eastAsia="Times New Roman"/>
                <w:lang w:val="en-US" w:eastAsia="en-US"/>
              </w:rPr>
              <w:t xml:space="preserve">                   (5,158)</w:t>
            </w:r>
          </w:p>
        </w:tc>
        <w:tc>
          <w:tcPr>
            <w:tcW w:w="278" w:type="dxa"/>
            <w:tcBorders>
              <w:top w:val="nil"/>
              <w:left w:val="nil"/>
              <w:bottom w:val="nil"/>
              <w:right w:val="nil"/>
            </w:tcBorders>
            <w:shd w:val="clear" w:color="auto" w:fill="auto"/>
            <w:noWrap/>
            <w:vAlign w:val="center"/>
            <w:hideMark/>
          </w:tcPr>
          <w:p w14:paraId="1BDD3183" w14:textId="77777777" w:rsidR="00745EF0" w:rsidRPr="00745EF0" w:rsidRDefault="00745EF0" w:rsidP="00745EF0">
            <w:pPr>
              <w:spacing w:line="240" w:lineRule="auto"/>
              <w:jc w:val="center"/>
              <w:rPr>
                <w:rFonts w:eastAsia="Times New Roman"/>
                <w:lang w:val="en-US" w:eastAsia="en-US"/>
              </w:rPr>
            </w:pPr>
          </w:p>
        </w:tc>
        <w:tc>
          <w:tcPr>
            <w:tcW w:w="1525" w:type="dxa"/>
            <w:tcBorders>
              <w:top w:val="nil"/>
              <w:left w:val="nil"/>
              <w:bottom w:val="nil"/>
              <w:right w:val="nil"/>
            </w:tcBorders>
            <w:shd w:val="clear" w:color="auto" w:fill="auto"/>
            <w:noWrap/>
            <w:vAlign w:val="center"/>
            <w:hideMark/>
          </w:tcPr>
          <w:p w14:paraId="0FC141C3" w14:textId="77777777" w:rsidR="00745EF0" w:rsidRPr="00745EF0" w:rsidRDefault="00745EF0" w:rsidP="00745EF0">
            <w:pPr>
              <w:spacing w:line="240" w:lineRule="auto"/>
              <w:jc w:val="center"/>
              <w:rPr>
                <w:rFonts w:eastAsia="Times New Roman"/>
                <w:lang w:val="en-US" w:eastAsia="en-US"/>
              </w:rPr>
            </w:pPr>
            <w:r w:rsidRPr="00745EF0">
              <w:rPr>
                <w:rFonts w:eastAsia="Times New Roman"/>
                <w:lang w:val="en-US" w:eastAsia="en-US"/>
              </w:rPr>
              <w:t xml:space="preserve">                  (7,397)</w:t>
            </w:r>
          </w:p>
        </w:tc>
      </w:tr>
      <w:tr w:rsidR="00745EF0" w:rsidRPr="00745EF0" w14:paraId="06B1F247" w14:textId="77777777" w:rsidTr="002F6E52">
        <w:trPr>
          <w:trHeight w:val="426"/>
        </w:trPr>
        <w:tc>
          <w:tcPr>
            <w:tcW w:w="5899" w:type="dxa"/>
            <w:tcBorders>
              <w:top w:val="nil"/>
              <w:left w:val="nil"/>
              <w:bottom w:val="single" w:sz="4" w:space="0" w:color="auto"/>
              <w:right w:val="nil"/>
            </w:tcBorders>
            <w:shd w:val="clear" w:color="auto" w:fill="auto"/>
            <w:noWrap/>
            <w:vAlign w:val="center"/>
            <w:hideMark/>
          </w:tcPr>
          <w:p w14:paraId="40A6D0F9" w14:textId="77777777" w:rsidR="00745EF0" w:rsidRPr="00745EF0" w:rsidRDefault="00745EF0" w:rsidP="00745EF0">
            <w:pPr>
              <w:spacing w:line="240" w:lineRule="auto"/>
              <w:rPr>
                <w:rFonts w:eastAsia="Times New Roman"/>
                <w:lang w:val="en-US" w:eastAsia="en-US"/>
              </w:rPr>
            </w:pPr>
            <w:r w:rsidRPr="00745EF0">
              <w:rPr>
                <w:rFonts w:eastAsia="Times New Roman"/>
                <w:lang w:val="en-US" w:eastAsia="en-US"/>
              </w:rPr>
              <w:t>Depreciation &amp; amortization</w:t>
            </w:r>
          </w:p>
        </w:tc>
        <w:tc>
          <w:tcPr>
            <w:tcW w:w="874" w:type="dxa"/>
            <w:tcBorders>
              <w:top w:val="nil"/>
              <w:left w:val="nil"/>
              <w:bottom w:val="single" w:sz="4" w:space="0" w:color="auto"/>
              <w:right w:val="nil"/>
            </w:tcBorders>
            <w:shd w:val="clear" w:color="auto" w:fill="auto"/>
            <w:noWrap/>
            <w:vAlign w:val="center"/>
            <w:hideMark/>
          </w:tcPr>
          <w:p w14:paraId="5AABB3B3" w14:textId="77777777" w:rsidR="00745EF0" w:rsidRPr="00745EF0" w:rsidRDefault="00745EF0" w:rsidP="00745EF0">
            <w:pPr>
              <w:spacing w:line="240" w:lineRule="auto"/>
              <w:jc w:val="center"/>
              <w:rPr>
                <w:rFonts w:eastAsia="Times New Roman"/>
                <w:lang w:val="en-US" w:eastAsia="en-US"/>
              </w:rPr>
            </w:pPr>
            <w:r w:rsidRPr="00745EF0">
              <w:rPr>
                <w:rFonts w:eastAsia="Times New Roman"/>
                <w:lang w:val="en-US" w:eastAsia="en-US"/>
              </w:rPr>
              <w:t> </w:t>
            </w:r>
          </w:p>
        </w:tc>
        <w:tc>
          <w:tcPr>
            <w:tcW w:w="1594" w:type="dxa"/>
            <w:tcBorders>
              <w:top w:val="nil"/>
              <w:left w:val="nil"/>
              <w:bottom w:val="single" w:sz="4" w:space="0" w:color="auto"/>
              <w:right w:val="nil"/>
            </w:tcBorders>
            <w:shd w:val="clear" w:color="auto" w:fill="auto"/>
            <w:noWrap/>
            <w:vAlign w:val="center"/>
            <w:hideMark/>
          </w:tcPr>
          <w:p w14:paraId="0819D2AA" w14:textId="77777777" w:rsidR="00745EF0" w:rsidRPr="00745EF0" w:rsidRDefault="00745EF0" w:rsidP="00745EF0">
            <w:pPr>
              <w:spacing w:line="240" w:lineRule="auto"/>
              <w:jc w:val="center"/>
              <w:rPr>
                <w:rFonts w:eastAsia="Times New Roman"/>
                <w:lang w:val="en-US" w:eastAsia="en-US"/>
              </w:rPr>
            </w:pPr>
            <w:r w:rsidRPr="00745EF0">
              <w:rPr>
                <w:rFonts w:eastAsia="Times New Roman"/>
                <w:lang w:val="en-US" w:eastAsia="en-US"/>
              </w:rPr>
              <w:t xml:space="preserve">                      (871)</w:t>
            </w:r>
          </w:p>
        </w:tc>
        <w:tc>
          <w:tcPr>
            <w:tcW w:w="278" w:type="dxa"/>
            <w:tcBorders>
              <w:top w:val="nil"/>
              <w:left w:val="nil"/>
              <w:bottom w:val="single" w:sz="4" w:space="0" w:color="auto"/>
              <w:right w:val="nil"/>
            </w:tcBorders>
            <w:shd w:val="clear" w:color="auto" w:fill="auto"/>
            <w:noWrap/>
            <w:vAlign w:val="center"/>
            <w:hideMark/>
          </w:tcPr>
          <w:p w14:paraId="61B3882A" w14:textId="77777777" w:rsidR="00745EF0" w:rsidRPr="00745EF0" w:rsidRDefault="00745EF0" w:rsidP="00745EF0">
            <w:pPr>
              <w:spacing w:line="240" w:lineRule="auto"/>
              <w:jc w:val="center"/>
              <w:rPr>
                <w:rFonts w:eastAsia="Times New Roman"/>
                <w:lang w:val="en-US" w:eastAsia="en-US"/>
              </w:rPr>
            </w:pPr>
            <w:r w:rsidRPr="00745EF0">
              <w:rPr>
                <w:rFonts w:eastAsia="Times New Roman"/>
                <w:lang w:val="en-US" w:eastAsia="en-US"/>
              </w:rPr>
              <w:t> </w:t>
            </w:r>
          </w:p>
        </w:tc>
        <w:tc>
          <w:tcPr>
            <w:tcW w:w="1525" w:type="dxa"/>
            <w:tcBorders>
              <w:top w:val="nil"/>
              <w:left w:val="nil"/>
              <w:bottom w:val="single" w:sz="4" w:space="0" w:color="auto"/>
              <w:right w:val="nil"/>
            </w:tcBorders>
            <w:shd w:val="clear" w:color="auto" w:fill="auto"/>
            <w:noWrap/>
            <w:vAlign w:val="center"/>
            <w:hideMark/>
          </w:tcPr>
          <w:p w14:paraId="3F7BAD3E" w14:textId="77777777" w:rsidR="00745EF0" w:rsidRPr="00745EF0" w:rsidRDefault="00745EF0" w:rsidP="00745EF0">
            <w:pPr>
              <w:spacing w:line="240" w:lineRule="auto"/>
              <w:jc w:val="center"/>
              <w:rPr>
                <w:rFonts w:eastAsia="Times New Roman"/>
                <w:lang w:val="en-US" w:eastAsia="en-US"/>
              </w:rPr>
            </w:pPr>
            <w:r w:rsidRPr="00745EF0">
              <w:rPr>
                <w:rFonts w:eastAsia="Times New Roman"/>
                <w:lang w:val="en-US" w:eastAsia="en-US"/>
              </w:rPr>
              <w:t xml:space="preserve">                    (844)</w:t>
            </w:r>
          </w:p>
        </w:tc>
      </w:tr>
      <w:tr w:rsidR="00745EF0" w:rsidRPr="00745EF0" w14:paraId="09AE8FC0" w14:textId="77777777" w:rsidTr="002F6E52">
        <w:trPr>
          <w:trHeight w:val="426"/>
        </w:trPr>
        <w:tc>
          <w:tcPr>
            <w:tcW w:w="5899" w:type="dxa"/>
            <w:tcBorders>
              <w:top w:val="nil"/>
              <w:left w:val="nil"/>
              <w:bottom w:val="nil"/>
              <w:right w:val="nil"/>
            </w:tcBorders>
            <w:shd w:val="clear" w:color="auto" w:fill="auto"/>
            <w:noWrap/>
            <w:vAlign w:val="center"/>
            <w:hideMark/>
          </w:tcPr>
          <w:p w14:paraId="73A83D98" w14:textId="77777777" w:rsidR="00745EF0" w:rsidRPr="00745EF0" w:rsidRDefault="00745EF0" w:rsidP="00745EF0">
            <w:pPr>
              <w:spacing w:line="240" w:lineRule="auto"/>
              <w:rPr>
                <w:rFonts w:eastAsia="Times New Roman"/>
                <w:b/>
                <w:bCs/>
                <w:lang w:val="en-US" w:eastAsia="en-US"/>
              </w:rPr>
            </w:pPr>
            <w:r w:rsidRPr="00745EF0">
              <w:rPr>
                <w:rFonts w:eastAsia="Times New Roman"/>
                <w:b/>
                <w:bCs/>
                <w:lang w:val="en-US" w:eastAsia="en-US"/>
              </w:rPr>
              <w:t>Operating loss</w:t>
            </w:r>
          </w:p>
        </w:tc>
        <w:tc>
          <w:tcPr>
            <w:tcW w:w="874" w:type="dxa"/>
            <w:tcBorders>
              <w:top w:val="nil"/>
              <w:left w:val="nil"/>
              <w:bottom w:val="nil"/>
              <w:right w:val="nil"/>
            </w:tcBorders>
            <w:shd w:val="clear" w:color="auto" w:fill="auto"/>
            <w:noWrap/>
            <w:vAlign w:val="center"/>
            <w:hideMark/>
          </w:tcPr>
          <w:p w14:paraId="184FEC14" w14:textId="77777777" w:rsidR="00745EF0" w:rsidRPr="00745EF0" w:rsidRDefault="00745EF0" w:rsidP="00745EF0">
            <w:pPr>
              <w:spacing w:line="240" w:lineRule="auto"/>
              <w:rPr>
                <w:rFonts w:eastAsia="Times New Roman"/>
                <w:b/>
                <w:bCs/>
                <w:lang w:val="en-US" w:eastAsia="en-US"/>
              </w:rPr>
            </w:pPr>
          </w:p>
        </w:tc>
        <w:tc>
          <w:tcPr>
            <w:tcW w:w="1594" w:type="dxa"/>
            <w:tcBorders>
              <w:top w:val="nil"/>
              <w:left w:val="nil"/>
              <w:bottom w:val="nil"/>
              <w:right w:val="nil"/>
            </w:tcBorders>
            <w:shd w:val="clear" w:color="auto" w:fill="auto"/>
            <w:noWrap/>
            <w:vAlign w:val="center"/>
            <w:hideMark/>
          </w:tcPr>
          <w:p w14:paraId="4D20787B" w14:textId="77777777" w:rsidR="00745EF0" w:rsidRPr="00745EF0" w:rsidRDefault="00745EF0" w:rsidP="00745EF0">
            <w:pPr>
              <w:spacing w:line="240" w:lineRule="auto"/>
              <w:jc w:val="center"/>
              <w:rPr>
                <w:rFonts w:eastAsia="Times New Roman"/>
                <w:b/>
                <w:bCs/>
                <w:lang w:val="en-US" w:eastAsia="en-US"/>
              </w:rPr>
            </w:pPr>
            <w:r w:rsidRPr="00745EF0">
              <w:rPr>
                <w:rFonts w:eastAsia="Times New Roman"/>
                <w:b/>
                <w:bCs/>
                <w:lang w:val="en-US" w:eastAsia="en-US"/>
              </w:rPr>
              <w:t xml:space="preserve">                  (2,897)</w:t>
            </w:r>
          </w:p>
        </w:tc>
        <w:tc>
          <w:tcPr>
            <w:tcW w:w="278" w:type="dxa"/>
            <w:tcBorders>
              <w:top w:val="nil"/>
              <w:left w:val="nil"/>
              <w:bottom w:val="nil"/>
              <w:right w:val="nil"/>
            </w:tcBorders>
            <w:shd w:val="clear" w:color="auto" w:fill="auto"/>
            <w:noWrap/>
            <w:vAlign w:val="center"/>
            <w:hideMark/>
          </w:tcPr>
          <w:p w14:paraId="71BAEFE1" w14:textId="77777777" w:rsidR="00745EF0" w:rsidRPr="00745EF0" w:rsidRDefault="00745EF0" w:rsidP="00745EF0">
            <w:pPr>
              <w:spacing w:line="240" w:lineRule="auto"/>
              <w:jc w:val="center"/>
              <w:rPr>
                <w:rFonts w:eastAsia="Times New Roman"/>
                <w:b/>
                <w:bCs/>
                <w:lang w:val="en-US" w:eastAsia="en-US"/>
              </w:rPr>
            </w:pPr>
          </w:p>
        </w:tc>
        <w:tc>
          <w:tcPr>
            <w:tcW w:w="1525" w:type="dxa"/>
            <w:tcBorders>
              <w:top w:val="nil"/>
              <w:left w:val="nil"/>
              <w:bottom w:val="nil"/>
              <w:right w:val="nil"/>
            </w:tcBorders>
            <w:shd w:val="clear" w:color="auto" w:fill="auto"/>
            <w:noWrap/>
            <w:vAlign w:val="center"/>
            <w:hideMark/>
          </w:tcPr>
          <w:p w14:paraId="2B918BD7" w14:textId="77777777" w:rsidR="00745EF0" w:rsidRPr="00745EF0" w:rsidRDefault="00745EF0" w:rsidP="00745EF0">
            <w:pPr>
              <w:spacing w:line="240" w:lineRule="auto"/>
              <w:jc w:val="center"/>
              <w:rPr>
                <w:rFonts w:eastAsia="Times New Roman"/>
                <w:b/>
                <w:bCs/>
                <w:lang w:val="en-US" w:eastAsia="en-US"/>
              </w:rPr>
            </w:pPr>
            <w:r w:rsidRPr="00745EF0">
              <w:rPr>
                <w:rFonts w:eastAsia="Times New Roman"/>
                <w:b/>
                <w:bCs/>
                <w:lang w:val="en-US" w:eastAsia="en-US"/>
              </w:rPr>
              <w:t xml:space="preserve">                 (4,254)</w:t>
            </w:r>
          </w:p>
        </w:tc>
      </w:tr>
      <w:tr w:rsidR="002F6E52" w:rsidRPr="00745EF0" w14:paraId="6811E468" w14:textId="77777777" w:rsidTr="002F6E52">
        <w:trPr>
          <w:trHeight w:val="426"/>
        </w:trPr>
        <w:tc>
          <w:tcPr>
            <w:tcW w:w="5899" w:type="dxa"/>
            <w:tcBorders>
              <w:top w:val="single" w:sz="4" w:space="0" w:color="auto"/>
              <w:left w:val="nil"/>
              <w:bottom w:val="nil"/>
              <w:right w:val="nil"/>
            </w:tcBorders>
            <w:shd w:val="clear" w:color="auto" w:fill="auto"/>
            <w:noWrap/>
            <w:vAlign w:val="center"/>
            <w:hideMark/>
          </w:tcPr>
          <w:p w14:paraId="08CD67A9" w14:textId="77777777" w:rsidR="002F6E52" w:rsidRPr="00745EF0" w:rsidRDefault="002F6E52" w:rsidP="002F6E52">
            <w:pPr>
              <w:spacing w:line="240" w:lineRule="auto"/>
              <w:rPr>
                <w:rFonts w:eastAsia="Times New Roman"/>
                <w:lang w:val="en-US" w:eastAsia="en-US"/>
              </w:rPr>
            </w:pPr>
            <w:r w:rsidRPr="00745EF0">
              <w:rPr>
                <w:rFonts w:eastAsia="Times New Roman"/>
                <w:lang w:val="en-US" w:eastAsia="en-US"/>
              </w:rPr>
              <w:t>Finance cost</w:t>
            </w:r>
          </w:p>
        </w:tc>
        <w:tc>
          <w:tcPr>
            <w:tcW w:w="874" w:type="dxa"/>
            <w:tcBorders>
              <w:top w:val="single" w:sz="4" w:space="0" w:color="auto"/>
              <w:left w:val="nil"/>
              <w:bottom w:val="nil"/>
              <w:right w:val="nil"/>
            </w:tcBorders>
            <w:shd w:val="clear" w:color="auto" w:fill="auto"/>
            <w:noWrap/>
            <w:vAlign w:val="center"/>
            <w:hideMark/>
          </w:tcPr>
          <w:p w14:paraId="4B0E66A1" w14:textId="534F9A07" w:rsidR="002F6E52" w:rsidRPr="00745EF0" w:rsidRDefault="002F6E52" w:rsidP="002F6E52">
            <w:pPr>
              <w:spacing w:line="240" w:lineRule="auto"/>
              <w:jc w:val="center"/>
              <w:rPr>
                <w:rFonts w:eastAsia="Times New Roman"/>
                <w:lang w:val="en-US" w:eastAsia="en-US"/>
              </w:rPr>
            </w:pPr>
          </w:p>
        </w:tc>
        <w:tc>
          <w:tcPr>
            <w:tcW w:w="1594" w:type="dxa"/>
            <w:tcBorders>
              <w:top w:val="single" w:sz="4" w:space="0" w:color="auto"/>
              <w:left w:val="nil"/>
              <w:bottom w:val="nil"/>
              <w:right w:val="nil"/>
            </w:tcBorders>
            <w:shd w:val="clear" w:color="auto" w:fill="auto"/>
            <w:noWrap/>
            <w:vAlign w:val="center"/>
            <w:hideMark/>
          </w:tcPr>
          <w:p w14:paraId="02841D16" w14:textId="0DB522CF" w:rsidR="002F6E52" w:rsidRPr="00745EF0" w:rsidRDefault="002F6E52" w:rsidP="002F6E52">
            <w:pPr>
              <w:spacing w:line="240" w:lineRule="auto"/>
              <w:jc w:val="center"/>
              <w:rPr>
                <w:rFonts w:eastAsia="Times New Roman"/>
                <w:lang w:val="en-US" w:eastAsia="en-US"/>
              </w:rPr>
            </w:pPr>
            <w:r w:rsidRPr="00745EF0">
              <w:rPr>
                <w:rFonts w:eastAsia="Times New Roman"/>
                <w:lang w:val="en-US" w:eastAsia="en-US"/>
              </w:rPr>
              <w:t xml:space="preserve">                      (243)</w:t>
            </w:r>
          </w:p>
        </w:tc>
        <w:tc>
          <w:tcPr>
            <w:tcW w:w="278" w:type="dxa"/>
            <w:tcBorders>
              <w:top w:val="single" w:sz="4" w:space="0" w:color="auto"/>
              <w:left w:val="nil"/>
              <w:bottom w:val="nil"/>
              <w:right w:val="nil"/>
            </w:tcBorders>
            <w:shd w:val="clear" w:color="auto" w:fill="auto"/>
            <w:noWrap/>
            <w:vAlign w:val="center"/>
            <w:hideMark/>
          </w:tcPr>
          <w:p w14:paraId="215C8C5E" w14:textId="77777777" w:rsidR="002F6E52" w:rsidRPr="00745EF0" w:rsidRDefault="002F6E52" w:rsidP="002F6E52">
            <w:pPr>
              <w:spacing w:line="240" w:lineRule="auto"/>
              <w:jc w:val="center"/>
              <w:rPr>
                <w:rFonts w:eastAsia="Times New Roman"/>
                <w:lang w:val="en-US" w:eastAsia="en-US"/>
              </w:rPr>
            </w:pPr>
            <w:r w:rsidRPr="00745EF0">
              <w:rPr>
                <w:rFonts w:eastAsia="Times New Roman"/>
                <w:lang w:val="en-US" w:eastAsia="en-US"/>
              </w:rPr>
              <w:t> </w:t>
            </w:r>
          </w:p>
        </w:tc>
        <w:tc>
          <w:tcPr>
            <w:tcW w:w="1525" w:type="dxa"/>
            <w:tcBorders>
              <w:top w:val="single" w:sz="4" w:space="0" w:color="auto"/>
              <w:left w:val="nil"/>
              <w:bottom w:val="nil"/>
              <w:right w:val="nil"/>
            </w:tcBorders>
            <w:shd w:val="clear" w:color="auto" w:fill="auto"/>
            <w:noWrap/>
            <w:vAlign w:val="center"/>
            <w:hideMark/>
          </w:tcPr>
          <w:p w14:paraId="7681AE8A" w14:textId="77777777" w:rsidR="002F6E52" w:rsidRPr="00745EF0" w:rsidRDefault="002F6E52" w:rsidP="002F6E52">
            <w:pPr>
              <w:spacing w:line="240" w:lineRule="auto"/>
              <w:jc w:val="center"/>
              <w:rPr>
                <w:rFonts w:eastAsia="Times New Roman"/>
                <w:lang w:val="en-US" w:eastAsia="en-US"/>
              </w:rPr>
            </w:pPr>
            <w:r w:rsidRPr="00745EF0">
              <w:rPr>
                <w:rFonts w:eastAsia="Times New Roman"/>
                <w:lang w:val="en-US" w:eastAsia="en-US"/>
              </w:rPr>
              <w:t xml:space="preserve">                    (243)</w:t>
            </w:r>
          </w:p>
        </w:tc>
      </w:tr>
      <w:tr w:rsidR="002F6E52" w:rsidRPr="00745EF0" w14:paraId="02DAF4CD" w14:textId="77777777" w:rsidTr="002F6E52">
        <w:trPr>
          <w:trHeight w:val="426"/>
        </w:trPr>
        <w:tc>
          <w:tcPr>
            <w:tcW w:w="5899" w:type="dxa"/>
            <w:tcBorders>
              <w:top w:val="nil"/>
              <w:left w:val="nil"/>
              <w:bottom w:val="nil"/>
              <w:right w:val="nil"/>
            </w:tcBorders>
            <w:shd w:val="clear" w:color="auto" w:fill="auto"/>
            <w:noWrap/>
            <w:vAlign w:val="center"/>
            <w:hideMark/>
          </w:tcPr>
          <w:p w14:paraId="117468CA" w14:textId="77777777" w:rsidR="002F6E52" w:rsidRPr="00745EF0" w:rsidRDefault="002F6E52" w:rsidP="002F6E52">
            <w:pPr>
              <w:spacing w:line="240" w:lineRule="auto"/>
              <w:rPr>
                <w:rFonts w:eastAsia="Times New Roman"/>
                <w:lang w:val="en-US" w:eastAsia="en-US"/>
              </w:rPr>
            </w:pPr>
            <w:r w:rsidRPr="00745EF0">
              <w:rPr>
                <w:rFonts w:eastAsia="Times New Roman"/>
                <w:lang w:val="en-US" w:eastAsia="en-US"/>
              </w:rPr>
              <w:t>Other income</w:t>
            </w:r>
          </w:p>
        </w:tc>
        <w:tc>
          <w:tcPr>
            <w:tcW w:w="874" w:type="dxa"/>
            <w:tcBorders>
              <w:top w:val="nil"/>
              <w:left w:val="nil"/>
              <w:bottom w:val="nil"/>
              <w:right w:val="nil"/>
            </w:tcBorders>
            <w:shd w:val="clear" w:color="auto" w:fill="auto"/>
            <w:noWrap/>
            <w:vAlign w:val="center"/>
            <w:hideMark/>
          </w:tcPr>
          <w:p w14:paraId="39E4BC4A" w14:textId="77777777" w:rsidR="002F6E52" w:rsidRPr="00745EF0" w:rsidRDefault="002F6E52" w:rsidP="002F6E52">
            <w:pPr>
              <w:spacing w:line="240" w:lineRule="auto"/>
              <w:rPr>
                <w:rFonts w:eastAsia="Times New Roman"/>
                <w:lang w:val="en-US" w:eastAsia="en-US"/>
              </w:rPr>
            </w:pPr>
          </w:p>
        </w:tc>
        <w:tc>
          <w:tcPr>
            <w:tcW w:w="1594" w:type="dxa"/>
            <w:tcBorders>
              <w:top w:val="nil"/>
              <w:left w:val="nil"/>
              <w:bottom w:val="nil"/>
              <w:right w:val="nil"/>
            </w:tcBorders>
            <w:shd w:val="clear" w:color="auto" w:fill="auto"/>
            <w:noWrap/>
            <w:vAlign w:val="center"/>
            <w:hideMark/>
          </w:tcPr>
          <w:p w14:paraId="1718317C" w14:textId="53AFDCC0" w:rsidR="002F6E52" w:rsidRPr="00745EF0" w:rsidRDefault="002F6E52" w:rsidP="002F6E52">
            <w:pPr>
              <w:spacing w:line="240" w:lineRule="auto"/>
              <w:jc w:val="center"/>
              <w:rPr>
                <w:rFonts w:eastAsia="Times New Roman"/>
                <w:lang w:val="en-US" w:eastAsia="en-US"/>
              </w:rPr>
            </w:pPr>
            <w:r w:rsidRPr="00745EF0">
              <w:rPr>
                <w:rFonts w:eastAsia="Times New Roman"/>
                <w:lang w:val="en-US" w:eastAsia="en-US"/>
              </w:rPr>
              <w:t xml:space="preserve">                     1,</w:t>
            </w:r>
            <w:r>
              <w:rPr>
                <w:rFonts w:eastAsia="Times New Roman"/>
                <w:lang w:val="en-US" w:eastAsia="en-US"/>
              </w:rPr>
              <w:t>184</w:t>
            </w:r>
            <w:r w:rsidRPr="00745EF0">
              <w:rPr>
                <w:rFonts w:eastAsia="Times New Roman"/>
                <w:lang w:val="en-US" w:eastAsia="en-US"/>
              </w:rPr>
              <w:t xml:space="preserve"> </w:t>
            </w:r>
          </w:p>
        </w:tc>
        <w:tc>
          <w:tcPr>
            <w:tcW w:w="278" w:type="dxa"/>
            <w:tcBorders>
              <w:top w:val="nil"/>
              <w:left w:val="nil"/>
              <w:bottom w:val="nil"/>
              <w:right w:val="nil"/>
            </w:tcBorders>
            <w:shd w:val="clear" w:color="auto" w:fill="auto"/>
            <w:noWrap/>
            <w:vAlign w:val="center"/>
            <w:hideMark/>
          </w:tcPr>
          <w:p w14:paraId="162F2A48" w14:textId="77777777" w:rsidR="002F6E52" w:rsidRPr="00745EF0" w:rsidRDefault="002F6E52" w:rsidP="002F6E52">
            <w:pPr>
              <w:spacing w:line="240" w:lineRule="auto"/>
              <w:jc w:val="center"/>
              <w:rPr>
                <w:rFonts w:eastAsia="Times New Roman"/>
                <w:lang w:val="en-US" w:eastAsia="en-US"/>
              </w:rPr>
            </w:pPr>
          </w:p>
        </w:tc>
        <w:tc>
          <w:tcPr>
            <w:tcW w:w="1525" w:type="dxa"/>
            <w:tcBorders>
              <w:top w:val="nil"/>
              <w:left w:val="nil"/>
              <w:bottom w:val="nil"/>
              <w:right w:val="nil"/>
            </w:tcBorders>
            <w:shd w:val="clear" w:color="auto" w:fill="auto"/>
            <w:noWrap/>
            <w:vAlign w:val="center"/>
            <w:hideMark/>
          </w:tcPr>
          <w:p w14:paraId="2A75C388" w14:textId="77777777" w:rsidR="002F6E52" w:rsidRPr="00745EF0" w:rsidRDefault="002F6E52" w:rsidP="002F6E52">
            <w:pPr>
              <w:spacing w:line="240" w:lineRule="auto"/>
              <w:jc w:val="center"/>
              <w:rPr>
                <w:rFonts w:eastAsia="Times New Roman"/>
                <w:lang w:val="en-US" w:eastAsia="en-US"/>
              </w:rPr>
            </w:pPr>
            <w:r w:rsidRPr="00745EF0">
              <w:rPr>
                <w:rFonts w:eastAsia="Times New Roman"/>
                <w:lang w:val="en-US" w:eastAsia="en-US"/>
              </w:rPr>
              <w:t xml:space="preserve">                        -   </w:t>
            </w:r>
          </w:p>
        </w:tc>
      </w:tr>
      <w:tr w:rsidR="002F6E52" w:rsidRPr="00745EF0" w14:paraId="227211D2" w14:textId="77777777" w:rsidTr="002F6E52">
        <w:trPr>
          <w:trHeight w:val="426"/>
        </w:trPr>
        <w:tc>
          <w:tcPr>
            <w:tcW w:w="5899" w:type="dxa"/>
            <w:tcBorders>
              <w:top w:val="nil"/>
              <w:left w:val="nil"/>
              <w:bottom w:val="nil"/>
              <w:right w:val="nil"/>
            </w:tcBorders>
            <w:shd w:val="clear" w:color="auto" w:fill="auto"/>
            <w:noWrap/>
            <w:vAlign w:val="center"/>
            <w:hideMark/>
          </w:tcPr>
          <w:p w14:paraId="24EE1F63" w14:textId="77777777" w:rsidR="002F6E52" w:rsidRPr="00745EF0" w:rsidRDefault="002F6E52" w:rsidP="002F6E52">
            <w:pPr>
              <w:spacing w:line="240" w:lineRule="auto"/>
              <w:rPr>
                <w:rFonts w:eastAsia="Times New Roman"/>
                <w:lang w:val="en-US" w:eastAsia="en-US"/>
              </w:rPr>
            </w:pPr>
            <w:r w:rsidRPr="00745EF0">
              <w:rPr>
                <w:rFonts w:eastAsia="Times New Roman"/>
                <w:lang w:val="en-US" w:eastAsia="en-US"/>
              </w:rPr>
              <w:t>Gain on sale of assets-net</w:t>
            </w:r>
          </w:p>
        </w:tc>
        <w:tc>
          <w:tcPr>
            <w:tcW w:w="874" w:type="dxa"/>
            <w:tcBorders>
              <w:top w:val="nil"/>
              <w:left w:val="nil"/>
              <w:bottom w:val="nil"/>
              <w:right w:val="nil"/>
            </w:tcBorders>
            <w:shd w:val="clear" w:color="auto" w:fill="auto"/>
            <w:noWrap/>
            <w:vAlign w:val="center"/>
            <w:hideMark/>
          </w:tcPr>
          <w:p w14:paraId="5E36D44F" w14:textId="77777777" w:rsidR="002F6E52" w:rsidRPr="00745EF0" w:rsidRDefault="002F6E52" w:rsidP="002F6E52">
            <w:pPr>
              <w:spacing w:line="240" w:lineRule="auto"/>
              <w:rPr>
                <w:rFonts w:eastAsia="Times New Roman"/>
                <w:lang w:val="en-US" w:eastAsia="en-US"/>
              </w:rPr>
            </w:pPr>
          </w:p>
        </w:tc>
        <w:tc>
          <w:tcPr>
            <w:tcW w:w="1594" w:type="dxa"/>
            <w:tcBorders>
              <w:top w:val="nil"/>
              <w:left w:val="nil"/>
              <w:bottom w:val="nil"/>
              <w:right w:val="nil"/>
            </w:tcBorders>
            <w:shd w:val="clear" w:color="auto" w:fill="auto"/>
            <w:noWrap/>
            <w:vAlign w:val="center"/>
            <w:hideMark/>
          </w:tcPr>
          <w:p w14:paraId="787BC625" w14:textId="5698234D" w:rsidR="002F6E52" w:rsidRPr="00745EF0" w:rsidRDefault="002F6E52" w:rsidP="002F6E52">
            <w:pPr>
              <w:spacing w:line="240" w:lineRule="auto"/>
              <w:jc w:val="center"/>
              <w:rPr>
                <w:rFonts w:eastAsia="Times New Roman"/>
                <w:lang w:val="en-US" w:eastAsia="en-US"/>
              </w:rPr>
            </w:pPr>
            <w:r w:rsidRPr="00745EF0">
              <w:rPr>
                <w:rFonts w:eastAsia="Times New Roman"/>
                <w:lang w:val="en-US" w:eastAsia="en-US"/>
              </w:rPr>
              <w:t xml:space="preserve">                       942 </w:t>
            </w:r>
          </w:p>
        </w:tc>
        <w:tc>
          <w:tcPr>
            <w:tcW w:w="278" w:type="dxa"/>
            <w:tcBorders>
              <w:top w:val="nil"/>
              <w:left w:val="nil"/>
              <w:bottom w:val="nil"/>
              <w:right w:val="nil"/>
            </w:tcBorders>
            <w:shd w:val="clear" w:color="auto" w:fill="auto"/>
            <w:noWrap/>
            <w:vAlign w:val="center"/>
            <w:hideMark/>
          </w:tcPr>
          <w:p w14:paraId="3F6D656A" w14:textId="77777777" w:rsidR="002F6E52" w:rsidRPr="00745EF0" w:rsidRDefault="002F6E52" w:rsidP="002F6E52">
            <w:pPr>
              <w:spacing w:line="240" w:lineRule="auto"/>
              <w:jc w:val="center"/>
              <w:rPr>
                <w:rFonts w:eastAsia="Times New Roman"/>
                <w:lang w:val="en-US" w:eastAsia="en-US"/>
              </w:rPr>
            </w:pPr>
          </w:p>
        </w:tc>
        <w:tc>
          <w:tcPr>
            <w:tcW w:w="1525" w:type="dxa"/>
            <w:tcBorders>
              <w:top w:val="nil"/>
              <w:left w:val="nil"/>
              <w:bottom w:val="nil"/>
              <w:right w:val="nil"/>
            </w:tcBorders>
            <w:shd w:val="clear" w:color="auto" w:fill="auto"/>
            <w:noWrap/>
            <w:vAlign w:val="center"/>
            <w:hideMark/>
          </w:tcPr>
          <w:p w14:paraId="62D8639B" w14:textId="77777777" w:rsidR="002F6E52" w:rsidRPr="00745EF0" w:rsidRDefault="002F6E52" w:rsidP="002F6E52">
            <w:pPr>
              <w:spacing w:line="240" w:lineRule="auto"/>
              <w:jc w:val="center"/>
              <w:rPr>
                <w:rFonts w:eastAsia="Times New Roman"/>
                <w:lang w:val="en-US" w:eastAsia="en-US"/>
              </w:rPr>
            </w:pPr>
            <w:r w:rsidRPr="00745EF0">
              <w:rPr>
                <w:rFonts w:eastAsia="Times New Roman"/>
                <w:lang w:val="en-US" w:eastAsia="en-US"/>
              </w:rPr>
              <w:t xml:space="preserve">                        -   </w:t>
            </w:r>
          </w:p>
        </w:tc>
      </w:tr>
      <w:tr w:rsidR="002F6E52" w:rsidRPr="00745EF0" w14:paraId="7D403697" w14:textId="77777777" w:rsidTr="002F6E52">
        <w:trPr>
          <w:trHeight w:val="426"/>
        </w:trPr>
        <w:tc>
          <w:tcPr>
            <w:tcW w:w="5899" w:type="dxa"/>
            <w:tcBorders>
              <w:top w:val="nil"/>
              <w:left w:val="nil"/>
              <w:bottom w:val="nil"/>
              <w:right w:val="nil"/>
            </w:tcBorders>
            <w:shd w:val="clear" w:color="auto" w:fill="auto"/>
            <w:noWrap/>
            <w:vAlign w:val="center"/>
            <w:hideMark/>
          </w:tcPr>
          <w:p w14:paraId="0D2256F8" w14:textId="77777777" w:rsidR="002F6E52" w:rsidRPr="00745EF0" w:rsidRDefault="002F6E52" w:rsidP="002F6E52">
            <w:pPr>
              <w:spacing w:line="240" w:lineRule="auto"/>
              <w:rPr>
                <w:rFonts w:eastAsia="Times New Roman"/>
                <w:lang w:val="en-US" w:eastAsia="en-US"/>
              </w:rPr>
            </w:pPr>
            <w:proofErr w:type="spellStart"/>
            <w:r w:rsidRPr="00745EF0">
              <w:rPr>
                <w:rFonts w:eastAsia="Times New Roman"/>
                <w:lang w:val="en-US" w:eastAsia="en-US"/>
              </w:rPr>
              <w:t>Realised</w:t>
            </w:r>
            <w:proofErr w:type="spellEnd"/>
            <w:r w:rsidRPr="00745EF0">
              <w:rPr>
                <w:rFonts w:eastAsia="Times New Roman"/>
                <w:lang w:val="en-US" w:eastAsia="en-US"/>
              </w:rPr>
              <w:t xml:space="preserve"> currency gain</w:t>
            </w:r>
          </w:p>
        </w:tc>
        <w:tc>
          <w:tcPr>
            <w:tcW w:w="874" w:type="dxa"/>
            <w:tcBorders>
              <w:top w:val="nil"/>
              <w:left w:val="nil"/>
              <w:bottom w:val="nil"/>
              <w:right w:val="nil"/>
            </w:tcBorders>
            <w:shd w:val="clear" w:color="auto" w:fill="auto"/>
            <w:noWrap/>
            <w:vAlign w:val="center"/>
            <w:hideMark/>
          </w:tcPr>
          <w:p w14:paraId="796F2BFA" w14:textId="77777777" w:rsidR="002F6E52" w:rsidRPr="00745EF0" w:rsidRDefault="002F6E52" w:rsidP="002F6E52">
            <w:pPr>
              <w:spacing w:line="240" w:lineRule="auto"/>
              <w:rPr>
                <w:rFonts w:eastAsia="Times New Roman"/>
                <w:lang w:val="en-US" w:eastAsia="en-US"/>
              </w:rPr>
            </w:pPr>
          </w:p>
        </w:tc>
        <w:tc>
          <w:tcPr>
            <w:tcW w:w="1594" w:type="dxa"/>
            <w:tcBorders>
              <w:top w:val="nil"/>
              <w:left w:val="nil"/>
              <w:bottom w:val="nil"/>
              <w:right w:val="nil"/>
            </w:tcBorders>
            <w:shd w:val="clear" w:color="auto" w:fill="auto"/>
            <w:noWrap/>
            <w:vAlign w:val="center"/>
            <w:hideMark/>
          </w:tcPr>
          <w:p w14:paraId="38F70564" w14:textId="7F0163DA" w:rsidR="002F6E52" w:rsidRPr="00745EF0" w:rsidRDefault="002F6E52" w:rsidP="002F6E52">
            <w:pPr>
              <w:spacing w:line="240" w:lineRule="auto"/>
              <w:jc w:val="center"/>
              <w:rPr>
                <w:rFonts w:eastAsia="Times New Roman"/>
                <w:lang w:val="en-US" w:eastAsia="en-US"/>
              </w:rPr>
            </w:pPr>
            <w:r w:rsidRPr="00745EF0">
              <w:rPr>
                <w:rFonts w:eastAsia="Times New Roman"/>
                <w:lang w:val="en-US" w:eastAsia="en-US"/>
              </w:rPr>
              <w:t xml:space="preserve">                           4 </w:t>
            </w:r>
          </w:p>
        </w:tc>
        <w:tc>
          <w:tcPr>
            <w:tcW w:w="278" w:type="dxa"/>
            <w:tcBorders>
              <w:top w:val="nil"/>
              <w:left w:val="nil"/>
              <w:bottom w:val="nil"/>
              <w:right w:val="nil"/>
            </w:tcBorders>
            <w:shd w:val="clear" w:color="auto" w:fill="auto"/>
            <w:noWrap/>
            <w:vAlign w:val="center"/>
            <w:hideMark/>
          </w:tcPr>
          <w:p w14:paraId="779692A2" w14:textId="77777777" w:rsidR="002F6E52" w:rsidRPr="00745EF0" w:rsidRDefault="002F6E52" w:rsidP="002F6E52">
            <w:pPr>
              <w:spacing w:line="240" w:lineRule="auto"/>
              <w:jc w:val="center"/>
              <w:rPr>
                <w:rFonts w:eastAsia="Times New Roman"/>
                <w:lang w:val="en-US" w:eastAsia="en-US"/>
              </w:rPr>
            </w:pPr>
          </w:p>
        </w:tc>
        <w:tc>
          <w:tcPr>
            <w:tcW w:w="1525" w:type="dxa"/>
            <w:tcBorders>
              <w:top w:val="nil"/>
              <w:left w:val="nil"/>
              <w:bottom w:val="nil"/>
              <w:right w:val="nil"/>
            </w:tcBorders>
            <w:shd w:val="clear" w:color="auto" w:fill="auto"/>
            <w:noWrap/>
            <w:vAlign w:val="center"/>
            <w:hideMark/>
          </w:tcPr>
          <w:p w14:paraId="668451BA" w14:textId="77777777" w:rsidR="002F6E52" w:rsidRPr="00745EF0" w:rsidRDefault="002F6E52" w:rsidP="002F6E52">
            <w:pPr>
              <w:spacing w:line="240" w:lineRule="auto"/>
              <w:jc w:val="center"/>
              <w:rPr>
                <w:rFonts w:eastAsia="Times New Roman"/>
                <w:lang w:val="en-US" w:eastAsia="en-US"/>
              </w:rPr>
            </w:pPr>
            <w:r w:rsidRPr="00745EF0">
              <w:rPr>
                <w:rFonts w:eastAsia="Times New Roman"/>
                <w:lang w:val="en-US" w:eastAsia="en-US"/>
              </w:rPr>
              <w:t xml:space="preserve">                        -   </w:t>
            </w:r>
          </w:p>
        </w:tc>
      </w:tr>
      <w:tr w:rsidR="002F6E52" w:rsidRPr="00745EF0" w14:paraId="0D9CE89B" w14:textId="77777777" w:rsidTr="002F6E52">
        <w:trPr>
          <w:trHeight w:val="426"/>
        </w:trPr>
        <w:tc>
          <w:tcPr>
            <w:tcW w:w="5899" w:type="dxa"/>
            <w:tcBorders>
              <w:top w:val="single" w:sz="4" w:space="0" w:color="auto"/>
              <w:left w:val="nil"/>
              <w:bottom w:val="single" w:sz="4" w:space="0" w:color="auto"/>
              <w:right w:val="nil"/>
            </w:tcBorders>
            <w:shd w:val="clear" w:color="auto" w:fill="auto"/>
            <w:noWrap/>
            <w:vAlign w:val="center"/>
            <w:hideMark/>
          </w:tcPr>
          <w:p w14:paraId="237B3FE2" w14:textId="77777777" w:rsidR="002F6E52" w:rsidRPr="00745EF0" w:rsidRDefault="002F6E52" w:rsidP="002F6E52">
            <w:pPr>
              <w:spacing w:line="240" w:lineRule="auto"/>
              <w:rPr>
                <w:rFonts w:eastAsia="Times New Roman"/>
                <w:b/>
                <w:bCs/>
                <w:lang w:val="en-US" w:eastAsia="en-US"/>
              </w:rPr>
            </w:pPr>
            <w:r w:rsidRPr="00745EF0">
              <w:rPr>
                <w:rFonts w:eastAsia="Times New Roman"/>
                <w:b/>
                <w:bCs/>
                <w:lang w:val="en-US" w:eastAsia="en-US"/>
              </w:rPr>
              <w:t>Loss before taxation</w:t>
            </w:r>
          </w:p>
        </w:tc>
        <w:tc>
          <w:tcPr>
            <w:tcW w:w="874" w:type="dxa"/>
            <w:tcBorders>
              <w:top w:val="single" w:sz="4" w:space="0" w:color="auto"/>
              <w:left w:val="nil"/>
              <w:bottom w:val="single" w:sz="4" w:space="0" w:color="auto"/>
              <w:right w:val="nil"/>
            </w:tcBorders>
            <w:shd w:val="clear" w:color="auto" w:fill="auto"/>
            <w:noWrap/>
            <w:vAlign w:val="center"/>
            <w:hideMark/>
          </w:tcPr>
          <w:p w14:paraId="4A4E92D9" w14:textId="77777777" w:rsidR="002F6E52" w:rsidRPr="00745EF0" w:rsidRDefault="002F6E52" w:rsidP="002F6E52">
            <w:pPr>
              <w:spacing w:line="240" w:lineRule="auto"/>
              <w:jc w:val="center"/>
              <w:rPr>
                <w:rFonts w:eastAsia="Times New Roman"/>
                <w:lang w:val="en-US" w:eastAsia="en-US"/>
              </w:rPr>
            </w:pPr>
            <w:r w:rsidRPr="00745EF0">
              <w:rPr>
                <w:rFonts w:eastAsia="Times New Roman"/>
                <w:lang w:val="en-US" w:eastAsia="en-US"/>
              </w:rPr>
              <w:t> </w:t>
            </w:r>
          </w:p>
        </w:tc>
        <w:tc>
          <w:tcPr>
            <w:tcW w:w="1594" w:type="dxa"/>
            <w:tcBorders>
              <w:top w:val="single" w:sz="4" w:space="0" w:color="auto"/>
              <w:left w:val="nil"/>
              <w:bottom w:val="single" w:sz="4" w:space="0" w:color="auto"/>
              <w:right w:val="nil"/>
            </w:tcBorders>
            <w:shd w:val="clear" w:color="auto" w:fill="auto"/>
            <w:noWrap/>
            <w:vAlign w:val="center"/>
            <w:hideMark/>
          </w:tcPr>
          <w:p w14:paraId="43646F31" w14:textId="5A96D394" w:rsidR="002F6E52" w:rsidRPr="00745EF0" w:rsidRDefault="002F6E52" w:rsidP="002F6E52">
            <w:pPr>
              <w:spacing w:line="240" w:lineRule="auto"/>
              <w:jc w:val="center"/>
              <w:rPr>
                <w:rFonts w:eastAsia="Times New Roman"/>
                <w:b/>
                <w:bCs/>
                <w:lang w:val="en-US" w:eastAsia="en-US"/>
              </w:rPr>
            </w:pPr>
            <w:r>
              <w:rPr>
                <w:b/>
                <w:bCs/>
              </w:rPr>
              <w:t xml:space="preserve">                  (1,010)</w:t>
            </w:r>
          </w:p>
        </w:tc>
        <w:tc>
          <w:tcPr>
            <w:tcW w:w="278" w:type="dxa"/>
            <w:tcBorders>
              <w:top w:val="single" w:sz="4" w:space="0" w:color="auto"/>
              <w:left w:val="nil"/>
              <w:bottom w:val="single" w:sz="4" w:space="0" w:color="auto"/>
              <w:right w:val="nil"/>
            </w:tcBorders>
            <w:shd w:val="clear" w:color="auto" w:fill="auto"/>
            <w:noWrap/>
            <w:vAlign w:val="center"/>
            <w:hideMark/>
          </w:tcPr>
          <w:p w14:paraId="7F0A74E7" w14:textId="77777777" w:rsidR="002F6E52" w:rsidRPr="00745EF0" w:rsidRDefault="002F6E52" w:rsidP="002F6E52">
            <w:pPr>
              <w:spacing w:line="240" w:lineRule="auto"/>
              <w:jc w:val="center"/>
              <w:rPr>
                <w:rFonts w:eastAsia="Times New Roman"/>
                <w:b/>
                <w:bCs/>
                <w:lang w:val="en-US" w:eastAsia="en-US"/>
              </w:rPr>
            </w:pPr>
            <w:r w:rsidRPr="00745EF0">
              <w:rPr>
                <w:rFonts w:eastAsia="Times New Roman"/>
                <w:b/>
                <w:bCs/>
                <w:lang w:val="en-US" w:eastAsia="en-US"/>
              </w:rPr>
              <w:t> </w:t>
            </w:r>
          </w:p>
        </w:tc>
        <w:tc>
          <w:tcPr>
            <w:tcW w:w="1525" w:type="dxa"/>
            <w:tcBorders>
              <w:top w:val="single" w:sz="4" w:space="0" w:color="auto"/>
              <w:left w:val="nil"/>
              <w:bottom w:val="single" w:sz="4" w:space="0" w:color="auto"/>
              <w:right w:val="nil"/>
            </w:tcBorders>
            <w:shd w:val="clear" w:color="auto" w:fill="auto"/>
            <w:noWrap/>
            <w:vAlign w:val="center"/>
            <w:hideMark/>
          </w:tcPr>
          <w:p w14:paraId="4F33B468" w14:textId="77777777" w:rsidR="002F6E52" w:rsidRPr="00745EF0" w:rsidRDefault="002F6E52" w:rsidP="002F6E52">
            <w:pPr>
              <w:spacing w:line="240" w:lineRule="auto"/>
              <w:jc w:val="center"/>
              <w:rPr>
                <w:rFonts w:eastAsia="Times New Roman"/>
                <w:b/>
                <w:bCs/>
                <w:lang w:val="en-US" w:eastAsia="en-US"/>
              </w:rPr>
            </w:pPr>
            <w:r w:rsidRPr="00745EF0">
              <w:rPr>
                <w:rFonts w:eastAsia="Times New Roman"/>
                <w:b/>
                <w:bCs/>
                <w:lang w:val="en-US" w:eastAsia="en-US"/>
              </w:rPr>
              <w:t xml:space="preserve">                 (4,497)</w:t>
            </w:r>
          </w:p>
        </w:tc>
      </w:tr>
      <w:tr w:rsidR="002F6E52" w:rsidRPr="00745EF0" w14:paraId="30620E06" w14:textId="77777777" w:rsidTr="002F6E52">
        <w:trPr>
          <w:trHeight w:val="426"/>
        </w:trPr>
        <w:tc>
          <w:tcPr>
            <w:tcW w:w="5899" w:type="dxa"/>
            <w:tcBorders>
              <w:top w:val="nil"/>
              <w:left w:val="nil"/>
              <w:bottom w:val="nil"/>
              <w:right w:val="nil"/>
            </w:tcBorders>
            <w:shd w:val="clear" w:color="auto" w:fill="auto"/>
            <w:noWrap/>
            <w:vAlign w:val="center"/>
            <w:hideMark/>
          </w:tcPr>
          <w:p w14:paraId="57942839" w14:textId="77777777" w:rsidR="002F6E52" w:rsidRPr="00745EF0" w:rsidRDefault="002F6E52" w:rsidP="002F6E52">
            <w:pPr>
              <w:spacing w:line="240" w:lineRule="auto"/>
              <w:rPr>
                <w:rFonts w:eastAsia="Times New Roman"/>
                <w:lang w:val="en-US" w:eastAsia="en-US"/>
              </w:rPr>
            </w:pPr>
            <w:r w:rsidRPr="00745EF0">
              <w:rPr>
                <w:rFonts w:eastAsia="Times New Roman"/>
                <w:lang w:val="en-US" w:eastAsia="en-US"/>
              </w:rPr>
              <w:t>Taxation</w:t>
            </w:r>
          </w:p>
        </w:tc>
        <w:tc>
          <w:tcPr>
            <w:tcW w:w="874" w:type="dxa"/>
            <w:tcBorders>
              <w:top w:val="nil"/>
              <w:left w:val="nil"/>
              <w:bottom w:val="nil"/>
              <w:right w:val="nil"/>
            </w:tcBorders>
            <w:shd w:val="clear" w:color="auto" w:fill="auto"/>
            <w:noWrap/>
            <w:vAlign w:val="center"/>
            <w:hideMark/>
          </w:tcPr>
          <w:p w14:paraId="69D7E919" w14:textId="2FD4EF16" w:rsidR="002F6E52" w:rsidRPr="00745EF0" w:rsidRDefault="002F6E52" w:rsidP="002F6E52">
            <w:pPr>
              <w:spacing w:line="240" w:lineRule="auto"/>
              <w:jc w:val="center"/>
              <w:rPr>
                <w:rFonts w:eastAsia="Times New Roman"/>
                <w:lang w:val="en-US" w:eastAsia="en-US"/>
              </w:rPr>
            </w:pPr>
          </w:p>
        </w:tc>
        <w:tc>
          <w:tcPr>
            <w:tcW w:w="1594" w:type="dxa"/>
            <w:tcBorders>
              <w:top w:val="nil"/>
              <w:left w:val="nil"/>
              <w:bottom w:val="nil"/>
              <w:right w:val="nil"/>
            </w:tcBorders>
            <w:shd w:val="clear" w:color="auto" w:fill="auto"/>
            <w:noWrap/>
            <w:vAlign w:val="center"/>
            <w:hideMark/>
          </w:tcPr>
          <w:p w14:paraId="1B164E7C" w14:textId="1558D119" w:rsidR="002F6E52" w:rsidRPr="00745EF0" w:rsidRDefault="002F6E52" w:rsidP="002F6E52">
            <w:pPr>
              <w:spacing w:line="240" w:lineRule="auto"/>
              <w:jc w:val="center"/>
              <w:rPr>
                <w:rFonts w:eastAsia="Times New Roman"/>
                <w:lang w:val="en-US" w:eastAsia="en-US"/>
              </w:rPr>
            </w:pPr>
            <w:r>
              <w:t xml:space="preserve">                      (235)</w:t>
            </w:r>
          </w:p>
        </w:tc>
        <w:tc>
          <w:tcPr>
            <w:tcW w:w="278" w:type="dxa"/>
            <w:tcBorders>
              <w:top w:val="nil"/>
              <w:left w:val="nil"/>
              <w:bottom w:val="nil"/>
              <w:right w:val="nil"/>
            </w:tcBorders>
            <w:shd w:val="clear" w:color="auto" w:fill="auto"/>
            <w:noWrap/>
            <w:vAlign w:val="center"/>
            <w:hideMark/>
          </w:tcPr>
          <w:p w14:paraId="41CD9BD3" w14:textId="77777777" w:rsidR="002F6E52" w:rsidRPr="00745EF0" w:rsidRDefault="002F6E52" w:rsidP="002F6E52">
            <w:pPr>
              <w:spacing w:line="240" w:lineRule="auto"/>
              <w:jc w:val="right"/>
              <w:rPr>
                <w:rFonts w:eastAsia="Times New Roman"/>
                <w:lang w:val="en-US" w:eastAsia="en-US"/>
              </w:rPr>
            </w:pPr>
          </w:p>
        </w:tc>
        <w:tc>
          <w:tcPr>
            <w:tcW w:w="1525" w:type="dxa"/>
            <w:tcBorders>
              <w:top w:val="nil"/>
              <w:left w:val="nil"/>
              <w:bottom w:val="nil"/>
              <w:right w:val="nil"/>
            </w:tcBorders>
            <w:shd w:val="clear" w:color="auto" w:fill="auto"/>
            <w:noWrap/>
            <w:vAlign w:val="center"/>
            <w:hideMark/>
          </w:tcPr>
          <w:p w14:paraId="07DFD103" w14:textId="77777777" w:rsidR="002F6E52" w:rsidRPr="00745EF0" w:rsidRDefault="002F6E52" w:rsidP="002F6E52">
            <w:pPr>
              <w:spacing w:line="240" w:lineRule="auto"/>
              <w:jc w:val="right"/>
              <w:rPr>
                <w:rFonts w:eastAsia="Times New Roman"/>
                <w:lang w:val="en-US" w:eastAsia="en-US"/>
              </w:rPr>
            </w:pPr>
            <w:r w:rsidRPr="00745EF0">
              <w:rPr>
                <w:rFonts w:eastAsia="Times New Roman"/>
                <w:lang w:val="en-US" w:eastAsia="en-US"/>
              </w:rPr>
              <w:t xml:space="preserve">                        -   </w:t>
            </w:r>
          </w:p>
        </w:tc>
      </w:tr>
      <w:tr w:rsidR="002F6E52" w:rsidRPr="00745EF0" w14:paraId="37A235FA" w14:textId="77777777" w:rsidTr="002F6E52">
        <w:trPr>
          <w:trHeight w:val="426"/>
        </w:trPr>
        <w:tc>
          <w:tcPr>
            <w:tcW w:w="5899" w:type="dxa"/>
            <w:tcBorders>
              <w:top w:val="single" w:sz="4" w:space="0" w:color="auto"/>
              <w:left w:val="nil"/>
              <w:bottom w:val="single" w:sz="4" w:space="0" w:color="auto"/>
              <w:right w:val="nil"/>
            </w:tcBorders>
            <w:shd w:val="clear" w:color="auto" w:fill="auto"/>
            <w:noWrap/>
            <w:vAlign w:val="center"/>
            <w:hideMark/>
          </w:tcPr>
          <w:p w14:paraId="3CC0BCEB" w14:textId="77777777" w:rsidR="002F6E52" w:rsidRPr="00745EF0" w:rsidRDefault="002F6E52" w:rsidP="002F6E52">
            <w:pPr>
              <w:spacing w:line="240" w:lineRule="auto"/>
              <w:rPr>
                <w:rFonts w:eastAsia="Times New Roman"/>
                <w:b/>
                <w:bCs/>
                <w:lang w:val="en-US" w:eastAsia="en-US"/>
              </w:rPr>
            </w:pPr>
            <w:r w:rsidRPr="00745EF0">
              <w:rPr>
                <w:rFonts w:eastAsia="Times New Roman"/>
                <w:b/>
                <w:bCs/>
                <w:lang w:val="en-US" w:eastAsia="en-US"/>
              </w:rPr>
              <w:lastRenderedPageBreak/>
              <w:t>Loss after taxation</w:t>
            </w:r>
          </w:p>
        </w:tc>
        <w:tc>
          <w:tcPr>
            <w:tcW w:w="874" w:type="dxa"/>
            <w:tcBorders>
              <w:top w:val="single" w:sz="4" w:space="0" w:color="auto"/>
              <w:left w:val="nil"/>
              <w:bottom w:val="single" w:sz="4" w:space="0" w:color="auto"/>
              <w:right w:val="nil"/>
            </w:tcBorders>
            <w:shd w:val="clear" w:color="auto" w:fill="auto"/>
            <w:noWrap/>
            <w:vAlign w:val="center"/>
            <w:hideMark/>
          </w:tcPr>
          <w:p w14:paraId="491C5AD0" w14:textId="77777777" w:rsidR="002F6E52" w:rsidRPr="00745EF0" w:rsidRDefault="002F6E52" w:rsidP="002F6E52">
            <w:pPr>
              <w:spacing w:line="240" w:lineRule="auto"/>
              <w:jc w:val="center"/>
              <w:rPr>
                <w:rFonts w:eastAsia="Times New Roman"/>
                <w:lang w:val="en-US" w:eastAsia="en-US"/>
              </w:rPr>
            </w:pPr>
            <w:r w:rsidRPr="00745EF0">
              <w:rPr>
                <w:rFonts w:eastAsia="Times New Roman"/>
                <w:lang w:val="en-US" w:eastAsia="en-US"/>
              </w:rPr>
              <w:t> </w:t>
            </w:r>
          </w:p>
        </w:tc>
        <w:tc>
          <w:tcPr>
            <w:tcW w:w="1594" w:type="dxa"/>
            <w:tcBorders>
              <w:top w:val="single" w:sz="4" w:space="0" w:color="auto"/>
              <w:left w:val="nil"/>
              <w:bottom w:val="single" w:sz="4" w:space="0" w:color="auto"/>
              <w:right w:val="nil"/>
            </w:tcBorders>
            <w:shd w:val="clear" w:color="auto" w:fill="auto"/>
            <w:noWrap/>
            <w:vAlign w:val="center"/>
            <w:hideMark/>
          </w:tcPr>
          <w:p w14:paraId="5FD4B66D" w14:textId="27442946" w:rsidR="002F6E52" w:rsidRPr="00745EF0" w:rsidRDefault="002F6E52" w:rsidP="002F6E52">
            <w:pPr>
              <w:spacing w:line="240" w:lineRule="auto"/>
              <w:jc w:val="center"/>
              <w:rPr>
                <w:rFonts w:eastAsia="Times New Roman"/>
                <w:b/>
                <w:bCs/>
                <w:lang w:val="en-US" w:eastAsia="en-US"/>
              </w:rPr>
            </w:pPr>
            <w:r>
              <w:rPr>
                <w:b/>
                <w:bCs/>
              </w:rPr>
              <w:t xml:space="preserve">                  (1,245)</w:t>
            </w:r>
          </w:p>
        </w:tc>
        <w:tc>
          <w:tcPr>
            <w:tcW w:w="278" w:type="dxa"/>
            <w:tcBorders>
              <w:top w:val="single" w:sz="4" w:space="0" w:color="auto"/>
              <w:left w:val="nil"/>
              <w:bottom w:val="single" w:sz="4" w:space="0" w:color="auto"/>
              <w:right w:val="nil"/>
            </w:tcBorders>
            <w:shd w:val="clear" w:color="auto" w:fill="auto"/>
            <w:noWrap/>
            <w:vAlign w:val="center"/>
            <w:hideMark/>
          </w:tcPr>
          <w:p w14:paraId="7E675DC4" w14:textId="77777777" w:rsidR="002F6E52" w:rsidRPr="00745EF0" w:rsidRDefault="002F6E52" w:rsidP="002F6E52">
            <w:pPr>
              <w:spacing w:line="240" w:lineRule="auto"/>
              <w:jc w:val="center"/>
              <w:rPr>
                <w:rFonts w:eastAsia="Times New Roman"/>
                <w:b/>
                <w:bCs/>
                <w:lang w:val="en-US" w:eastAsia="en-US"/>
              </w:rPr>
            </w:pPr>
            <w:r w:rsidRPr="00745EF0">
              <w:rPr>
                <w:rFonts w:eastAsia="Times New Roman"/>
                <w:b/>
                <w:bCs/>
                <w:lang w:val="en-US" w:eastAsia="en-US"/>
              </w:rPr>
              <w:t> </w:t>
            </w:r>
          </w:p>
        </w:tc>
        <w:tc>
          <w:tcPr>
            <w:tcW w:w="1525" w:type="dxa"/>
            <w:tcBorders>
              <w:top w:val="single" w:sz="4" w:space="0" w:color="auto"/>
              <w:left w:val="nil"/>
              <w:bottom w:val="single" w:sz="4" w:space="0" w:color="auto"/>
              <w:right w:val="nil"/>
            </w:tcBorders>
            <w:shd w:val="clear" w:color="auto" w:fill="auto"/>
            <w:noWrap/>
            <w:vAlign w:val="center"/>
            <w:hideMark/>
          </w:tcPr>
          <w:p w14:paraId="5E85372A" w14:textId="77777777" w:rsidR="002F6E52" w:rsidRPr="00745EF0" w:rsidRDefault="002F6E52" w:rsidP="002F6E52">
            <w:pPr>
              <w:spacing w:line="240" w:lineRule="auto"/>
              <w:jc w:val="center"/>
              <w:rPr>
                <w:rFonts w:eastAsia="Times New Roman"/>
                <w:b/>
                <w:bCs/>
                <w:lang w:val="en-US" w:eastAsia="en-US"/>
              </w:rPr>
            </w:pPr>
            <w:r w:rsidRPr="00745EF0">
              <w:rPr>
                <w:rFonts w:eastAsia="Times New Roman"/>
                <w:b/>
                <w:bCs/>
                <w:lang w:val="en-US" w:eastAsia="en-US"/>
              </w:rPr>
              <w:t xml:space="preserve">                 (4,497)</w:t>
            </w:r>
          </w:p>
        </w:tc>
      </w:tr>
      <w:tr w:rsidR="002F6E52" w:rsidRPr="00745EF0" w14:paraId="516787A9" w14:textId="77777777" w:rsidTr="002F6E52">
        <w:trPr>
          <w:trHeight w:val="256"/>
        </w:trPr>
        <w:tc>
          <w:tcPr>
            <w:tcW w:w="5899" w:type="dxa"/>
            <w:tcBorders>
              <w:top w:val="nil"/>
              <w:left w:val="nil"/>
              <w:bottom w:val="nil"/>
              <w:right w:val="nil"/>
            </w:tcBorders>
            <w:shd w:val="clear" w:color="auto" w:fill="auto"/>
            <w:noWrap/>
            <w:vAlign w:val="bottom"/>
            <w:hideMark/>
          </w:tcPr>
          <w:p w14:paraId="64FD8AFD" w14:textId="77777777" w:rsidR="002F6E52" w:rsidRPr="00745EF0" w:rsidRDefault="002F6E52" w:rsidP="002F6E52">
            <w:pPr>
              <w:spacing w:line="240" w:lineRule="auto"/>
              <w:jc w:val="center"/>
              <w:rPr>
                <w:rFonts w:eastAsia="Times New Roman"/>
                <w:b/>
                <w:bCs/>
                <w:lang w:val="en-US" w:eastAsia="en-US"/>
              </w:rPr>
            </w:pPr>
          </w:p>
        </w:tc>
        <w:tc>
          <w:tcPr>
            <w:tcW w:w="874" w:type="dxa"/>
            <w:tcBorders>
              <w:top w:val="nil"/>
              <w:left w:val="nil"/>
              <w:bottom w:val="nil"/>
              <w:right w:val="nil"/>
            </w:tcBorders>
            <w:shd w:val="clear" w:color="auto" w:fill="auto"/>
            <w:noWrap/>
            <w:vAlign w:val="center"/>
            <w:hideMark/>
          </w:tcPr>
          <w:p w14:paraId="6DC9FD93" w14:textId="77777777" w:rsidR="002F6E52" w:rsidRPr="00745EF0" w:rsidRDefault="002F6E52" w:rsidP="002F6E52">
            <w:pPr>
              <w:spacing w:line="240" w:lineRule="auto"/>
              <w:rPr>
                <w:rFonts w:eastAsia="Times New Roman"/>
                <w:sz w:val="20"/>
                <w:szCs w:val="20"/>
                <w:lang w:val="en-US" w:eastAsia="en-US"/>
              </w:rPr>
            </w:pPr>
          </w:p>
        </w:tc>
        <w:tc>
          <w:tcPr>
            <w:tcW w:w="1594" w:type="dxa"/>
            <w:tcBorders>
              <w:top w:val="nil"/>
              <w:left w:val="nil"/>
              <w:bottom w:val="nil"/>
              <w:right w:val="nil"/>
            </w:tcBorders>
            <w:shd w:val="clear" w:color="auto" w:fill="auto"/>
            <w:noWrap/>
            <w:vAlign w:val="center"/>
            <w:hideMark/>
          </w:tcPr>
          <w:p w14:paraId="7911DF4B" w14:textId="77777777" w:rsidR="002F6E52" w:rsidRPr="00745EF0" w:rsidRDefault="002F6E52" w:rsidP="002F6E52">
            <w:pPr>
              <w:spacing w:line="240" w:lineRule="auto"/>
              <w:jc w:val="center"/>
              <w:rPr>
                <w:rFonts w:eastAsia="Times New Roman"/>
                <w:sz w:val="20"/>
                <w:szCs w:val="20"/>
                <w:lang w:val="en-US" w:eastAsia="en-US"/>
              </w:rPr>
            </w:pPr>
          </w:p>
        </w:tc>
        <w:tc>
          <w:tcPr>
            <w:tcW w:w="278" w:type="dxa"/>
            <w:tcBorders>
              <w:top w:val="nil"/>
              <w:left w:val="nil"/>
              <w:bottom w:val="nil"/>
              <w:right w:val="nil"/>
            </w:tcBorders>
            <w:shd w:val="clear" w:color="auto" w:fill="auto"/>
            <w:noWrap/>
            <w:vAlign w:val="center"/>
            <w:hideMark/>
          </w:tcPr>
          <w:p w14:paraId="3DB039DB" w14:textId="77777777" w:rsidR="002F6E52" w:rsidRPr="00745EF0" w:rsidRDefault="002F6E52" w:rsidP="002F6E52">
            <w:pPr>
              <w:spacing w:line="240" w:lineRule="auto"/>
              <w:jc w:val="center"/>
              <w:rPr>
                <w:rFonts w:eastAsia="Times New Roman"/>
                <w:sz w:val="20"/>
                <w:szCs w:val="20"/>
                <w:lang w:val="en-US" w:eastAsia="en-US"/>
              </w:rPr>
            </w:pPr>
          </w:p>
        </w:tc>
        <w:tc>
          <w:tcPr>
            <w:tcW w:w="1525" w:type="dxa"/>
            <w:tcBorders>
              <w:top w:val="nil"/>
              <w:left w:val="nil"/>
              <w:bottom w:val="nil"/>
              <w:right w:val="nil"/>
            </w:tcBorders>
            <w:shd w:val="clear" w:color="auto" w:fill="auto"/>
            <w:noWrap/>
            <w:vAlign w:val="center"/>
            <w:hideMark/>
          </w:tcPr>
          <w:p w14:paraId="2CA858E8" w14:textId="77777777" w:rsidR="002F6E52" w:rsidRPr="00745EF0" w:rsidRDefault="002F6E52" w:rsidP="002F6E52">
            <w:pPr>
              <w:spacing w:line="240" w:lineRule="auto"/>
              <w:jc w:val="center"/>
              <w:rPr>
                <w:rFonts w:eastAsia="Times New Roman"/>
                <w:sz w:val="20"/>
                <w:szCs w:val="20"/>
                <w:lang w:val="en-US" w:eastAsia="en-US"/>
              </w:rPr>
            </w:pPr>
          </w:p>
        </w:tc>
      </w:tr>
      <w:tr w:rsidR="002F6E52" w:rsidRPr="00745EF0" w14:paraId="3060038A" w14:textId="77777777" w:rsidTr="002F6E52">
        <w:trPr>
          <w:trHeight w:val="426"/>
        </w:trPr>
        <w:tc>
          <w:tcPr>
            <w:tcW w:w="5899" w:type="dxa"/>
            <w:tcBorders>
              <w:top w:val="nil"/>
              <w:left w:val="nil"/>
              <w:bottom w:val="single" w:sz="4" w:space="0" w:color="auto"/>
              <w:right w:val="nil"/>
            </w:tcBorders>
            <w:shd w:val="clear" w:color="auto" w:fill="auto"/>
            <w:noWrap/>
            <w:vAlign w:val="center"/>
            <w:hideMark/>
          </w:tcPr>
          <w:p w14:paraId="0BCC2DE6" w14:textId="77777777" w:rsidR="002F6E52" w:rsidRPr="00745EF0" w:rsidRDefault="002F6E52" w:rsidP="002F6E52">
            <w:pPr>
              <w:spacing w:line="240" w:lineRule="auto"/>
              <w:rPr>
                <w:rFonts w:eastAsia="Times New Roman"/>
                <w:lang w:val="en-US" w:eastAsia="en-US"/>
              </w:rPr>
            </w:pPr>
            <w:r w:rsidRPr="00745EF0">
              <w:rPr>
                <w:rFonts w:eastAsia="Times New Roman"/>
                <w:lang w:val="en-US" w:eastAsia="en-US"/>
              </w:rPr>
              <w:t>Other Comprehensive income</w:t>
            </w:r>
          </w:p>
        </w:tc>
        <w:tc>
          <w:tcPr>
            <w:tcW w:w="874" w:type="dxa"/>
            <w:tcBorders>
              <w:top w:val="nil"/>
              <w:left w:val="nil"/>
              <w:bottom w:val="single" w:sz="4" w:space="0" w:color="auto"/>
              <w:right w:val="nil"/>
            </w:tcBorders>
            <w:shd w:val="clear" w:color="auto" w:fill="auto"/>
            <w:noWrap/>
            <w:vAlign w:val="center"/>
            <w:hideMark/>
          </w:tcPr>
          <w:p w14:paraId="33097951" w14:textId="77777777" w:rsidR="002F6E52" w:rsidRPr="00745EF0" w:rsidRDefault="002F6E52" w:rsidP="002F6E52">
            <w:pPr>
              <w:spacing w:line="240" w:lineRule="auto"/>
              <w:jc w:val="center"/>
              <w:rPr>
                <w:rFonts w:eastAsia="Times New Roman"/>
                <w:lang w:val="en-US" w:eastAsia="en-US"/>
              </w:rPr>
            </w:pPr>
            <w:r w:rsidRPr="00745EF0">
              <w:rPr>
                <w:rFonts w:eastAsia="Times New Roman"/>
                <w:lang w:val="en-US" w:eastAsia="en-US"/>
              </w:rPr>
              <w:t> </w:t>
            </w:r>
          </w:p>
        </w:tc>
        <w:tc>
          <w:tcPr>
            <w:tcW w:w="1594" w:type="dxa"/>
            <w:tcBorders>
              <w:top w:val="nil"/>
              <w:left w:val="nil"/>
              <w:bottom w:val="single" w:sz="4" w:space="0" w:color="auto"/>
              <w:right w:val="nil"/>
            </w:tcBorders>
            <w:shd w:val="clear" w:color="auto" w:fill="auto"/>
            <w:noWrap/>
            <w:vAlign w:val="center"/>
            <w:hideMark/>
          </w:tcPr>
          <w:p w14:paraId="0D7FEB13" w14:textId="26E33923" w:rsidR="002F6E52" w:rsidRPr="00745EF0" w:rsidRDefault="002F6E52" w:rsidP="002F6E52">
            <w:pPr>
              <w:spacing w:line="240" w:lineRule="auto"/>
              <w:jc w:val="center"/>
              <w:rPr>
                <w:rFonts w:eastAsia="Times New Roman"/>
                <w:lang w:val="en-US" w:eastAsia="en-US"/>
              </w:rPr>
            </w:pPr>
            <w:r>
              <w:t xml:space="preserve">                         -   </w:t>
            </w:r>
          </w:p>
        </w:tc>
        <w:tc>
          <w:tcPr>
            <w:tcW w:w="278" w:type="dxa"/>
            <w:tcBorders>
              <w:top w:val="nil"/>
              <w:left w:val="nil"/>
              <w:bottom w:val="single" w:sz="4" w:space="0" w:color="auto"/>
              <w:right w:val="nil"/>
            </w:tcBorders>
            <w:shd w:val="clear" w:color="auto" w:fill="auto"/>
            <w:noWrap/>
            <w:vAlign w:val="center"/>
            <w:hideMark/>
          </w:tcPr>
          <w:p w14:paraId="7F69F8C9" w14:textId="77777777" w:rsidR="002F6E52" w:rsidRPr="00745EF0" w:rsidRDefault="002F6E52" w:rsidP="002F6E52">
            <w:pPr>
              <w:spacing w:line="240" w:lineRule="auto"/>
              <w:jc w:val="center"/>
              <w:rPr>
                <w:rFonts w:eastAsia="Times New Roman"/>
                <w:lang w:val="en-US" w:eastAsia="en-US"/>
              </w:rPr>
            </w:pPr>
            <w:r w:rsidRPr="00745EF0">
              <w:rPr>
                <w:rFonts w:eastAsia="Times New Roman"/>
                <w:lang w:val="en-US" w:eastAsia="en-US"/>
              </w:rPr>
              <w:t> </w:t>
            </w:r>
          </w:p>
        </w:tc>
        <w:tc>
          <w:tcPr>
            <w:tcW w:w="1525" w:type="dxa"/>
            <w:tcBorders>
              <w:top w:val="nil"/>
              <w:left w:val="nil"/>
              <w:bottom w:val="single" w:sz="4" w:space="0" w:color="auto"/>
              <w:right w:val="nil"/>
            </w:tcBorders>
            <w:shd w:val="clear" w:color="auto" w:fill="auto"/>
            <w:noWrap/>
            <w:vAlign w:val="center"/>
            <w:hideMark/>
          </w:tcPr>
          <w:p w14:paraId="1F7A42C3" w14:textId="77777777" w:rsidR="002F6E52" w:rsidRPr="00745EF0" w:rsidRDefault="002F6E52" w:rsidP="002F6E52">
            <w:pPr>
              <w:spacing w:line="240" w:lineRule="auto"/>
              <w:jc w:val="center"/>
              <w:rPr>
                <w:rFonts w:eastAsia="Times New Roman"/>
                <w:lang w:val="en-US" w:eastAsia="en-US"/>
              </w:rPr>
            </w:pPr>
            <w:r w:rsidRPr="00745EF0">
              <w:rPr>
                <w:rFonts w:eastAsia="Times New Roman"/>
                <w:lang w:val="en-US" w:eastAsia="en-US"/>
              </w:rPr>
              <w:t xml:space="preserve">                        -   </w:t>
            </w:r>
          </w:p>
        </w:tc>
      </w:tr>
      <w:tr w:rsidR="002F6E52" w:rsidRPr="00745EF0" w14:paraId="0950629A" w14:textId="77777777" w:rsidTr="002F6E52">
        <w:trPr>
          <w:trHeight w:val="140"/>
        </w:trPr>
        <w:tc>
          <w:tcPr>
            <w:tcW w:w="5899" w:type="dxa"/>
            <w:tcBorders>
              <w:top w:val="nil"/>
              <w:left w:val="nil"/>
              <w:bottom w:val="nil"/>
              <w:right w:val="nil"/>
            </w:tcBorders>
            <w:shd w:val="clear" w:color="auto" w:fill="auto"/>
            <w:noWrap/>
            <w:vAlign w:val="bottom"/>
            <w:hideMark/>
          </w:tcPr>
          <w:p w14:paraId="6E7490A8" w14:textId="77777777" w:rsidR="002F6E52" w:rsidRPr="00745EF0" w:rsidRDefault="002F6E52" w:rsidP="002F6E52">
            <w:pPr>
              <w:spacing w:line="240" w:lineRule="auto"/>
              <w:jc w:val="center"/>
              <w:rPr>
                <w:rFonts w:eastAsia="Times New Roman"/>
                <w:lang w:val="en-US" w:eastAsia="en-US"/>
              </w:rPr>
            </w:pPr>
          </w:p>
        </w:tc>
        <w:tc>
          <w:tcPr>
            <w:tcW w:w="874" w:type="dxa"/>
            <w:tcBorders>
              <w:top w:val="nil"/>
              <w:left w:val="nil"/>
              <w:bottom w:val="nil"/>
              <w:right w:val="nil"/>
            </w:tcBorders>
            <w:shd w:val="clear" w:color="auto" w:fill="auto"/>
            <w:noWrap/>
            <w:vAlign w:val="center"/>
            <w:hideMark/>
          </w:tcPr>
          <w:p w14:paraId="08DE80D5" w14:textId="77777777" w:rsidR="002F6E52" w:rsidRPr="00745EF0" w:rsidRDefault="002F6E52" w:rsidP="002F6E52">
            <w:pPr>
              <w:spacing w:line="240" w:lineRule="auto"/>
              <w:rPr>
                <w:rFonts w:eastAsia="Times New Roman"/>
                <w:sz w:val="20"/>
                <w:szCs w:val="20"/>
                <w:lang w:val="en-US" w:eastAsia="en-US"/>
              </w:rPr>
            </w:pPr>
          </w:p>
        </w:tc>
        <w:tc>
          <w:tcPr>
            <w:tcW w:w="1594" w:type="dxa"/>
            <w:tcBorders>
              <w:top w:val="nil"/>
              <w:left w:val="nil"/>
              <w:bottom w:val="nil"/>
              <w:right w:val="nil"/>
            </w:tcBorders>
            <w:shd w:val="clear" w:color="auto" w:fill="auto"/>
            <w:noWrap/>
            <w:vAlign w:val="center"/>
            <w:hideMark/>
          </w:tcPr>
          <w:p w14:paraId="5B013256" w14:textId="77777777" w:rsidR="002F6E52" w:rsidRPr="00745EF0" w:rsidRDefault="002F6E52" w:rsidP="002F6E52">
            <w:pPr>
              <w:spacing w:line="240" w:lineRule="auto"/>
              <w:jc w:val="center"/>
              <w:rPr>
                <w:rFonts w:eastAsia="Times New Roman"/>
                <w:sz w:val="20"/>
                <w:szCs w:val="20"/>
                <w:lang w:val="en-US" w:eastAsia="en-US"/>
              </w:rPr>
            </w:pPr>
          </w:p>
        </w:tc>
        <w:tc>
          <w:tcPr>
            <w:tcW w:w="278" w:type="dxa"/>
            <w:tcBorders>
              <w:top w:val="nil"/>
              <w:left w:val="nil"/>
              <w:bottom w:val="nil"/>
              <w:right w:val="nil"/>
            </w:tcBorders>
            <w:shd w:val="clear" w:color="auto" w:fill="auto"/>
            <w:noWrap/>
            <w:vAlign w:val="center"/>
            <w:hideMark/>
          </w:tcPr>
          <w:p w14:paraId="57F4E79B" w14:textId="77777777" w:rsidR="002F6E52" w:rsidRPr="00745EF0" w:rsidRDefault="002F6E52" w:rsidP="002F6E52">
            <w:pPr>
              <w:spacing w:line="240" w:lineRule="auto"/>
              <w:jc w:val="center"/>
              <w:rPr>
                <w:rFonts w:eastAsia="Times New Roman"/>
                <w:sz w:val="20"/>
                <w:szCs w:val="20"/>
                <w:lang w:val="en-US" w:eastAsia="en-US"/>
              </w:rPr>
            </w:pPr>
          </w:p>
        </w:tc>
        <w:tc>
          <w:tcPr>
            <w:tcW w:w="1525" w:type="dxa"/>
            <w:tcBorders>
              <w:top w:val="nil"/>
              <w:left w:val="nil"/>
              <w:bottom w:val="nil"/>
              <w:right w:val="nil"/>
            </w:tcBorders>
            <w:shd w:val="clear" w:color="auto" w:fill="auto"/>
            <w:noWrap/>
            <w:vAlign w:val="center"/>
            <w:hideMark/>
          </w:tcPr>
          <w:p w14:paraId="69660165" w14:textId="77777777" w:rsidR="002F6E52" w:rsidRPr="00745EF0" w:rsidRDefault="002F6E52" w:rsidP="002F6E52">
            <w:pPr>
              <w:spacing w:line="240" w:lineRule="auto"/>
              <w:jc w:val="center"/>
              <w:rPr>
                <w:rFonts w:eastAsia="Times New Roman"/>
                <w:sz w:val="20"/>
                <w:szCs w:val="20"/>
                <w:lang w:val="en-US" w:eastAsia="en-US"/>
              </w:rPr>
            </w:pPr>
          </w:p>
        </w:tc>
      </w:tr>
      <w:tr w:rsidR="002F6E52" w:rsidRPr="00745EF0" w14:paraId="7479B99E" w14:textId="77777777" w:rsidTr="002F6E52">
        <w:trPr>
          <w:trHeight w:val="678"/>
        </w:trPr>
        <w:tc>
          <w:tcPr>
            <w:tcW w:w="5899" w:type="dxa"/>
            <w:tcBorders>
              <w:top w:val="nil"/>
              <w:left w:val="nil"/>
              <w:bottom w:val="single" w:sz="4" w:space="0" w:color="auto"/>
              <w:right w:val="nil"/>
            </w:tcBorders>
            <w:shd w:val="clear" w:color="auto" w:fill="auto"/>
            <w:vAlign w:val="center"/>
            <w:hideMark/>
          </w:tcPr>
          <w:p w14:paraId="6BE3586D" w14:textId="77777777" w:rsidR="002F6E52" w:rsidRPr="00745EF0" w:rsidRDefault="002F6E52" w:rsidP="002F6E52">
            <w:pPr>
              <w:spacing w:line="240" w:lineRule="auto"/>
              <w:rPr>
                <w:rFonts w:eastAsia="Times New Roman"/>
                <w:b/>
                <w:bCs/>
                <w:lang w:val="en-US" w:eastAsia="en-US"/>
              </w:rPr>
            </w:pPr>
            <w:r w:rsidRPr="00745EF0">
              <w:rPr>
                <w:rFonts w:eastAsia="Times New Roman"/>
                <w:b/>
                <w:bCs/>
                <w:lang w:val="en-US" w:eastAsia="en-US"/>
              </w:rPr>
              <w:t>Total comprehensive loss for the period attributable to shareholders from continuing operations</w:t>
            </w:r>
          </w:p>
        </w:tc>
        <w:tc>
          <w:tcPr>
            <w:tcW w:w="874" w:type="dxa"/>
            <w:tcBorders>
              <w:top w:val="nil"/>
              <w:left w:val="nil"/>
              <w:bottom w:val="single" w:sz="4" w:space="0" w:color="auto"/>
              <w:right w:val="nil"/>
            </w:tcBorders>
            <w:shd w:val="clear" w:color="auto" w:fill="auto"/>
            <w:noWrap/>
            <w:vAlign w:val="center"/>
            <w:hideMark/>
          </w:tcPr>
          <w:p w14:paraId="0BC44D6E" w14:textId="77777777" w:rsidR="002F6E52" w:rsidRPr="00745EF0" w:rsidRDefault="002F6E52" w:rsidP="002F6E52">
            <w:pPr>
              <w:spacing w:line="240" w:lineRule="auto"/>
              <w:jc w:val="center"/>
              <w:rPr>
                <w:rFonts w:eastAsia="Times New Roman"/>
                <w:b/>
                <w:bCs/>
                <w:lang w:val="en-US" w:eastAsia="en-US"/>
              </w:rPr>
            </w:pPr>
            <w:r w:rsidRPr="00745EF0">
              <w:rPr>
                <w:rFonts w:eastAsia="Times New Roman"/>
                <w:b/>
                <w:bCs/>
                <w:lang w:val="en-US" w:eastAsia="en-US"/>
              </w:rPr>
              <w:t> </w:t>
            </w:r>
          </w:p>
        </w:tc>
        <w:tc>
          <w:tcPr>
            <w:tcW w:w="1594" w:type="dxa"/>
            <w:tcBorders>
              <w:top w:val="nil"/>
              <w:left w:val="nil"/>
              <w:bottom w:val="single" w:sz="4" w:space="0" w:color="auto"/>
              <w:right w:val="nil"/>
            </w:tcBorders>
            <w:shd w:val="clear" w:color="auto" w:fill="auto"/>
            <w:noWrap/>
            <w:vAlign w:val="center"/>
            <w:hideMark/>
          </w:tcPr>
          <w:p w14:paraId="04DB23F2" w14:textId="6EB0AA0D" w:rsidR="002F6E52" w:rsidRPr="00745EF0" w:rsidRDefault="002F6E52" w:rsidP="002F6E52">
            <w:pPr>
              <w:spacing w:line="240" w:lineRule="auto"/>
              <w:jc w:val="center"/>
              <w:rPr>
                <w:rFonts w:eastAsia="Times New Roman"/>
                <w:b/>
                <w:bCs/>
                <w:lang w:val="en-US" w:eastAsia="en-US"/>
              </w:rPr>
            </w:pPr>
            <w:r>
              <w:rPr>
                <w:b/>
                <w:bCs/>
              </w:rPr>
              <w:t xml:space="preserve">                  (1,245)</w:t>
            </w:r>
          </w:p>
        </w:tc>
        <w:tc>
          <w:tcPr>
            <w:tcW w:w="278" w:type="dxa"/>
            <w:tcBorders>
              <w:top w:val="nil"/>
              <w:left w:val="nil"/>
              <w:bottom w:val="single" w:sz="4" w:space="0" w:color="auto"/>
              <w:right w:val="nil"/>
            </w:tcBorders>
            <w:shd w:val="clear" w:color="auto" w:fill="auto"/>
            <w:noWrap/>
            <w:vAlign w:val="center"/>
            <w:hideMark/>
          </w:tcPr>
          <w:p w14:paraId="65FEAA1E" w14:textId="77777777" w:rsidR="002F6E52" w:rsidRPr="00745EF0" w:rsidRDefault="002F6E52" w:rsidP="002F6E52">
            <w:pPr>
              <w:spacing w:line="240" w:lineRule="auto"/>
              <w:jc w:val="center"/>
              <w:rPr>
                <w:rFonts w:eastAsia="Times New Roman"/>
                <w:b/>
                <w:bCs/>
                <w:lang w:val="en-US" w:eastAsia="en-US"/>
              </w:rPr>
            </w:pPr>
            <w:r w:rsidRPr="00745EF0">
              <w:rPr>
                <w:rFonts w:eastAsia="Times New Roman"/>
                <w:b/>
                <w:bCs/>
                <w:lang w:val="en-US" w:eastAsia="en-US"/>
              </w:rPr>
              <w:t> </w:t>
            </w:r>
          </w:p>
        </w:tc>
        <w:tc>
          <w:tcPr>
            <w:tcW w:w="1525" w:type="dxa"/>
            <w:tcBorders>
              <w:top w:val="nil"/>
              <w:left w:val="nil"/>
              <w:bottom w:val="single" w:sz="4" w:space="0" w:color="auto"/>
              <w:right w:val="nil"/>
            </w:tcBorders>
            <w:shd w:val="clear" w:color="auto" w:fill="auto"/>
            <w:noWrap/>
            <w:vAlign w:val="center"/>
            <w:hideMark/>
          </w:tcPr>
          <w:p w14:paraId="75D12B5E" w14:textId="77777777" w:rsidR="002F6E52" w:rsidRPr="00745EF0" w:rsidRDefault="002F6E52" w:rsidP="002F6E52">
            <w:pPr>
              <w:spacing w:line="240" w:lineRule="auto"/>
              <w:jc w:val="center"/>
              <w:rPr>
                <w:rFonts w:eastAsia="Times New Roman"/>
                <w:b/>
                <w:bCs/>
                <w:lang w:val="en-US" w:eastAsia="en-US"/>
              </w:rPr>
            </w:pPr>
            <w:r w:rsidRPr="00745EF0">
              <w:rPr>
                <w:rFonts w:eastAsia="Times New Roman"/>
                <w:b/>
                <w:bCs/>
                <w:lang w:val="en-US" w:eastAsia="en-US"/>
              </w:rPr>
              <w:t xml:space="preserve">                 (4,497)</w:t>
            </w:r>
          </w:p>
        </w:tc>
      </w:tr>
      <w:tr w:rsidR="002F6E52" w:rsidRPr="00745EF0" w14:paraId="505CCE69" w14:textId="77777777" w:rsidTr="002F6E52">
        <w:trPr>
          <w:trHeight w:val="153"/>
        </w:trPr>
        <w:tc>
          <w:tcPr>
            <w:tcW w:w="5899" w:type="dxa"/>
            <w:tcBorders>
              <w:top w:val="nil"/>
              <w:left w:val="nil"/>
              <w:bottom w:val="nil"/>
              <w:right w:val="nil"/>
            </w:tcBorders>
            <w:shd w:val="clear" w:color="auto" w:fill="auto"/>
            <w:noWrap/>
            <w:vAlign w:val="bottom"/>
            <w:hideMark/>
          </w:tcPr>
          <w:p w14:paraId="7CD2E7FE" w14:textId="77777777" w:rsidR="002F6E52" w:rsidRPr="00745EF0" w:rsidRDefault="002F6E52" w:rsidP="002F6E52">
            <w:pPr>
              <w:spacing w:line="240" w:lineRule="auto"/>
              <w:jc w:val="center"/>
              <w:rPr>
                <w:rFonts w:eastAsia="Times New Roman"/>
                <w:b/>
                <w:bCs/>
                <w:lang w:val="en-US" w:eastAsia="en-US"/>
              </w:rPr>
            </w:pPr>
          </w:p>
        </w:tc>
        <w:tc>
          <w:tcPr>
            <w:tcW w:w="874" w:type="dxa"/>
            <w:tcBorders>
              <w:top w:val="nil"/>
              <w:left w:val="nil"/>
              <w:bottom w:val="nil"/>
              <w:right w:val="nil"/>
            </w:tcBorders>
            <w:shd w:val="clear" w:color="auto" w:fill="auto"/>
            <w:noWrap/>
            <w:vAlign w:val="center"/>
            <w:hideMark/>
          </w:tcPr>
          <w:p w14:paraId="421AF661" w14:textId="77777777" w:rsidR="002F6E52" w:rsidRPr="00745EF0" w:rsidRDefault="002F6E52" w:rsidP="002F6E52">
            <w:pPr>
              <w:spacing w:line="240" w:lineRule="auto"/>
              <w:rPr>
                <w:rFonts w:eastAsia="Times New Roman"/>
                <w:sz w:val="20"/>
                <w:szCs w:val="20"/>
                <w:lang w:val="en-US" w:eastAsia="en-US"/>
              </w:rPr>
            </w:pPr>
          </w:p>
        </w:tc>
        <w:tc>
          <w:tcPr>
            <w:tcW w:w="1594" w:type="dxa"/>
            <w:tcBorders>
              <w:top w:val="nil"/>
              <w:left w:val="nil"/>
              <w:bottom w:val="nil"/>
              <w:right w:val="nil"/>
            </w:tcBorders>
            <w:shd w:val="clear" w:color="auto" w:fill="auto"/>
            <w:noWrap/>
            <w:vAlign w:val="center"/>
            <w:hideMark/>
          </w:tcPr>
          <w:p w14:paraId="1F6AD1DD" w14:textId="77777777" w:rsidR="002F6E52" w:rsidRPr="00745EF0" w:rsidRDefault="002F6E52" w:rsidP="002F6E52">
            <w:pPr>
              <w:spacing w:line="240" w:lineRule="auto"/>
              <w:jc w:val="center"/>
              <w:rPr>
                <w:rFonts w:eastAsia="Times New Roman"/>
                <w:sz w:val="20"/>
                <w:szCs w:val="20"/>
                <w:lang w:val="en-US" w:eastAsia="en-US"/>
              </w:rPr>
            </w:pPr>
          </w:p>
        </w:tc>
        <w:tc>
          <w:tcPr>
            <w:tcW w:w="278" w:type="dxa"/>
            <w:tcBorders>
              <w:top w:val="nil"/>
              <w:left w:val="nil"/>
              <w:bottom w:val="nil"/>
              <w:right w:val="nil"/>
            </w:tcBorders>
            <w:shd w:val="clear" w:color="auto" w:fill="auto"/>
            <w:noWrap/>
            <w:vAlign w:val="center"/>
            <w:hideMark/>
          </w:tcPr>
          <w:p w14:paraId="6001D0F8" w14:textId="77777777" w:rsidR="002F6E52" w:rsidRPr="00745EF0" w:rsidRDefault="002F6E52" w:rsidP="002F6E52">
            <w:pPr>
              <w:spacing w:line="240" w:lineRule="auto"/>
              <w:jc w:val="center"/>
              <w:rPr>
                <w:rFonts w:eastAsia="Times New Roman"/>
                <w:sz w:val="20"/>
                <w:szCs w:val="20"/>
                <w:lang w:val="en-US" w:eastAsia="en-US"/>
              </w:rPr>
            </w:pPr>
          </w:p>
        </w:tc>
        <w:tc>
          <w:tcPr>
            <w:tcW w:w="1525" w:type="dxa"/>
            <w:tcBorders>
              <w:top w:val="nil"/>
              <w:left w:val="nil"/>
              <w:bottom w:val="nil"/>
              <w:right w:val="nil"/>
            </w:tcBorders>
            <w:shd w:val="clear" w:color="auto" w:fill="auto"/>
            <w:noWrap/>
            <w:vAlign w:val="center"/>
            <w:hideMark/>
          </w:tcPr>
          <w:p w14:paraId="40BA9116" w14:textId="77777777" w:rsidR="002F6E52" w:rsidRPr="00745EF0" w:rsidRDefault="002F6E52" w:rsidP="002F6E52">
            <w:pPr>
              <w:spacing w:line="240" w:lineRule="auto"/>
              <w:jc w:val="center"/>
              <w:rPr>
                <w:rFonts w:eastAsia="Times New Roman"/>
                <w:sz w:val="20"/>
                <w:szCs w:val="20"/>
                <w:lang w:val="en-US" w:eastAsia="en-US"/>
              </w:rPr>
            </w:pPr>
          </w:p>
        </w:tc>
      </w:tr>
      <w:tr w:rsidR="002F6E52" w:rsidRPr="00745EF0" w14:paraId="5A86BE1A" w14:textId="77777777" w:rsidTr="002F6E52">
        <w:trPr>
          <w:trHeight w:val="256"/>
        </w:trPr>
        <w:tc>
          <w:tcPr>
            <w:tcW w:w="5899" w:type="dxa"/>
            <w:tcBorders>
              <w:top w:val="nil"/>
              <w:left w:val="nil"/>
              <w:bottom w:val="nil"/>
              <w:right w:val="nil"/>
            </w:tcBorders>
            <w:shd w:val="clear" w:color="auto" w:fill="auto"/>
            <w:noWrap/>
            <w:vAlign w:val="bottom"/>
            <w:hideMark/>
          </w:tcPr>
          <w:p w14:paraId="13676EAF" w14:textId="77777777" w:rsidR="002F6E52" w:rsidRPr="00745EF0" w:rsidRDefault="002F6E52" w:rsidP="002F6E52">
            <w:pPr>
              <w:spacing w:line="240" w:lineRule="auto"/>
              <w:jc w:val="center"/>
              <w:rPr>
                <w:rFonts w:eastAsia="Times New Roman"/>
                <w:sz w:val="20"/>
                <w:szCs w:val="20"/>
                <w:lang w:val="en-US" w:eastAsia="en-US"/>
              </w:rPr>
            </w:pPr>
          </w:p>
        </w:tc>
        <w:tc>
          <w:tcPr>
            <w:tcW w:w="874" w:type="dxa"/>
            <w:tcBorders>
              <w:top w:val="nil"/>
              <w:left w:val="nil"/>
              <w:bottom w:val="nil"/>
              <w:right w:val="nil"/>
            </w:tcBorders>
            <w:shd w:val="clear" w:color="auto" w:fill="auto"/>
            <w:noWrap/>
            <w:vAlign w:val="center"/>
            <w:hideMark/>
          </w:tcPr>
          <w:p w14:paraId="020DEF91" w14:textId="77777777" w:rsidR="002F6E52" w:rsidRPr="00745EF0" w:rsidRDefault="002F6E52" w:rsidP="002F6E52">
            <w:pPr>
              <w:spacing w:line="240" w:lineRule="auto"/>
              <w:rPr>
                <w:rFonts w:eastAsia="Times New Roman"/>
                <w:sz w:val="20"/>
                <w:szCs w:val="20"/>
                <w:lang w:val="en-US" w:eastAsia="en-US"/>
              </w:rPr>
            </w:pPr>
          </w:p>
        </w:tc>
        <w:tc>
          <w:tcPr>
            <w:tcW w:w="1594" w:type="dxa"/>
            <w:tcBorders>
              <w:top w:val="nil"/>
              <w:left w:val="nil"/>
              <w:bottom w:val="nil"/>
              <w:right w:val="nil"/>
            </w:tcBorders>
            <w:shd w:val="clear" w:color="auto" w:fill="auto"/>
            <w:noWrap/>
            <w:vAlign w:val="center"/>
            <w:hideMark/>
          </w:tcPr>
          <w:p w14:paraId="6BAC45CB" w14:textId="77777777" w:rsidR="002F6E52" w:rsidRPr="00745EF0" w:rsidRDefault="002F6E52" w:rsidP="002F6E52">
            <w:pPr>
              <w:spacing w:line="240" w:lineRule="auto"/>
              <w:jc w:val="center"/>
              <w:rPr>
                <w:rFonts w:eastAsia="Times New Roman"/>
                <w:sz w:val="20"/>
                <w:szCs w:val="20"/>
                <w:lang w:val="en-US" w:eastAsia="en-US"/>
              </w:rPr>
            </w:pPr>
          </w:p>
        </w:tc>
        <w:tc>
          <w:tcPr>
            <w:tcW w:w="278" w:type="dxa"/>
            <w:tcBorders>
              <w:top w:val="nil"/>
              <w:left w:val="nil"/>
              <w:bottom w:val="nil"/>
              <w:right w:val="nil"/>
            </w:tcBorders>
            <w:shd w:val="clear" w:color="auto" w:fill="auto"/>
            <w:noWrap/>
            <w:vAlign w:val="center"/>
            <w:hideMark/>
          </w:tcPr>
          <w:p w14:paraId="4AFE7ED3" w14:textId="77777777" w:rsidR="002F6E52" w:rsidRPr="00745EF0" w:rsidRDefault="002F6E52" w:rsidP="002F6E52">
            <w:pPr>
              <w:spacing w:line="240" w:lineRule="auto"/>
              <w:jc w:val="center"/>
              <w:rPr>
                <w:rFonts w:eastAsia="Times New Roman"/>
                <w:sz w:val="20"/>
                <w:szCs w:val="20"/>
                <w:lang w:val="en-US" w:eastAsia="en-US"/>
              </w:rPr>
            </w:pPr>
          </w:p>
        </w:tc>
        <w:tc>
          <w:tcPr>
            <w:tcW w:w="1525" w:type="dxa"/>
            <w:tcBorders>
              <w:top w:val="nil"/>
              <w:left w:val="nil"/>
              <w:bottom w:val="nil"/>
              <w:right w:val="nil"/>
            </w:tcBorders>
            <w:shd w:val="clear" w:color="auto" w:fill="auto"/>
            <w:noWrap/>
            <w:vAlign w:val="center"/>
            <w:hideMark/>
          </w:tcPr>
          <w:p w14:paraId="20543BCC" w14:textId="77777777" w:rsidR="002F6E52" w:rsidRPr="00745EF0" w:rsidRDefault="002F6E52" w:rsidP="002F6E52">
            <w:pPr>
              <w:spacing w:line="240" w:lineRule="auto"/>
              <w:jc w:val="center"/>
              <w:rPr>
                <w:rFonts w:eastAsia="Times New Roman"/>
                <w:sz w:val="20"/>
                <w:szCs w:val="20"/>
                <w:lang w:val="en-US" w:eastAsia="en-US"/>
              </w:rPr>
            </w:pPr>
          </w:p>
        </w:tc>
      </w:tr>
      <w:tr w:rsidR="002F6E52" w:rsidRPr="00745EF0" w14:paraId="5EEDDE95" w14:textId="77777777" w:rsidTr="002F6E52">
        <w:trPr>
          <w:trHeight w:val="268"/>
        </w:trPr>
        <w:tc>
          <w:tcPr>
            <w:tcW w:w="5899" w:type="dxa"/>
            <w:tcBorders>
              <w:top w:val="nil"/>
              <w:left w:val="nil"/>
              <w:bottom w:val="single" w:sz="8" w:space="0" w:color="auto"/>
              <w:right w:val="nil"/>
            </w:tcBorders>
            <w:shd w:val="clear" w:color="auto" w:fill="auto"/>
            <w:vAlign w:val="center"/>
            <w:hideMark/>
          </w:tcPr>
          <w:p w14:paraId="7E37BFBC" w14:textId="77777777" w:rsidR="002F6E52" w:rsidRPr="00745EF0" w:rsidRDefault="002F6E52" w:rsidP="002F6E52">
            <w:pPr>
              <w:spacing w:line="240" w:lineRule="auto"/>
              <w:rPr>
                <w:rFonts w:eastAsia="Times New Roman"/>
                <w:b/>
                <w:bCs/>
                <w:lang w:val="en-US" w:eastAsia="en-US"/>
              </w:rPr>
            </w:pPr>
            <w:r w:rsidRPr="00745EF0">
              <w:rPr>
                <w:rFonts w:eastAsia="Times New Roman"/>
                <w:b/>
                <w:bCs/>
                <w:lang w:val="en-US" w:eastAsia="en-US"/>
              </w:rPr>
              <w:t>Basic and diluted earnings per share (pence)</w:t>
            </w:r>
          </w:p>
        </w:tc>
        <w:tc>
          <w:tcPr>
            <w:tcW w:w="874" w:type="dxa"/>
            <w:tcBorders>
              <w:top w:val="nil"/>
              <w:left w:val="nil"/>
              <w:bottom w:val="single" w:sz="8" w:space="0" w:color="auto"/>
              <w:right w:val="nil"/>
            </w:tcBorders>
            <w:shd w:val="clear" w:color="auto" w:fill="auto"/>
            <w:noWrap/>
            <w:vAlign w:val="center"/>
            <w:hideMark/>
          </w:tcPr>
          <w:p w14:paraId="3BC39CC3" w14:textId="682820B0" w:rsidR="002F6E52" w:rsidRPr="00745EF0" w:rsidRDefault="002F6E52" w:rsidP="002F6E52">
            <w:pPr>
              <w:spacing w:line="240" w:lineRule="auto"/>
              <w:jc w:val="center"/>
              <w:rPr>
                <w:rFonts w:eastAsia="Times New Roman"/>
                <w:lang w:val="en-US" w:eastAsia="en-US"/>
              </w:rPr>
            </w:pPr>
            <w:r>
              <w:rPr>
                <w:rFonts w:eastAsia="Times New Roman"/>
                <w:lang w:val="en-US" w:eastAsia="en-US"/>
              </w:rPr>
              <w:t>6</w:t>
            </w:r>
          </w:p>
        </w:tc>
        <w:tc>
          <w:tcPr>
            <w:tcW w:w="1594" w:type="dxa"/>
            <w:tcBorders>
              <w:top w:val="nil"/>
              <w:left w:val="nil"/>
              <w:bottom w:val="single" w:sz="8" w:space="0" w:color="auto"/>
              <w:right w:val="nil"/>
            </w:tcBorders>
            <w:shd w:val="clear" w:color="auto" w:fill="auto"/>
            <w:noWrap/>
            <w:vAlign w:val="center"/>
            <w:hideMark/>
          </w:tcPr>
          <w:p w14:paraId="5A61BC48" w14:textId="525D49E1" w:rsidR="002F6E52" w:rsidRPr="00745EF0" w:rsidRDefault="002F6E52" w:rsidP="002F6E52">
            <w:pPr>
              <w:spacing w:line="240" w:lineRule="auto"/>
              <w:jc w:val="center"/>
              <w:rPr>
                <w:rFonts w:eastAsia="Times New Roman"/>
                <w:b/>
                <w:bCs/>
                <w:lang w:val="en-US" w:eastAsia="en-US"/>
              </w:rPr>
            </w:pPr>
            <w:r>
              <w:rPr>
                <w:b/>
                <w:bCs/>
              </w:rPr>
              <w:t xml:space="preserve">                    (0.16)</w:t>
            </w:r>
          </w:p>
        </w:tc>
        <w:tc>
          <w:tcPr>
            <w:tcW w:w="278" w:type="dxa"/>
            <w:tcBorders>
              <w:top w:val="nil"/>
              <w:left w:val="nil"/>
              <w:bottom w:val="single" w:sz="8" w:space="0" w:color="auto"/>
              <w:right w:val="nil"/>
            </w:tcBorders>
            <w:shd w:val="clear" w:color="auto" w:fill="auto"/>
            <w:noWrap/>
            <w:vAlign w:val="center"/>
            <w:hideMark/>
          </w:tcPr>
          <w:p w14:paraId="7280EF05" w14:textId="77777777" w:rsidR="002F6E52" w:rsidRPr="00745EF0" w:rsidRDefault="002F6E52" w:rsidP="002F6E52">
            <w:pPr>
              <w:spacing w:line="240" w:lineRule="auto"/>
              <w:jc w:val="center"/>
              <w:rPr>
                <w:rFonts w:eastAsia="Times New Roman"/>
                <w:b/>
                <w:bCs/>
                <w:lang w:val="en-US" w:eastAsia="en-US"/>
              </w:rPr>
            </w:pPr>
            <w:r w:rsidRPr="00745EF0">
              <w:rPr>
                <w:rFonts w:eastAsia="Times New Roman"/>
                <w:b/>
                <w:bCs/>
                <w:lang w:val="en-US" w:eastAsia="en-US"/>
              </w:rPr>
              <w:t> </w:t>
            </w:r>
          </w:p>
        </w:tc>
        <w:tc>
          <w:tcPr>
            <w:tcW w:w="1525" w:type="dxa"/>
            <w:tcBorders>
              <w:top w:val="nil"/>
              <w:left w:val="nil"/>
              <w:bottom w:val="single" w:sz="8" w:space="0" w:color="auto"/>
              <w:right w:val="nil"/>
            </w:tcBorders>
            <w:shd w:val="clear" w:color="auto" w:fill="auto"/>
            <w:noWrap/>
            <w:vAlign w:val="center"/>
            <w:hideMark/>
          </w:tcPr>
          <w:p w14:paraId="575E7CFD" w14:textId="77777777" w:rsidR="002F6E52" w:rsidRPr="00745EF0" w:rsidRDefault="002F6E52" w:rsidP="002F6E52">
            <w:pPr>
              <w:spacing w:line="240" w:lineRule="auto"/>
              <w:jc w:val="center"/>
              <w:rPr>
                <w:rFonts w:eastAsia="Times New Roman"/>
                <w:b/>
                <w:bCs/>
                <w:lang w:val="en-US" w:eastAsia="en-US"/>
              </w:rPr>
            </w:pPr>
            <w:r w:rsidRPr="00745EF0">
              <w:rPr>
                <w:rFonts w:eastAsia="Times New Roman"/>
                <w:b/>
                <w:bCs/>
                <w:lang w:val="en-US" w:eastAsia="en-US"/>
              </w:rPr>
              <w:t xml:space="preserve">                   (0.82)</w:t>
            </w:r>
          </w:p>
        </w:tc>
      </w:tr>
    </w:tbl>
    <w:p w14:paraId="57D9013A" w14:textId="77777777" w:rsidR="00344FC2" w:rsidRDefault="00344FC2" w:rsidP="0024507F">
      <w:pPr>
        <w:rPr>
          <w:b/>
          <w:bCs/>
        </w:rPr>
      </w:pPr>
    </w:p>
    <w:p w14:paraId="4C62A917" w14:textId="77777777" w:rsidR="00790060" w:rsidRDefault="00790060" w:rsidP="0024507F">
      <w:pPr>
        <w:rPr>
          <w:b/>
          <w:bCs/>
        </w:rPr>
      </w:pPr>
    </w:p>
    <w:p w14:paraId="44BCC33B" w14:textId="77777777" w:rsidR="00790060" w:rsidRDefault="00790060" w:rsidP="0024507F">
      <w:pPr>
        <w:rPr>
          <w:b/>
          <w:bCs/>
        </w:rPr>
      </w:pPr>
    </w:p>
    <w:p w14:paraId="0184529A" w14:textId="7FFDC007" w:rsidR="0024507F" w:rsidRDefault="0024507F" w:rsidP="0024507F">
      <w:pPr>
        <w:rPr>
          <w:b/>
          <w:bCs/>
        </w:rPr>
      </w:pPr>
      <w:r w:rsidRPr="00AB2949">
        <w:rPr>
          <w:b/>
          <w:bCs/>
        </w:rPr>
        <w:t>CONDENSED STATEMENT OF CHANGES IN EQUITY</w:t>
      </w:r>
    </w:p>
    <w:p w14:paraId="4C61A0B5" w14:textId="77777777" w:rsidR="0024507F" w:rsidRDefault="0024507F" w:rsidP="0024507F">
      <w:pPr>
        <w:rPr>
          <w:b/>
          <w:bCs/>
        </w:rPr>
      </w:pPr>
    </w:p>
    <w:p w14:paraId="191247A3" w14:textId="68EC7EE7" w:rsidR="0024507F" w:rsidRPr="0024507F" w:rsidRDefault="0024507F" w:rsidP="0024507F">
      <w:r w:rsidRPr="00AB2949">
        <w:t xml:space="preserve">The unaudited condensed statement of changes in equity of the Company for the </w:t>
      </w:r>
      <w:r w:rsidR="00344FC2">
        <w:t xml:space="preserve">fifteen months </w:t>
      </w:r>
      <w:r w:rsidRPr="00AB2949">
        <w:t>ended 31</w:t>
      </w:r>
      <w:r>
        <w:t xml:space="preserve"> December </w:t>
      </w:r>
      <w:r w:rsidRPr="00AB2949">
        <w:t>202</w:t>
      </w:r>
      <w:r>
        <w:t>4</w:t>
      </w:r>
      <w:r w:rsidRPr="00AB2949">
        <w:t xml:space="preserve"> is set out belo</w:t>
      </w:r>
      <w:r>
        <w:t>w</w:t>
      </w:r>
    </w:p>
    <w:tbl>
      <w:tblPr>
        <w:tblpPr w:leftFromText="180" w:rightFromText="180" w:vertAnchor="text" w:horzAnchor="margin" w:tblpY="208"/>
        <w:tblW w:w="5000" w:type="pct"/>
        <w:tblLook w:val="04A0" w:firstRow="1" w:lastRow="0" w:firstColumn="1" w:lastColumn="0" w:noHBand="0" w:noVBand="1"/>
      </w:tblPr>
      <w:tblGrid>
        <w:gridCol w:w="2545"/>
        <w:gridCol w:w="1199"/>
        <w:gridCol w:w="1436"/>
        <w:gridCol w:w="1438"/>
        <w:gridCol w:w="1438"/>
        <w:gridCol w:w="1583"/>
      </w:tblGrid>
      <w:tr w:rsidR="0024507F" w:rsidRPr="007D3A0B" w14:paraId="77D0AA51" w14:textId="77777777" w:rsidTr="00DF251E">
        <w:trPr>
          <w:trHeight w:val="489"/>
        </w:trPr>
        <w:tc>
          <w:tcPr>
            <w:tcW w:w="1320" w:type="pct"/>
            <w:tcBorders>
              <w:top w:val="nil"/>
              <w:left w:val="nil"/>
              <w:bottom w:val="nil"/>
              <w:right w:val="nil"/>
            </w:tcBorders>
            <w:shd w:val="clear" w:color="auto" w:fill="auto"/>
            <w:vAlign w:val="center"/>
            <w:hideMark/>
          </w:tcPr>
          <w:p w14:paraId="10A66D95" w14:textId="77777777" w:rsidR="0024507F" w:rsidRPr="007D3A0B" w:rsidRDefault="0024507F" w:rsidP="0024507F">
            <w:pPr>
              <w:rPr>
                <w:sz w:val="20"/>
                <w:szCs w:val="20"/>
              </w:rPr>
            </w:pPr>
          </w:p>
        </w:tc>
        <w:tc>
          <w:tcPr>
            <w:tcW w:w="622" w:type="pct"/>
            <w:tcBorders>
              <w:top w:val="nil"/>
              <w:left w:val="nil"/>
              <w:bottom w:val="nil"/>
              <w:right w:val="nil"/>
            </w:tcBorders>
            <w:shd w:val="clear" w:color="auto" w:fill="auto"/>
            <w:vAlign w:val="center"/>
            <w:hideMark/>
          </w:tcPr>
          <w:p w14:paraId="5BC69657" w14:textId="77777777" w:rsidR="0024507F" w:rsidRPr="007D3A0B" w:rsidRDefault="0024507F" w:rsidP="0024507F">
            <w:pPr>
              <w:jc w:val="right"/>
              <w:rPr>
                <w:b/>
                <w:bCs/>
                <w:sz w:val="20"/>
                <w:szCs w:val="20"/>
              </w:rPr>
            </w:pPr>
            <w:r w:rsidRPr="007D3A0B">
              <w:rPr>
                <w:b/>
                <w:bCs/>
                <w:sz w:val="20"/>
                <w:szCs w:val="20"/>
              </w:rPr>
              <w:t xml:space="preserve">Share </w:t>
            </w:r>
            <w:r w:rsidRPr="007D3A0B">
              <w:rPr>
                <w:b/>
                <w:bCs/>
                <w:sz w:val="20"/>
                <w:szCs w:val="20"/>
              </w:rPr>
              <w:br/>
              <w:t>capital</w:t>
            </w:r>
          </w:p>
        </w:tc>
        <w:tc>
          <w:tcPr>
            <w:tcW w:w="745" w:type="pct"/>
            <w:tcBorders>
              <w:top w:val="nil"/>
              <w:left w:val="nil"/>
              <w:bottom w:val="nil"/>
              <w:right w:val="nil"/>
            </w:tcBorders>
            <w:shd w:val="clear" w:color="auto" w:fill="auto"/>
            <w:vAlign w:val="center"/>
            <w:hideMark/>
          </w:tcPr>
          <w:p w14:paraId="6C825DB2" w14:textId="77777777" w:rsidR="0024507F" w:rsidRPr="007D3A0B" w:rsidRDefault="0024507F" w:rsidP="0024507F">
            <w:pPr>
              <w:jc w:val="right"/>
              <w:rPr>
                <w:b/>
                <w:bCs/>
                <w:sz w:val="20"/>
                <w:szCs w:val="20"/>
              </w:rPr>
            </w:pPr>
            <w:r w:rsidRPr="007D3A0B">
              <w:rPr>
                <w:b/>
                <w:bCs/>
                <w:sz w:val="20"/>
                <w:szCs w:val="20"/>
              </w:rPr>
              <w:t>Share premium account</w:t>
            </w:r>
          </w:p>
        </w:tc>
        <w:tc>
          <w:tcPr>
            <w:tcW w:w="746" w:type="pct"/>
            <w:tcBorders>
              <w:top w:val="nil"/>
              <w:left w:val="nil"/>
              <w:bottom w:val="nil"/>
              <w:right w:val="nil"/>
            </w:tcBorders>
            <w:shd w:val="clear" w:color="auto" w:fill="auto"/>
            <w:vAlign w:val="center"/>
            <w:hideMark/>
          </w:tcPr>
          <w:p w14:paraId="60516A8D" w14:textId="77777777" w:rsidR="0024507F" w:rsidRPr="007D3A0B" w:rsidRDefault="0024507F" w:rsidP="0024507F">
            <w:pPr>
              <w:jc w:val="right"/>
              <w:rPr>
                <w:b/>
                <w:bCs/>
                <w:sz w:val="20"/>
                <w:szCs w:val="20"/>
              </w:rPr>
            </w:pPr>
            <w:r w:rsidRPr="007D3A0B">
              <w:rPr>
                <w:b/>
                <w:bCs/>
                <w:sz w:val="20"/>
                <w:szCs w:val="20"/>
              </w:rPr>
              <w:t>Share-based payment reserve</w:t>
            </w:r>
          </w:p>
        </w:tc>
        <w:tc>
          <w:tcPr>
            <w:tcW w:w="746" w:type="pct"/>
            <w:tcBorders>
              <w:top w:val="nil"/>
              <w:left w:val="nil"/>
              <w:bottom w:val="nil"/>
              <w:right w:val="nil"/>
            </w:tcBorders>
            <w:shd w:val="clear" w:color="auto" w:fill="auto"/>
            <w:vAlign w:val="center"/>
            <w:hideMark/>
          </w:tcPr>
          <w:p w14:paraId="2E718ADA" w14:textId="77777777" w:rsidR="0024507F" w:rsidRPr="007D3A0B" w:rsidRDefault="0024507F" w:rsidP="0024507F">
            <w:pPr>
              <w:jc w:val="right"/>
              <w:rPr>
                <w:b/>
                <w:bCs/>
                <w:sz w:val="20"/>
                <w:szCs w:val="20"/>
              </w:rPr>
            </w:pPr>
            <w:r w:rsidRPr="007D3A0B">
              <w:rPr>
                <w:b/>
                <w:bCs/>
                <w:sz w:val="20"/>
                <w:szCs w:val="20"/>
              </w:rPr>
              <w:t xml:space="preserve">Retained </w:t>
            </w:r>
            <w:r w:rsidRPr="007D3A0B">
              <w:rPr>
                <w:b/>
                <w:bCs/>
                <w:sz w:val="20"/>
                <w:szCs w:val="20"/>
              </w:rPr>
              <w:br/>
              <w:t>earnings</w:t>
            </w:r>
          </w:p>
        </w:tc>
        <w:tc>
          <w:tcPr>
            <w:tcW w:w="821" w:type="pct"/>
            <w:tcBorders>
              <w:top w:val="nil"/>
              <w:left w:val="nil"/>
              <w:bottom w:val="nil"/>
              <w:right w:val="nil"/>
            </w:tcBorders>
            <w:shd w:val="clear" w:color="auto" w:fill="auto"/>
            <w:noWrap/>
            <w:vAlign w:val="center"/>
            <w:hideMark/>
          </w:tcPr>
          <w:p w14:paraId="54E888B0" w14:textId="77777777" w:rsidR="0024507F" w:rsidRPr="007D3A0B" w:rsidRDefault="0024507F" w:rsidP="0024507F">
            <w:pPr>
              <w:jc w:val="right"/>
              <w:rPr>
                <w:b/>
                <w:bCs/>
                <w:sz w:val="20"/>
                <w:szCs w:val="20"/>
              </w:rPr>
            </w:pPr>
            <w:r w:rsidRPr="007D3A0B">
              <w:rPr>
                <w:b/>
                <w:bCs/>
                <w:sz w:val="20"/>
                <w:szCs w:val="20"/>
              </w:rPr>
              <w:t>Total</w:t>
            </w:r>
          </w:p>
        </w:tc>
      </w:tr>
      <w:tr w:rsidR="0024507F" w:rsidRPr="007D3A0B" w14:paraId="3F74DCF7" w14:textId="77777777" w:rsidTr="00DF251E">
        <w:trPr>
          <w:trHeight w:val="254"/>
        </w:trPr>
        <w:tc>
          <w:tcPr>
            <w:tcW w:w="1320" w:type="pct"/>
            <w:tcBorders>
              <w:top w:val="nil"/>
              <w:left w:val="nil"/>
              <w:bottom w:val="single" w:sz="12" w:space="0" w:color="000000"/>
              <w:right w:val="nil"/>
            </w:tcBorders>
            <w:shd w:val="clear" w:color="auto" w:fill="auto"/>
            <w:vAlign w:val="center"/>
            <w:hideMark/>
          </w:tcPr>
          <w:p w14:paraId="1B22D239" w14:textId="77777777" w:rsidR="0024507F" w:rsidRPr="007D3A0B" w:rsidRDefault="0024507F" w:rsidP="0024507F">
            <w:pPr>
              <w:rPr>
                <w:sz w:val="20"/>
                <w:szCs w:val="20"/>
              </w:rPr>
            </w:pPr>
            <w:r w:rsidRPr="007D3A0B">
              <w:rPr>
                <w:sz w:val="20"/>
                <w:szCs w:val="20"/>
              </w:rPr>
              <w:t> </w:t>
            </w:r>
          </w:p>
        </w:tc>
        <w:tc>
          <w:tcPr>
            <w:tcW w:w="622" w:type="pct"/>
            <w:tcBorders>
              <w:top w:val="nil"/>
              <w:left w:val="nil"/>
              <w:bottom w:val="single" w:sz="12" w:space="0" w:color="000000"/>
              <w:right w:val="nil"/>
            </w:tcBorders>
            <w:shd w:val="clear" w:color="auto" w:fill="auto"/>
            <w:vAlign w:val="center"/>
            <w:hideMark/>
          </w:tcPr>
          <w:p w14:paraId="21E7A4A8" w14:textId="77777777" w:rsidR="0024507F" w:rsidRPr="007D3A0B" w:rsidRDefault="0024507F" w:rsidP="0024507F">
            <w:pPr>
              <w:jc w:val="right"/>
              <w:rPr>
                <w:b/>
                <w:bCs/>
                <w:sz w:val="20"/>
                <w:szCs w:val="20"/>
              </w:rPr>
            </w:pPr>
            <w:r w:rsidRPr="007D3A0B">
              <w:rPr>
                <w:b/>
                <w:bCs/>
                <w:sz w:val="20"/>
                <w:szCs w:val="20"/>
              </w:rPr>
              <w:t>£</w:t>
            </w:r>
            <w:r>
              <w:rPr>
                <w:b/>
                <w:bCs/>
                <w:sz w:val="20"/>
                <w:szCs w:val="20"/>
              </w:rPr>
              <w:t>’000</w:t>
            </w:r>
          </w:p>
        </w:tc>
        <w:tc>
          <w:tcPr>
            <w:tcW w:w="745" w:type="pct"/>
            <w:tcBorders>
              <w:top w:val="nil"/>
              <w:left w:val="nil"/>
              <w:bottom w:val="single" w:sz="12" w:space="0" w:color="000000"/>
              <w:right w:val="nil"/>
            </w:tcBorders>
            <w:shd w:val="clear" w:color="auto" w:fill="auto"/>
            <w:vAlign w:val="center"/>
            <w:hideMark/>
          </w:tcPr>
          <w:p w14:paraId="4EA4939A" w14:textId="77777777" w:rsidR="0024507F" w:rsidRPr="007D3A0B" w:rsidRDefault="0024507F" w:rsidP="0024507F">
            <w:pPr>
              <w:jc w:val="right"/>
              <w:rPr>
                <w:b/>
                <w:bCs/>
                <w:sz w:val="20"/>
                <w:szCs w:val="20"/>
              </w:rPr>
            </w:pPr>
            <w:r w:rsidRPr="007D3A0B">
              <w:rPr>
                <w:b/>
                <w:bCs/>
                <w:sz w:val="20"/>
                <w:szCs w:val="20"/>
              </w:rPr>
              <w:t>£</w:t>
            </w:r>
            <w:r>
              <w:rPr>
                <w:b/>
                <w:bCs/>
                <w:sz w:val="20"/>
                <w:szCs w:val="20"/>
              </w:rPr>
              <w:t>’000</w:t>
            </w:r>
          </w:p>
        </w:tc>
        <w:tc>
          <w:tcPr>
            <w:tcW w:w="746" w:type="pct"/>
            <w:tcBorders>
              <w:top w:val="nil"/>
              <w:left w:val="nil"/>
              <w:bottom w:val="single" w:sz="12" w:space="0" w:color="000000"/>
              <w:right w:val="nil"/>
            </w:tcBorders>
            <w:shd w:val="clear" w:color="auto" w:fill="auto"/>
            <w:vAlign w:val="center"/>
            <w:hideMark/>
          </w:tcPr>
          <w:p w14:paraId="1ABF5B3B" w14:textId="77777777" w:rsidR="0024507F" w:rsidRPr="007D3A0B" w:rsidRDefault="0024507F" w:rsidP="0024507F">
            <w:pPr>
              <w:jc w:val="right"/>
              <w:rPr>
                <w:b/>
                <w:bCs/>
                <w:sz w:val="20"/>
                <w:szCs w:val="20"/>
              </w:rPr>
            </w:pPr>
            <w:r w:rsidRPr="007D3A0B">
              <w:rPr>
                <w:b/>
                <w:bCs/>
                <w:sz w:val="20"/>
                <w:szCs w:val="20"/>
              </w:rPr>
              <w:t>£</w:t>
            </w:r>
            <w:r>
              <w:rPr>
                <w:b/>
                <w:bCs/>
                <w:sz w:val="20"/>
                <w:szCs w:val="20"/>
              </w:rPr>
              <w:t>’000</w:t>
            </w:r>
          </w:p>
        </w:tc>
        <w:tc>
          <w:tcPr>
            <w:tcW w:w="746" w:type="pct"/>
            <w:tcBorders>
              <w:top w:val="nil"/>
              <w:left w:val="nil"/>
              <w:bottom w:val="single" w:sz="12" w:space="0" w:color="000000"/>
              <w:right w:val="nil"/>
            </w:tcBorders>
            <w:shd w:val="clear" w:color="auto" w:fill="auto"/>
            <w:vAlign w:val="center"/>
            <w:hideMark/>
          </w:tcPr>
          <w:p w14:paraId="3A1BA992" w14:textId="77777777" w:rsidR="0024507F" w:rsidRPr="007D3A0B" w:rsidRDefault="0024507F" w:rsidP="0024507F">
            <w:pPr>
              <w:jc w:val="right"/>
              <w:rPr>
                <w:b/>
                <w:bCs/>
                <w:sz w:val="20"/>
                <w:szCs w:val="20"/>
              </w:rPr>
            </w:pPr>
            <w:r w:rsidRPr="007D3A0B">
              <w:rPr>
                <w:b/>
                <w:bCs/>
                <w:sz w:val="20"/>
                <w:szCs w:val="20"/>
              </w:rPr>
              <w:t>£</w:t>
            </w:r>
            <w:r>
              <w:rPr>
                <w:b/>
                <w:bCs/>
                <w:sz w:val="20"/>
                <w:szCs w:val="20"/>
              </w:rPr>
              <w:t>’000</w:t>
            </w:r>
          </w:p>
        </w:tc>
        <w:tc>
          <w:tcPr>
            <w:tcW w:w="821" w:type="pct"/>
            <w:tcBorders>
              <w:top w:val="nil"/>
              <w:left w:val="nil"/>
              <w:bottom w:val="single" w:sz="12" w:space="0" w:color="000000"/>
              <w:right w:val="nil"/>
            </w:tcBorders>
            <w:shd w:val="clear" w:color="auto" w:fill="auto"/>
            <w:vAlign w:val="center"/>
            <w:hideMark/>
          </w:tcPr>
          <w:p w14:paraId="52451649" w14:textId="77777777" w:rsidR="0024507F" w:rsidRPr="007D3A0B" w:rsidRDefault="0024507F" w:rsidP="0024507F">
            <w:pPr>
              <w:jc w:val="right"/>
              <w:rPr>
                <w:b/>
                <w:bCs/>
                <w:sz w:val="20"/>
                <w:szCs w:val="20"/>
              </w:rPr>
            </w:pPr>
            <w:r w:rsidRPr="007D3A0B">
              <w:rPr>
                <w:b/>
                <w:bCs/>
                <w:sz w:val="20"/>
                <w:szCs w:val="20"/>
              </w:rPr>
              <w:t>£</w:t>
            </w:r>
            <w:r>
              <w:rPr>
                <w:b/>
                <w:bCs/>
                <w:sz w:val="20"/>
                <w:szCs w:val="20"/>
              </w:rPr>
              <w:t>’000</w:t>
            </w:r>
          </w:p>
        </w:tc>
      </w:tr>
      <w:tr w:rsidR="0024507F" w:rsidRPr="00523861" w14:paraId="274EA4FD" w14:textId="77777777" w:rsidTr="00DF251E">
        <w:trPr>
          <w:trHeight w:val="264"/>
        </w:trPr>
        <w:tc>
          <w:tcPr>
            <w:tcW w:w="1320" w:type="pct"/>
            <w:tcBorders>
              <w:top w:val="nil"/>
              <w:left w:val="nil"/>
              <w:bottom w:val="single" w:sz="8" w:space="0" w:color="000000"/>
              <w:right w:val="nil"/>
            </w:tcBorders>
            <w:shd w:val="clear" w:color="auto" w:fill="auto"/>
            <w:vAlign w:val="center"/>
            <w:hideMark/>
          </w:tcPr>
          <w:p w14:paraId="014DBF89" w14:textId="243A921D" w:rsidR="0024507F" w:rsidRPr="00BC66BA" w:rsidRDefault="0024507F" w:rsidP="0024507F">
            <w:pPr>
              <w:rPr>
                <w:b/>
                <w:bCs/>
                <w:sz w:val="20"/>
                <w:szCs w:val="20"/>
              </w:rPr>
            </w:pPr>
            <w:r w:rsidRPr="00BC66BA">
              <w:rPr>
                <w:b/>
                <w:bCs/>
                <w:sz w:val="20"/>
                <w:szCs w:val="20"/>
              </w:rPr>
              <w:t xml:space="preserve">Balance </w:t>
            </w:r>
            <w:proofErr w:type="gramStart"/>
            <w:r w:rsidRPr="00BC66BA">
              <w:rPr>
                <w:b/>
                <w:bCs/>
                <w:sz w:val="20"/>
                <w:szCs w:val="20"/>
              </w:rPr>
              <w:t>at</w:t>
            </w:r>
            <w:proofErr w:type="gramEnd"/>
            <w:r w:rsidRPr="00BC66BA">
              <w:rPr>
                <w:b/>
                <w:bCs/>
                <w:sz w:val="20"/>
                <w:szCs w:val="20"/>
              </w:rPr>
              <w:t xml:space="preserve"> 1 October 202</w:t>
            </w:r>
            <w:r>
              <w:rPr>
                <w:b/>
                <w:bCs/>
                <w:sz w:val="20"/>
                <w:szCs w:val="20"/>
              </w:rPr>
              <w:t>2</w:t>
            </w:r>
          </w:p>
        </w:tc>
        <w:tc>
          <w:tcPr>
            <w:tcW w:w="622" w:type="pct"/>
            <w:tcBorders>
              <w:top w:val="nil"/>
              <w:left w:val="nil"/>
              <w:bottom w:val="single" w:sz="8" w:space="0" w:color="000000"/>
              <w:right w:val="nil"/>
            </w:tcBorders>
            <w:shd w:val="clear" w:color="auto" w:fill="auto"/>
            <w:vAlign w:val="center"/>
            <w:hideMark/>
          </w:tcPr>
          <w:p w14:paraId="1EB9890B" w14:textId="77777777" w:rsidR="0024507F" w:rsidRPr="00BC66BA" w:rsidRDefault="0024507F" w:rsidP="0024507F">
            <w:pPr>
              <w:jc w:val="right"/>
              <w:rPr>
                <w:sz w:val="20"/>
                <w:szCs w:val="20"/>
              </w:rPr>
            </w:pPr>
            <w:r w:rsidRPr="00BC66BA">
              <w:rPr>
                <w:b/>
                <w:bCs/>
                <w:sz w:val="20"/>
                <w:szCs w:val="20"/>
              </w:rPr>
              <w:t>51</w:t>
            </w:r>
            <w:r>
              <w:rPr>
                <w:b/>
                <w:bCs/>
                <w:sz w:val="20"/>
                <w:szCs w:val="20"/>
              </w:rPr>
              <w:t>9</w:t>
            </w:r>
          </w:p>
        </w:tc>
        <w:tc>
          <w:tcPr>
            <w:tcW w:w="745" w:type="pct"/>
            <w:tcBorders>
              <w:top w:val="nil"/>
              <w:left w:val="nil"/>
              <w:bottom w:val="single" w:sz="8" w:space="0" w:color="000000"/>
              <w:right w:val="nil"/>
            </w:tcBorders>
            <w:shd w:val="clear" w:color="auto" w:fill="auto"/>
            <w:vAlign w:val="center"/>
            <w:hideMark/>
          </w:tcPr>
          <w:p w14:paraId="4ECB2D29" w14:textId="77777777" w:rsidR="0024507F" w:rsidRPr="00BC66BA" w:rsidRDefault="0024507F" w:rsidP="0024507F">
            <w:pPr>
              <w:jc w:val="right"/>
              <w:rPr>
                <w:sz w:val="20"/>
                <w:szCs w:val="20"/>
              </w:rPr>
            </w:pPr>
            <w:r w:rsidRPr="00BC66BA">
              <w:rPr>
                <w:b/>
                <w:bCs/>
                <w:sz w:val="20"/>
                <w:szCs w:val="20"/>
              </w:rPr>
              <w:t>22,64</w:t>
            </w:r>
            <w:r>
              <w:rPr>
                <w:b/>
                <w:bCs/>
                <w:sz w:val="20"/>
                <w:szCs w:val="20"/>
              </w:rPr>
              <w:t>4</w:t>
            </w:r>
          </w:p>
        </w:tc>
        <w:tc>
          <w:tcPr>
            <w:tcW w:w="746" w:type="pct"/>
            <w:tcBorders>
              <w:top w:val="nil"/>
              <w:left w:val="nil"/>
              <w:bottom w:val="single" w:sz="8" w:space="0" w:color="000000"/>
              <w:right w:val="nil"/>
            </w:tcBorders>
            <w:shd w:val="clear" w:color="auto" w:fill="auto"/>
            <w:vAlign w:val="center"/>
            <w:hideMark/>
          </w:tcPr>
          <w:p w14:paraId="63904BC8" w14:textId="77777777" w:rsidR="0024507F" w:rsidRPr="00B24C4E" w:rsidRDefault="0024507F" w:rsidP="0024507F">
            <w:pPr>
              <w:jc w:val="right"/>
              <w:rPr>
                <w:b/>
                <w:bCs/>
                <w:sz w:val="20"/>
                <w:szCs w:val="20"/>
              </w:rPr>
            </w:pPr>
            <w:r w:rsidRPr="00B24C4E">
              <w:rPr>
                <w:b/>
                <w:bCs/>
                <w:sz w:val="20"/>
                <w:szCs w:val="20"/>
              </w:rPr>
              <w:t>650</w:t>
            </w:r>
          </w:p>
        </w:tc>
        <w:tc>
          <w:tcPr>
            <w:tcW w:w="746" w:type="pct"/>
            <w:tcBorders>
              <w:top w:val="nil"/>
              <w:left w:val="nil"/>
              <w:bottom w:val="single" w:sz="8" w:space="0" w:color="000000"/>
              <w:right w:val="nil"/>
            </w:tcBorders>
            <w:shd w:val="clear" w:color="auto" w:fill="auto"/>
            <w:vAlign w:val="center"/>
            <w:hideMark/>
          </w:tcPr>
          <w:p w14:paraId="31B81D8F" w14:textId="77777777" w:rsidR="0024507F" w:rsidRPr="00BC66BA" w:rsidRDefault="0024507F" w:rsidP="0024507F">
            <w:pPr>
              <w:jc w:val="right"/>
              <w:rPr>
                <w:sz w:val="20"/>
                <w:szCs w:val="20"/>
              </w:rPr>
            </w:pPr>
            <w:r w:rsidRPr="00BC66BA">
              <w:rPr>
                <w:b/>
                <w:bCs/>
                <w:sz w:val="20"/>
                <w:szCs w:val="20"/>
              </w:rPr>
              <w:t>(</w:t>
            </w:r>
            <w:r>
              <w:rPr>
                <w:b/>
                <w:bCs/>
                <w:sz w:val="20"/>
                <w:szCs w:val="20"/>
              </w:rPr>
              <w:t>20,255</w:t>
            </w:r>
            <w:r w:rsidRPr="00BC66BA">
              <w:rPr>
                <w:b/>
                <w:bCs/>
                <w:sz w:val="20"/>
                <w:szCs w:val="20"/>
              </w:rPr>
              <w:t>)</w:t>
            </w:r>
          </w:p>
        </w:tc>
        <w:tc>
          <w:tcPr>
            <w:tcW w:w="821" w:type="pct"/>
            <w:tcBorders>
              <w:top w:val="nil"/>
              <w:left w:val="nil"/>
              <w:bottom w:val="single" w:sz="8" w:space="0" w:color="000000"/>
              <w:right w:val="nil"/>
            </w:tcBorders>
            <w:shd w:val="clear" w:color="auto" w:fill="auto"/>
            <w:vAlign w:val="center"/>
            <w:hideMark/>
          </w:tcPr>
          <w:p w14:paraId="7F52D1FC" w14:textId="77777777" w:rsidR="0024507F" w:rsidRPr="00BC66BA" w:rsidRDefault="0024507F" w:rsidP="0024507F">
            <w:pPr>
              <w:jc w:val="right"/>
              <w:rPr>
                <w:b/>
                <w:bCs/>
                <w:sz w:val="20"/>
                <w:szCs w:val="20"/>
              </w:rPr>
            </w:pPr>
            <w:r>
              <w:rPr>
                <w:b/>
                <w:bCs/>
                <w:sz w:val="20"/>
                <w:szCs w:val="20"/>
              </w:rPr>
              <w:t>3,558</w:t>
            </w:r>
          </w:p>
        </w:tc>
      </w:tr>
      <w:tr w:rsidR="0024507F" w:rsidRPr="00523861" w14:paraId="697C6089" w14:textId="77777777" w:rsidTr="00DF251E">
        <w:trPr>
          <w:trHeight w:val="234"/>
        </w:trPr>
        <w:tc>
          <w:tcPr>
            <w:tcW w:w="1320" w:type="pct"/>
            <w:tcBorders>
              <w:top w:val="nil"/>
              <w:left w:val="nil"/>
              <w:right w:val="nil"/>
            </w:tcBorders>
            <w:shd w:val="clear" w:color="auto" w:fill="auto"/>
            <w:vAlign w:val="center"/>
            <w:hideMark/>
          </w:tcPr>
          <w:p w14:paraId="0F1C3BE1" w14:textId="77777777" w:rsidR="0024507F" w:rsidRPr="00523861" w:rsidRDefault="0024507F" w:rsidP="0024507F">
            <w:pPr>
              <w:jc w:val="right"/>
              <w:rPr>
                <w:b/>
                <w:bCs/>
                <w:sz w:val="20"/>
                <w:szCs w:val="20"/>
                <w:highlight w:val="yellow"/>
              </w:rPr>
            </w:pPr>
          </w:p>
        </w:tc>
        <w:tc>
          <w:tcPr>
            <w:tcW w:w="622" w:type="pct"/>
            <w:tcBorders>
              <w:top w:val="nil"/>
              <w:left w:val="nil"/>
              <w:right w:val="nil"/>
            </w:tcBorders>
            <w:shd w:val="clear" w:color="auto" w:fill="auto"/>
            <w:vAlign w:val="center"/>
            <w:hideMark/>
          </w:tcPr>
          <w:p w14:paraId="4931E288" w14:textId="77777777" w:rsidR="0024507F" w:rsidRPr="00523861" w:rsidRDefault="0024507F" w:rsidP="0024507F">
            <w:pPr>
              <w:rPr>
                <w:sz w:val="20"/>
                <w:szCs w:val="20"/>
                <w:highlight w:val="yellow"/>
              </w:rPr>
            </w:pPr>
          </w:p>
        </w:tc>
        <w:tc>
          <w:tcPr>
            <w:tcW w:w="745" w:type="pct"/>
            <w:tcBorders>
              <w:top w:val="nil"/>
              <w:left w:val="nil"/>
              <w:right w:val="nil"/>
            </w:tcBorders>
            <w:shd w:val="clear" w:color="auto" w:fill="auto"/>
            <w:vAlign w:val="center"/>
            <w:hideMark/>
          </w:tcPr>
          <w:p w14:paraId="19CC534D" w14:textId="77777777" w:rsidR="0024507F" w:rsidRPr="00523861" w:rsidRDefault="0024507F" w:rsidP="0024507F">
            <w:pPr>
              <w:jc w:val="right"/>
              <w:rPr>
                <w:sz w:val="20"/>
                <w:szCs w:val="20"/>
                <w:highlight w:val="yellow"/>
              </w:rPr>
            </w:pPr>
          </w:p>
        </w:tc>
        <w:tc>
          <w:tcPr>
            <w:tcW w:w="746" w:type="pct"/>
            <w:tcBorders>
              <w:top w:val="nil"/>
              <w:left w:val="nil"/>
              <w:right w:val="nil"/>
            </w:tcBorders>
            <w:shd w:val="clear" w:color="auto" w:fill="auto"/>
            <w:vAlign w:val="center"/>
            <w:hideMark/>
          </w:tcPr>
          <w:p w14:paraId="4EA466EC" w14:textId="77777777" w:rsidR="0024507F" w:rsidRPr="00523861" w:rsidRDefault="0024507F" w:rsidP="0024507F">
            <w:pPr>
              <w:jc w:val="right"/>
              <w:rPr>
                <w:sz w:val="20"/>
                <w:szCs w:val="20"/>
                <w:highlight w:val="yellow"/>
              </w:rPr>
            </w:pPr>
          </w:p>
        </w:tc>
        <w:tc>
          <w:tcPr>
            <w:tcW w:w="746" w:type="pct"/>
            <w:tcBorders>
              <w:top w:val="nil"/>
              <w:left w:val="nil"/>
              <w:right w:val="nil"/>
            </w:tcBorders>
            <w:shd w:val="clear" w:color="auto" w:fill="auto"/>
            <w:vAlign w:val="center"/>
            <w:hideMark/>
          </w:tcPr>
          <w:p w14:paraId="140D3D2F" w14:textId="77777777" w:rsidR="0024507F" w:rsidRPr="00523861" w:rsidRDefault="0024507F" w:rsidP="0024507F">
            <w:pPr>
              <w:jc w:val="right"/>
              <w:rPr>
                <w:sz w:val="20"/>
                <w:szCs w:val="20"/>
                <w:highlight w:val="yellow"/>
              </w:rPr>
            </w:pPr>
          </w:p>
        </w:tc>
        <w:tc>
          <w:tcPr>
            <w:tcW w:w="821" w:type="pct"/>
            <w:tcBorders>
              <w:top w:val="nil"/>
              <w:left w:val="nil"/>
              <w:right w:val="nil"/>
            </w:tcBorders>
            <w:shd w:val="clear" w:color="auto" w:fill="auto"/>
            <w:vAlign w:val="center"/>
            <w:hideMark/>
          </w:tcPr>
          <w:p w14:paraId="5AF0F88F" w14:textId="77777777" w:rsidR="0024507F" w:rsidRPr="00523861" w:rsidRDefault="0024507F" w:rsidP="0024507F">
            <w:pPr>
              <w:jc w:val="right"/>
              <w:rPr>
                <w:sz w:val="20"/>
                <w:szCs w:val="20"/>
                <w:highlight w:val="yellow"/>
              </w:rPr>
            </w:pPr>
          </w:p>
        </w:tc>
      </w:tr>
      <w:tr w:rsidR="0024507F" w:rsidRPr="00BC66BA" w14:paraId="10502036" w14:textId="77777777" w:rsidTr="00DF251E">
        <w:trPr>
          <w:trHeight w:val="244"/>
        </w:trPr>
        <w:tc>
          <w:tcPr>
            <w:tcW w:w="1320" w:type="pct"/>
            <w:tcBorders>
              <w:top w:val="nil"/>
              <w:left w:val="nil"/>
              <w:bottom w:val="single" w:sz="4" w:space="0" w:color="auto"/>
              <w:right w:val="nil"/>
            </w:tcBorders>
            <w:shd w:val="clear" w:color="auto" w:fill="auto"/>
            <w:vAlign w:val="center"/>
            <w:hideMark/>
          </w:tcPr>
          <w:p w14:paraId="639058C2" w14:textId="658D925D" w:rsidR="0024507F" w:rsidRPr="00BC66BA" w:rsidRDefault="0024507F" w:rsidP="0024507F">
            <w:pPr>
              <w:rPr>
                <w:sz w:val="20"/>
                <w:szCs w:val="20"/>
              </w:rPr>
            </w:pPr>
            <w:r w:rsidRPr="00BC66BA">
              <w:rPr>
                <w:sz w:val="20"/>
                <w:szCs w:val="20"/>
              </w:rPr>
              <w:t xml:space="preserve">Loss for the </w:t>
            </w:r>
            <w:r w:rsidR="00DF251E">
              <w:rPr>
                <w:sz w:val="20"/>
                <w:szCs w:val="20"/>
              </w:rPr>
              <w:t>year</w:t>
            </w:r>
          </w:p>
        </w:tc>
        <w:tc>
          <w:tcPr>
            <w:tcW w:w="622" w:type="pct"/>
            <w:tcBorders>
              <w:top w:val="nil"/>
              <w:left w:val="nil"/>
              <w:bottom w:val="single" w:sz="4" w:space="0" w:color="auto"/>
              <w:right w:val="nil"/>
            </w:tcBorders>
            <w:shd w:val="clear" w:color="auto" w:fill="auto"/>
            <w:vAlign w:val="center"/>
            <w:hideMark/>
          </w:tcPr>
          <w:p w14:paraId="33AA0762" w14:textId="77777777" w:rsidR="0024507F" w:rsidRPr="00BC66BA" w:rsidRDefault="0024507F" w:rsidP="0024507F">
            <w:pPr>
              <w:jc w:val="right"/>
              <w:rPr>
                <w:sz w:val="20"/>
                <w:szCs w:val="20"/>
              </w:rPr>
            </w:pPr>
            <w:r w:rsidRPr="00BC66BA">
              <w:rPr>
                <w:sz w:val="20"/>
                <w:szCs w:val="20"/>
              </w:rPr>
              <w:t>-</w:t>
            </w:r>
          </w:p>
        </w:tc>
        <w:tc>
          <w:tcPr>
            <w:tcW w:w="745" w:type="pct"/>
            <w:tcBorders>
              <w:top w:val="nil"/>
              <w:left w:val="nil"/>
              <w:bottom w:val="single" w:sz="4" w:space="0" w:color="auto"/>
              <w:right w:val="nil"/>
            </w:tcBorders>
            <w:shd w:val="clear" w:color="auto" w:fill="auto"/>
            <w:vAlign w:val="center"/>
            <w:hideMark/>
          </w:tcPr>
          <w:p w14:paraId="1CEA0C93" w14:textId="77777777" w:rsidR="0024507F" w:rsidRPr="00BC66BA" w:rsidRDefault="0024507F" w:rsidP="0024507F">
            <w:pPr>
              <w:jc w:val="right"/>
              <w:rPr>
                <w:sz w:val="20"/>
                <w:szCs w:val="20"/>
              </w:rPr>
            </w:pPr>
            <w:r w:rsidRPr="00BC66BA">
              <w:rPr>
                <w:sz w:val="20"/>
                <w:szCs w:val="20"/>
              </w:rPr>
              <w:t>-</w:t>
            </w:r>
          </w:p>
        </w:tc>
        <w:tc>
          <w:tcPr>
            <w:tcW w:w="746" w:type="pct"/>
            <w:tcBorders>
              <w:top w:val="nil"/>
              <w:left w:val="nil"/>
              <w:bottom w:val="single" w:sz="4" w:space="0" w:color="auto"/>
              <w:right w:val="nil"/>
            </w:tcBorders>
            <w:shd w:val="clear" w:color="auto" w:fill="auto"/>
            <w:vAlign w:val="center"/>
            <w:hideMark/>
          </w:tcPr>
          <w:p w14:paraId="59F1324D" w14:textId="77777777" w:rsidR="0024507F" w:rsidRPr="00BC66BA" w:rsidRDefault="0024507F" w:rsidP="0024507F">
            <w:pPr>
              <w:jc w:val="right"/>
              <w:rPr>
                <w:sz w:val="20"/>
                <w:szCs w:val="20"/>
              </w:rPr>
            </w:pPr>
            <w:r w:rsidRPr="00BC66BA">
              <w:rPr>
                <w:sz w:val="20"/>
                <w:szCs w:val="20"/>
              </w:rPr>
              <w:t>-</w:t>
            </w:r>
          </w:p>
        </w:tc>
        <w:tc>
          <w:tcPr>
            <w:tcW w:w="746" w:type="pct"/>
            <w:tcBorders>
              <w:top w:val="nil"/>
              <w:left w:val="nil"/>
              <w:bottom w:val="single" w:sz="4" w:space="0" w:color="auto"/>
              <w:right w:val="nil"/>
            </w:tcBorders>
            <w:shd w:val="clear" w:color="auto" w:fill="auto"/>
            <w:vAlign w:val="center"/>
            <w:hideMark/>
          </w:tcPr>
          <w:p w14:paraId="15239814" w14:textId="443C58B5" w:rsidR="0024507F" w:rsidRPr="00BC66BA" w:rsidRDefault="0024507F" w:rsidP="0024507F">
            <w:pPr>
              <w:jc w:val="right"/>
              <w:rPr>
                <w:sz w:val="20"/>
                <w:szCs w:val="20"/>
              </w:rPr>
            </w:pPr>
            <w:r w:rsidRPr="00BC66BA">
              <w:rPr>
                <w:sz w:val="20"/>
                <w:szCs w:val="20"/>
              </w:rPr>
              <w:t>(</w:t>
            </w:r>
            <w:r w:rsidR="00DF251E">
              <w:rPr>
                <w:sz w:val="20"/>
                <w:szCs w:val="20"/>
              </w:rPr>
              <w:t>4</w:t>
            </w:r>
            <w:r>
              <w:rPr>
                <w:sz w:val="20"/>
                <w:szCs w:val="20"/>
              </w:rPr>
              <w:t>,</w:t>
            </w:r>
            <w:r w:rsidR="00DF251E">
              <w:rPr>
                <w:sz w:val="20"/>
                <w:szCs w:val="20"/>
              </w:rPr>
              <w:t>497</w:t>
            </w:r>
            <w:r w:rsidRPr="00BC66BA">
              <w:rPr>
                <w:sz w:val="20"/>
                <w:szCs w:val="20"/>
              </w:rPr>
              <w:t>)</w:t>
            </w:r>
          </w:p>
        </w:tc>
        <w:tc>
          <w:tcPr>
            <w:tcW w:w="821" w:type="pct"/>
            <w:tcBorders>
              <w:top w:val="nil"/>
              <w:left w:val="nil"/>
              <w:bottom w:val="single" w:sz="4" w:space="0" w:color="auto"/>
              <w:right w:val="nil"/>
            </w:tcBorders>
            <w:shd w:val="clear" w:color="auto" w:fill="auto"/>
            <w:vAlign w:val="center"/>
            <w:hideMark/>
          </w:tcPr>
          <w:p w14:paraId="118E0485" w14:textId="767B6290" w:rsidR="0024507F" w:rsidRPr="00BC66BA" w:rsidRDefault="0024507F" w:rsidP="0024507F">
            <w:pPr>
              <w:jc w:val="right"/>
              <w:rPr>
                <w:b/>
                <w:bCs/>
                <w:sz w:val="20"/>
                <w:szCs w:val="20"/>
              </w:rPr>
            </w:pPr>
            <w:r w:rsidRPr="00BC66BA">
              <w:rPr>
                <w:b/>
                <w:bCs/>
                <w:sz w:val="20"/>
                <w:szCs w:val="20"/>
              </w:rPr>
              <w:t>(</w:t>
            </w:r>
            <w:r w:rsidR="00DF251E">
              <w:rPr>
                <w:b/>
                <w:bCs/>
                <w:sz w:val="20"/>
                <w:szCs w:val="20"/>
              </w:rPr>
              <w:t>4</w:t>
            </w:r>
            <w:r>
              <w:rPr>
                <w:b/>
                <w:bCs/>
                <w:sz w:val="20"/>
                <w:szCs w:val="20"/>
              </w:rPr>
              <w:t>,</w:t>
            </w:r>
            <w:r w:rsidR="00DF251E">
              <w:rPr>
                <w:b/>
                <w:bCs/>
                <w:sz w:val="20"/>
                <w:szCs w:val="20"/>
              </w:rPr>
              <w:t>497</w:t>
            </w:r>
            <w:r w:rsidRPr="00BC66BA">
              <w:rPr>
                <w:b/>
                <w:bCs/>
                <w:sz w:val="20"/>
                <w:szCs w:val="20"/>
              </w:rPr>
              <w:t>)</w:t>
            </w:r>
          </w:p>
        </w:tc>
      </w:tr>
      <w:tr w:rsidR="0024507F" w:rsidRPr="00523861" w14:paraId="6DCB544C" w14:textId="77777777" w:rsidTr="00DF251E">
        <w:trPr>
          <w:trHeight w:val="500"/>
        </w:trPr>
        <w:tc>
          <w:tcPr>
            <w:tcW w:w="1320" w:type="pct"/>
            <w:tcBorders>
              <w:top w:val="single" w:sz="4" w:space="0" w:color="auto"/>
              <w:left w:val="nil"/>
              <w:bottom w:val="single" w:sz="8" w:space="0" w:color="000000"/>
              <w:right w:val="nil"/>
            </w:tcBorders>
            <w:shd w:val="clear" w:color="auto" w:fill="auto"/>
            <w:vAlign w:val="center"/>
            <w:hideMark/>
          </w:tcPr>
          <w:p w14:paraId="6CF06C70" w14:textId="45EE06AA" w:rsidR="0024507F" w:rsidRPr="00BC66BA" w:rsidRDefault="0024507F" w:rsidP="0024507F">
            <w:pPr>
              <w:rPr>
                <w:b/>
                <w:bCs/>
                <w:sz w:val="20"/>
                <w:szCs w:val="20"/>
              </w:rPr>
            </w:pPr>
            <w:r w:rsidRPr="00BC66BA">
              <w:rPr>
                <w:b/>
                <w:bCs/>
                <w:sz w:val="20"/>
                <w:szCs w:val="20"/>
              </w:rPr>
              <w:t xml:space="preserve">Total comprehensive loss for the </w:t>
            </w:r>
            <w:r w:rsidR="00DF251E">
              <w:rPr>
                <w:b/>
                <w:bCs/>
                <w:sz w:val="20"/>
                <w:szCs w:val="20"/>
              </w:rPr>
              <w:t>year</w:t>
            </w:r>
          </w:p>
        </w:tc>
        <w:tc>
          <w:tcPr>
            <w:tcW w:w="622" w:type="pct"/>
            <w:tcBorders>
              <w:top w:val="single" w:sz="4" w:space="0" w:color="auto"/>
              <w:left w:val="nil"/>
              <w:bottom w:val="single" w:sz="8" w:space="0" w:color="000000"/>
              <w:right w:val="nil"/>
            </w:tcBorders>
            <w:shd w:val="clear" w:color="auto" w:fill="auto"/>
            <w:vAlign w:val="center"/>
            <w:hideMark/>
          </w:tcPr>
          <w:p w14:paraId="5E7D0710" w14:textId="77777777" w:rsidR="0024507F" w:rsidRPr="00BC66BA" w:rsidRDefault="0024507F" w:rsidP="0024507F">
            <w:pPr>
              <w:jc w:val="right"/>
              <w:rPr>
                <w:b/>
                <w:bCs/>
                <w:sz w:val="20"/>
                <w:szCs w:val="20"/>
              </w:rPr>
            </w:pPr>
            <w:r>
              <w:rPr>
                <w:b/>
                <w:bCs/>
                <w:sz w:val="20"/>
                <w:szCs w:val="20"/>
              </w:rPr>
              <w:t xml:space="preserve">                  </w:t>
            </w:r>
            <w:r w:rsidRPr="00BC66BA">
              <w:rPr>
                <w:b/>
                <w:bCs/>
                <w:sz w:val="20"/>
                <w:szCs w:val="20"/>
              </w:rPr>
              <w:t xml:space="preserve">- </w:t>
            </w:r>
          </w:p>
        </w:tc>
        <w:tc>
          <w:tcPr>
            <w:tcW w:w="745" w:type="pct"/>
            <w:tcBorders>
              <w:top w:val="single" w:sz="4" w:space="0" w:color="auto"/>
              <w:left w:val="nil"/>
              <w:bottom w:val="single" w:sz="8" w:space="0" w:color="000000"/>
              <w:right w:val="nil"/>
            </w:tcBorders>
            <w:shd w:val="clear" w:color="auto" w:fill="auto"/>
            <w:vAlign w:val="center"/>
            <w:hideMark/>
          </w:tcPr>
          <w:p w14:paraId="7D84CCBF" w14:textId="77777777" w:rsidR="0024507F" w:rsidRPr="00BC66BA" w:rsidRDefault="0024507F" w:rsidP="0024507F">
            <w:pPr>
              <w:jc w:val="right"/>
              <w:rPr>
                <w:b/>
                <w:bCs/>
                <w:sz w:val="20"/>
                <w:szCs w:val="20"/>
              </w:rPr>
            </w:pPr>
            <w:r>
              <w:rPr>
                <w:b/>
                <w:bCs/>
                <w:sz w:val="20"/>
                <w:szCs w:val="20"/>
              </w:rPr>
              <w:t xml:space="preserve">                  </w:t>
            </w:r>
            <w:r w:rsidRPr="00BC66BA">
              <w:rPr>
                <w:b/>
                <w:bCs/>
                <w:sz w:val="20"/>
                <w:szCs w:val="20"/>
              </w:rPr>
              <w:t xml:space="preserve">- </w:t>
            </w:r>
          </w:p>
        </w:tc>
        <w:tc>
          <w:tcPr>
            <w:tcW w:w="746" w:type="pct"/>
            <w:tcBorders>
              <w:top w:val="single" w:sz="4" w:space="0" w:color="auto"/>
              <w:left w:val="nil"/>
              <w:bottom w:val="single" w:sz="8" w:space="0" w:color="000000"/>
              <w:right w:val="nil"/>
            </w:tcBorders>
            <w:shd w:val="clear" w:color="auto" w:fill="auto"/>
            <w:vAlign w:val="center"/>
            <w:hideMark/>
          </w:tcPr>
          <w:p w14:paraId="6AAFB6B7" w14:textId="77777777" w:rsidR="0024507F" w:rsidRPr="00BC66BA" w:rsidRDefault="0024507F" w:rsidP="0024507F">
            <w:pPr>
              <w:jc w:val="right"/>
              <w:rPr>
                <w:b/>
                <w:bCs/>
                <w:sz w:val="20"/>
                <w:szCs w:val="20"/>
              </w:rPr>
            </w:pPr>
            <w:r>
              <w:rPr>
                <w:b/>
                <w:bCs/>
                <w:sz w:val="20"/>
                <w:szCs w:val="20"/>
              </w:rPr>
              <w:t xml:space="preserve">                  </w:t>
            </w:r>
            <w:r w:rsidRPr="00BC66BA">
              <w:rPr>
                <w:b/>
                <w:bCs/>
                <w:sz w:val="20"/>
                <w:szCs w:val="20"/>
              </w:rPr>
              <w:t xml:space="preserve">- </w:t>
            </w:r>
          </w:p>
        </w:tc>
        <w:tc>
          <w:tcPr>
            <w:tcW w:w="746" w:type="pct"/>
            <w:tcBorders>
              <w:top w:val="single" w:sz="4" w:space="0" w:color="auto"/>
              <w:left w:val="nil"/>
              <w:bottom w:val="single" w:sz="8" w:space="0" w:color="000000"/>
              <w:right w:val="nil"/>
            </w:tcBorders>
            <w:shd w:val="clear" w:color="auto" w:fill="auto"/>
            <w:vAlign w:val="center"/>
            <w:hideMark/>
          </w:tcPr>
          <w:p w14:paraId="72018A15" w14:textId="5ED725E9" w:rsidR="0024507F" w:rsidRPr="00BC66BA" w:rsidRDefault="0024507F" w:rsidP="0024507F">
            <w:pPr>
              <w:jc w:val="right"/>
              <w:rPr>
                <w:b/>
                <w:bCs/>
                <w:sz w:val="20"/>
                <w:szCs w:val="20"/>
              </w:rPr>
            </w:pPr>
            <w:r w:rsidRPr="00BC66BA">
              <w:rPr>
                <w:b/>
                <w:bCs/>
                <w:sz w:val="20"/>
                <w:szCs w:val="20"/>
              </w:rPr>
              <w:t>(</w:t>
            </w:r>
            <w:r w:rsidR="00DF251E">
              <w:rPr>
                <w:b/>
                <w:bCs/>
                <w:sz w:val="20"/>
                <w:szCs w:val="20"/>
              </w:rPr>
              <w:t>4</w:t>
            </w:r>
            <w:r>
              <w:rPr>
                <w:b/>
                <w:bCs/>
                <w:sz w:val="20"/>
                <w:szCs w:val="20"/>
              </w:rPr>
              <w:t>,</w:t>
            </w:r>
            <w:r w:rsidR="00DF251E">
              <w:rPr>
                <w:b/>
                <w:bCs/>
                <w:sz w:val="20"/>
                <w:szCs w:val="20"/>
              </w:rPr>
              <w:t>497</w:t>
            </w:r>
            <w:r w:rsidRPr="00BC66BA">
              <w:rPr>
                <w:b/>
                <w:bCs/>
                <w:sz w:val="20"/>
                <w:szCs w:val="20"/>
              </w:rPr>
              <w:t>)</w:t>
            </w:r>
          </w:p>
        </w:tc>
        <w:tc>
          <w:tcPr>
            <w:tcW w:w="821" w:type="pct"/>
            <w:tcBorders>
              <w:top w:val="single" w:sz="4" w:space="0" w:color="auto"/>
              <w:left w:val="nil"/>
              <w:bottom w:val="single" w:sz="8" w:space="0" w:color="000000"/>
              <w:right w:val="nil"/>
            </w:tcBorders>
            <w:shd w:val="clear" w:color="auto" w:fill="auto"/>
            <w:vAlign w:val="center"/>
            <w:hideMark/>
          </w:tcPr>
          <w:p w14:paraId="401B2E48" w14:textId="3B37107C" w:rsidR="0024507F" w:rsidRPr="00BC66BA" w:rsidRDefault="0024507F" w:rsidP="0024507F">
            <w:pPr>
              <w:jc w:val="right"/>
              <w:rPr>
                <w:b/>
                <w:bCs/>
                <w:sz w:val="20"/>
                <w:szCs w:val="20"/>
              </w:rPr>
            </w:pPr>
            <w:r w:rsidRPr="00BC66BA">
              <w:rPr>
                <w:b/>
                <w:bCs/>
                <w:sz w:val="20"/>
                <w:szCs w:val="20"/>
              </w:rPr>
              <w:t>(</w:t>
            </w:r>
            <w:r w:rsidR="00DF251E">
              <w:rPr>
                <w:b/>
                <w:bCs/>
                <w:sz w:val="20"/>
                <w:szCs w:val="20"/>
              </w:rPr>
              <w:t>4</w:t>
            </w:r>
            <w:r>
              <w:rPr>
                <w:b/>
                <w:bCs/>
                <w:sz w:val="20"/>
                <w:szCs w:val="20"/>
              </w:rPr>
              <w:t>,</w:t>
            </w:r>
            <w:r w:rsidR="00DF251E">
              <w:rPr>
                <w:b/>
                <w:bCs/>
                <w:sz w:val="20"/>
                <w:szCs w:val="20"/>
              </w:rPr>
              <w:t>497</w:t>
            </w:r>
            <w:r w:rsidRPr="00BC66BA">
              <w:rPr>
                <w:b/>
                <w:bCs/>
                <w:sz w:val="20"/>
                <w:szCs w:val="20"/>
              </w:rPr>
              <w:t>)</w:t>
            </w:r>
          </w:p>
        </w:tc>
      </w:tr>
      <w:tr w:rsidR="0024507F" w:rsidRPr="00523861" w14:paraId="3D1A582F" w14:textId="77777777" w:rsidTr="00DF251E">
        <w:trPr>
          <w:trHeight w:val="376"/>
        </w:trPr>
        <w:tc>
          <w:tcPr>
            <w:tcW w:w="1320" w:type="pct"/>
            <w:tcBorders>
              <w:top w:val="nil"/>
              <w:left w:val="nil"/>
              <w:bottom w:val="single" w:sz="8" w:space="0" w:color="000000"/>
              <w:right w:val="nil"/>
            </w:tcBorders>
            <w:shd w:val="clear" w:color="auto" w:fill="auto"/>
            <w:vAlign w:val="center"/>
          </w:tcPr>
          <w:p w14:paraId="2C6DE724" w14:textId="046F43E5" w:rsidR="0024507F" w:rsidRPr="00BC66BA" w:rsidRDefault="0024507F" w:rsidP="0024507F">
            <w:pPr>
              <w:rPr>
                <w:b/>
                <w:bCs/>
                <w:sz w:val="20"/>
                <w:szCs w:val="20"/>
              </w:rPr>
            </w:pPr>
            <w:r w:rsidRPr="00BC66BA">
              <w:rPr>
                <w:sz w:val="20"/>
                <w:szCs w:val="20"/>
              </w:rPr>
              <w:t>Share</w:t>
            </w:r>
            <w:r w:rsidR="00DF251E">
              <w:rPr>
                <w:sz w:val="20"/>
                <w:szCs w:val="20"/>
              </w:rPr>
              <w:t>s issued during year</w:t>
            </w:r>
          </w:p>
        </w:tc>
        <w:tc>
          <w:tcPr>
            <w:tcW w:w="622" w:type="pct"/>
            <w:tcBorders>
              <w:top w:val="nil"/>
              <w:left w:val="nil"/>
              <w:bottom w:val="single" w:sz="8" w:space="0" w:color="auto"/>
              <w:right w:val="nil"/>
            </w:tcBorders>
            <w:shd w:val="clear" w:color="auto" w:fill="auto"/>
            <w:vAlign w:val="center"/>
          </w:tcPr>
          <w:p w14:paraId="0F49098D" w14:textId="7F7FF410" w:rsidR="0024507F" w:rsidRDefault="00DF251E" w:rsidP="0024507F">
            <w:pPr>
              <w:jc w:val="right"/>
              <w:rPr>
                <w:sz w:val="20"/>
                <w:szCs w:val="20"/>
              </w:rPr>
            </w:pPr>
            <w:r>
              <w:rPr>
                <w:sz w:val="20"/>
                <w:szCs w:val="20"/>
              </w:rPr>
              <w:t>103</w:t>
            </w:r>
          </w:p>
        </w:tc>
        <w:tc>
          <w:tcPr>
            <w:tcW w:w="745" w:type="pct"/>
            <w:tcBorders>
              <w:top w:val="nil"/>
              <w:left w:val="nil"/>
              <w:bottom w:val="single" w:sz="8" w:space="0" w:color="auto"/>
              <w:right w:val="nil"/>
            </w:tcBorders>
            <w:shd w:val="clear" w:color="auto" w:fill="auto"/>
            <w:vAlign w:val="center"/>
          </w:tcPr>
          <w:p w14:paraId="000025EA" w14:textId="064F14C5" w:rsidR="0024507F" w:rsidRDefault="00DF251E" w:rsidP="0024507F">
            <w:pPr>
              <w:jc w:val="right"/>
              <w:rPr>
                <w:sz w:val="20"/>
                <w:szCs w:val="20"/>
              </w:rPr>
            </w:pPr>
            <w:r>
              <w:rPr>
                <w:sz w:val="20"/>
                <w:szCs w:val="20"/>
              </w:rPr>
              <w:t>519</w:t>
            </w:r>
          </w:p>
        </w:tc>
        <w:tc>
          <w:tcPr>
            <w:tcW w:w="746" w:type="pct"/>
            <w:tcBorders>
              <w:top w:val="nil"/>
              <w:left w:val="nil"/>
              <w:bottom w:val="single" w:sz="8" w:space="0" w:color="auto"/>
              <w:right w:val="nil"/>
            </w:tcBorders>
            <w:shd w:val="clear" w:color="auto" w:fill="auto"/>
            <w:vAlign w:val="center"/>
          </w:tcPr>
          <w:p w14:paraId="20BB449F" w14:textId="79289BC8" w:rsidR="0024507F" w:rsidRDefault="00DF251E" w:rsidP="0024507F">
            <w:pPr>
              <w:jc w:val="right"/>
              <w:rPr>
                <w:sz w:val="20"/>
                <w:szCs w:val="20"/>
              </w:rPr>
            </w:pPr>
            <w:r>
              <w:rPr>
                <w:sz w:val="20"/>
                <w:szCs w:val="20"/>
              </w:rPr>
              <w:t>-</w:t>
            </w:r>
          </w:p>
        </w:tc>
        <w:tc>
          <w:tcPr>
            <w:tcW w:w="746" w:type="pct"/>
            <w:tcBorders>
              <w:top w:val="nil"/>
              <w:left w:val="nil"/>
              <w:bottom w:val="single" w:sz="8" w:space="0" w:color="auto"/>
              <w:right w:val="nil"/>
            </w:tcBorders>
            <w:shd w:val="clear" w:color="auto" w:fill="auto"/>
            <w:vAlign w:val="center"/>
          </w:tcPr>
          <w:p w14:paraId="4B444D99" w14:textId="77777777" w:rsidR="0024507F" w:rsidRDefault="0024507F" w:rsidP="0024507F">
            <w:pPr>
              <w:jc w:val="right"/>
              <w:rPr>
                <w:sz w:val="20"/>
                <w:szCs w:val="20"/>
              </w:rPr>
            </w:pPr>
            <w:r>
              <w:rPr>
                <w:sz w:val="20"/>
                <w:szCs w:val="20"/>
              </w:rPr>
              <w:t>-</w:t>
            </w:r>
          </w:p>
        </w:tc>
        <w:tc>
          <w:tcPr>
            <w:tcW w:w="821" w:type="pct"/>
            <w:tcBorders>
              <w:top w:val="nil"/>
              <w:left w:val="nil"/>
              <w:bottom w:val="single" w:sz="8" w:space="0" w:color="auto"/>
              <w:right w:val="nil"/>
            </w:tcBorders>
            <w:shd w:val="clear" w:color="auto" w:fill="auto"/>
            <w:vAlign w:val="center"/>
          </w:tcPr>
          <w:p w14:paraId="1661B2F0" w14:textId="1DEA96E0" w:rsidR="0024507F" w:rsidRDefault="00DF251E" w:rsidP="0024507F">
            <w:pPr>
              <w:jc w:val="right"/>
              <w:rPr>
                <w:sz w:val="20"/>
                <w:szCs w:val="20"/>
              </w:rPr>
            </w:pPr>
            <w:r>
              <w:rPr>
                <w:sz w:val="20"/>
                <w:szCs w:val="20"/>
              </w:rPr>
              <w:t>622</w:t>
            </w:r>
          </w:p>
        </w:tc>
      </w:tr>
      <w:tr w:rsidR="00DF251E" w:rsidRPr="00523861" w14:paraId="2CEEA410" w14:textId="77777777" w:rsidTr="00DF251E">
        <w:trPr>
          <w:trHeight w:val="376"/>
        </w:trPr>
        <w:tc>
          <w:tcPr>
            <w:tcW w:w="1320" w:type="pct"/>
            <w:tcBorders>
              <w:top w:val="nil"/>
              <w:left w:val="nil"/>
              <w:bottom w:val="single" w:sz="8" w:space="0" w:color="000000"/>
              <w:right w:val="nil"/>
            </w:tcBorders>
            <w:shd w:val="clear" w:color="auto" w:fill="auto"/>
            <w:vAlign w:val="center"/>
          </w:tcPr>
          <w:p w14:paraId="5D8784F8" w14:textId="4C28DE86" w:rsidR="00DF251E" w:rsidRPr="00BC66BA" w:rsidRDefault="00DF251E" w:rsidP="0024507F">
            <w:pPr>
              <w:rPr>
                <w:sz w:val="20"/>
                <w:szCs w:val="20"/>
              </w:rPr>
            </w:pPr>
            <w:r>
              <w:rPr>
                <w:sz w:val="20"/>
                <w:szCs w:val="20"/>
              </w:rPr>
              <w:t>Share-based payments</w:t>
            </w:r>
          </w:p>
        </w:tc>
        <w:tc>
          <w:tcPr>
            <w:tcW w:w="622" w:type="pct"/>
            <w:tcBorders>
              <w:top w:val="nil"/>
              <w:left w:val="nil"/>
              <w:bottom w:val="single" w:sz="8" w:space="0" w:color="auto"/>
              <w:right w:val="nil"/>
            </w:tcBorders>
            <w:shd w:val="clear" w:color="auto" w:fill="auto"/>
            <w:vAlign w:val="center"/>
          </w:tcPr>
          <w:p w14:paraId="3304F3E3" w14:textId="4BAAC0C1" w:rsidR="00DF251E" w:rsidRDefault="00DF251E" w:rsidP="0024507F">
            <w:pPr>
              <w:jc w:val="right"/>
              <w:rPr>
                <w:sz w:val="20"/>
                <w:szCs w:val="20"/>
              </w:rPr>
            </w:pPr>
            <w:r>
              <w:rPr>
                <w:sz w:val="20"/>
                <w:szCs w:val="20"/>
              </w:rPr>
              <w:t>-</w:t>
            </w:r>
          </w:p>
        </w:tc>
        <w:tc>
          <w:tcPr>
            <w:tcW w:w="745" w:type="pct"/>
            <w:tcBorders>
              <w:top w:val="nil"/>
              <w:left w:val="nil"/>
              <w:bottom w:val="single" w:sz="8" w:space="0" w:color="auto"/>
              <w:right w:val="nil"/>
            </w:tcBorders>
            <w:shd w:val="clear" w:color="auto" w:fill="auto"/>
            <w:vAlign w:val="center"/>
          </w:tcPr>
          <w:p w14:paraId="600D247A" w14:textId="70B17A7C" w:rsidR="00DF251E" w:rsidRDefault="00DF251E" w:rsidP="0024507F">
            <w:pPr>
              <w:jc w:val="right"/>
              <w:rPr>
                <w:sz w:val="20"/>
                <w:szCs w:val="20"/>
              </w:rPr>
            </w:pPr>
            <w:r>
              <w:rPr>
                <w:sz w:val="20"/>
                <w:szCs w:val="20"/>
              </w:rPr>
              <w:t>-</w:t>
            </w:r>
          </w:p>
        </w:tc>
        <w:tc>
          <w:tcPr>
            <w:tcW w:w="746" w:type="pct"/>
            <w:tcBorders>
              <w:top w:val="nil"/>
              <w:left w:val="nil"/>
              <w:bottom w:val="single" w:sz="8" w:space="0" w:color="auto"/>
              <w:right w:val="nil"/>
            </w:tcBorders>
            <w:shd w:val="clear" w:color="auto" w:fill="auto"/>
            <w:vAlign w:val="center"/>
          </w:tcPr>
          <w:p w14:paraId="733D546D" w14:textId="5ADE6017" w:rsidR="00DF251E" w:rsidRDefault="00DF251E" w:rsidP="0024507F">
            <w:pPr>
              <w:jc w:val="right"/>
              <w:rPr>
                <w:sz w:val="20"/>
                <w:szCs w:val="20"/>
              </w:rPr>
            </w:pPr>
            <w:r>
              <w:rPr>
                <w:sz w:val="20"/>
                <w:szCs w:val="20"/>
              </w:rPr>
              <w:t>191</w:t>
            </w:r>
          </w:p>
        </w:tc>
        <w:tc>
          <w:tcPr>
            <w:tcW w:w="746" w:type="pct"/>
            <w:tcBorders>
              <w:top w:val="nil"/>
              <w:left w:val="nil"/>
              <w:bottom w:val="single" w:sz="8" w:space="0" w:color="auto"/>
              <w:right w:val="nil"/>
            </w:tcBorders>
            <w:shd w:val="clear" w:color="auto" w:fill="auto"/>
            <w:vAlign w:val="center"/>
          </w:tcPr>
          <w:p w14:paraId="12DCE052" w14:textId="20194BF7" w:rsidR="00DF251E" w:rsidRDefault="00DF251E" w:rsidP="0024507F">
            <w:pPr>
              <w:jc w:val="right"/>
              <w:rPr>
                <w:sz w:val="20"/>
                <w:szCs w:val="20"/>
              </w:rPr>
            </w:pPr>
            <w:r>
              <w:rPr>
                <w:sz w:val="20"/>
                <w:szCs w:val="20"/>
              </w:rPr>
              <w:t>-</w:t>
            </w:r>
          </w:p>
        </w:tc>
        <w:tc>
          <w:tcPr>
            <w:tcW w:w="821" w:type="pct"/>
            <w:tcBorders>
              <w:top w:val="nil"/>
              <w:left w:val="nil"/>
              <w:bottom w:val="single" w:sz="8" w:space="0" w:color="auto"/>
              <w:right w:val="nil"/>
            </w:tcBorders>
            <w:shd w:val="clear" w:color="auto" w:fill="auto"/>
            <w:vAlign w:val="center"/>
          </w:tcPr>
          <w:p w14:paraId="3E96740B" w14:textId="5CCCFE8C" w:rsidR="00DF251E" w:rsidRDefault="00DF251E" w:rsidP="0024507F">
            <w:pPr>
              <w:jc w:val="right"/>
              <w:rPr>
                <w:sz w:val="20"/>
                <w:szCs w:val="20"/>
              </w:rPr>
            </w:pPr>
            <w:r>
              <w:rPr>
                <w:sz w:val="20"/>
                <w:szCs w:val="20"/>
              </w:rPr>
              <w:t>191</w:t>
            </w:r>
          </w:p>
        </w:tc>
      </w:tr>
      <w:tr w:rsidR="00DF251E" w:rsidRPr="00523861" w14:paraId="7373BDF9" w14:textId="77777777" w:rsidTr="00DF251E">
        <w:trPr>
          <w:trHeight w:val="376"/>
        </w:trPr>
        <w:tc>
          <w:tcPr>
            <w:tcW w:w="1320" w:type="pct"/>
            <w:tcBorders>
              <w:top w:val="nil"/>
              <w:left w:val="nil"/>
              <w:bottom w:val="single" w:sz="8" w:space="0" w:color="000000"/>
              <w:right w:val="nil"/>
            </w:tcBorders>
            <w:shd w:val="clear" w:color="auto" w:fill="auto"/>
            <w:vAlign w:val="center"/>
          </w:tcPr>
          <w:p w14:paraId="266083CF" w14:textId="77940C02" w:rsidR="00DF251E" w:rsidRPr="00BC66BA" w:rsidRDefault="00DF251E" w:rsidP="0024507F">
            <w:pPr>
              <w:rPr>
                <w:sz w:val="20"/>
                <w:szCs w:val="20"/>
              </w:rPr>
            </w:pPr>
            <w:proofErr w:type="spellStart"/>
            <w:r>
              <w:rPr>
                <w:sz w:val="20"/>
                <w:szCs w:val="20"/>
              </w:rPr>
              <w:t>Excercised</w:t>
            </w:r>
            <w:proofErr w:type="spellEnd"/>
            <w:r>
              <w:rPr>
                <w:sz w:val="20"/>
                <w:szCs w:val="20"/>
              </w:rPr>
              <w:t xml:space="preserve"> and lapsed warrants</w:t>
            </w:r>
          </w:p>
        </w:tc>
        <w:tc>
          <w:tcPr>
            <w:tcW w:w="622" w:type="pct"/>
            <w:tcBorders>
              <w:top w:val="nil"/>
              <w:left w:val="nil"/>
              <w:bottom w:val="single" w:sz="8" w:space="0" w:color="auto"/>
              <w:right w:val="nil"/>
            </w:tcBorders>
            <w:shd w:val="clear" w:color="auto" w:fill="auto"/>
            <w:vAlign w:val="center"/>
          </w:tcPr>
          <w:p w14:paraId="5FAD5897" w14:textId="3F4E35F9" w:rsidR="00DF251E" w:rsidRDefault="00DF251E" w:rsidP="0024507F">
            <w:pPr>
              <w:jc w:val="right"/>
              <w:rPr>
                <w:sz w:val="20"/>
                <w:szCs w:val="20"/>
              </w:rPr>
            </w:pPr>
            <w:r>
              <w:rPr>
                <w:sz w:val="20"/>
                <w:szCs w:val="20"/>
              </w:rPr>
              <w:t>-</w:t>
            </w:r>
          </w:p>
        </w:tc>
        <w:tc>
          <w:tcPr>
            <w:tcW w:w="745" w:type="pct"/>
            <w:tcBorders>
              <w:top w:val="nil"/>
              <w:left w:val="nil"/>
              <w:bottom w:val="single" w:sz="8" w:space="0" w:color="auto"/>
              <w:right w:val="nil"/>
            </w:tcBorders>
            <w:shd w:val="clear" w:color="auto" w:fill="auto"/>
            <w:vAlign w:val="center"/>
          </w:tcPr>
          <w:p w14:paraId="182C8222" w14:textId="542A8FD8" w:rsidR="00DF251E" w:rsidRDefault="00DF251E" w:rsidP="0024507F">
            <w:pPr>
              <w:jc w:val="right"/>
              <w:rPr>
                <w:sz w:val="20"/>
                <w:szCs w:val="20"/>
              </w:rPr>
            </w:pPr>
            <w:r>
              <w:rPr>
                <w:sz w:val="20"/>
                <w:szCs w:val="20"/>
              </w:rPr>
              <w:t>-</w:t>
            </w:r>
          </w:p>
        </w:tc>
        <w:tc>
          <w:tcPr>
            <w:tcW w:w="746" w:type="pct"/>
            <w:tcBorders>
              <w:top w:val="nil"/>
              <w:left w:val="nil"/>
              <w:bottom w:val="single" w:sz="8" w:space="0" w:color="auto"/>
              <w:right w:val="nil"/>
            </w:tcBorders>
            <w:shd w:val="clear" w:color="auto" w:fill="auto"/>
            <w:vAlign w:val="center"/>
          </w:tcPr>
          <w:p w14:paraId="7E890DB1" w14:textId="658BE144" w:rsidR="00DF251E" w:rsidRDefault="00DF251E" w:rsidP="0024507F">
            <w:pPr>
              <w:jc w:val="right"/>
              <w:rPr>
                <w:sz w:val="20"/>
                <w:szCs w:val="20"/>
              </w:rPr>
            </w:pPr>
            <w:r>
              <w:rPr>
                <w:sz w:val="20"/>
                <w:szCs w:val="20"/>
              </w:rPr>
              <w:t>(3)</w:t>
            </w:r>
          </w:p>
        </w:tc>
        <w:tc>
          <w:tcPr>
            <w:tcW w:w="746" w:type="pct"/>
            <w:tcBorders>
              <w:top w:val="nil"/>
              <w:left w:val="nil"/>
              <w:bottom w:val="single" w:sz="8" w:space="0" w:color="auto"/>
              <w:right w:val="nil"/>
            </w:tcBorders>
            <w:shd w:val="clear" w:color="auto" w:fill="auto"/>
            <w:vAlign w:val="center"/>
          </w:tcPr>
          <w:p w14:paraId="6ADF3A1B" w14:textId="645F7B19" w:rsidR="00DF251E" w:rsidRDefault="00DF251E" w:rsidP="0024507F">
            <w:pPr>
              <w:jc w:val="right"/>
              <w:rPr>
                <w:sz w:val="20"/>
                <w:szCs w:val="20"/>
              </w:rPr>
            </w:pPr>
            <w:r>
              <w:rPr>
                <w:sz w:val="20"/>
                <w:szCs w:val="20"/>
              </w:rPr>
              <w:t>-</w:t>
            </w:r>
          </w:p>
        </w:tc>
        <w:tc>
          <w:tcPr>
            <w:tcW w:w="821" w:type="pct"/>
            <w:tcBorders>
              <w:top w:val="nil"/>
              <w:left w:val="nil"/>
              <w:bottom w:val="single" w:sz="8" w:space="0" w:color="auto"/>
              <w:right w:val="nil"/>
            </w:tcBorders>
            <w:shd w:val="clear" w:color="auto" w:fill="auto"/>
            <w:vAlign w:val="center"/>
          </w:tcPr>
          <w:p w14:paraId="10C512ED" w14:textId="37FD15BD" w:rsidR="00DF251E" w:rsidRDefault="00DF251E" w:rsidP="0024507F">
            <w:pPr>
              <w:jc w:val="right"/>
              <w:rPr>
                <w:sz w:val="20"/>
                <w:szCs w:val="20"/>
              </w:rPr>
            </w:pPr>
            <w:r>
              <w:rPr>
                <w:sz w:val="20"/>
                <w:szCs w:val="20"/>
              </w:rPr>
              <w:t>(3)</w:t>
            </w:r>
          </w:p>
        </w:tc>
      </w:tr>
      <w:tr w:rsidR="00DF251E" w:rsidRPr="00523861" w14:paraId="610C03DE" w14:textId="77777777" w:rsidTr="00DF251E">
        <w:trPr>
          <w:trHeight w:val="376"/>
        </w:trPr>
        <w:tc>
          <w:tcPr>
            <w:tcW w:w="1320" w:type="pct"/>
            <w:tcBorders>
              <w:top w:val="nil"/>
              <w:left w:val="nil"/>
              <w:bottom w:val="single" w:sz="8" w:space="0" w:color="000000"/>
              <w:right w:val="nil"/>
            </w:tcBorders>
            <w:shd w:val="clear" w:color="auto" w:fill="auto"/>
            <w:vAlign w:val="center"/>
          </w:tcPr>
          <w:p w14:paraId="4B8EB724" w14:textId="6E047D1A" w:rsidR="00DF251E" w:rsidRPr="00BC66BA" w:rsidRDefault="00DF251E" w:rsidP="0024507F">
            <w:pPr>
              <w:rPr>
                <w:sz w:val="20"/>
                <w:szCs w:val="20"/>
              </w:rPr>
            </w:pPr>
            <w:r>
              <w:rPr>
                <w:sz w:val="20"/>
                <w:szCs w:val="20"/>
              </w:rPr>
              <w:t>Share issue costs in year</w:t>
            </w:r>
          </w:p>
        </w:tc>
        <w:tc>
          <w:tcPr>
            <w:tcW w:w="622" w:type="pct"/>
            <w:tcBorders>
              <w:top w:val="nil"/>
              <w:left w:val="nil"/>
              <w:bottom w:val="single" w:sz="8" w:space="0" w:color="auto"/>
              <w:right w:val="nil"/>
            </w:tcBorders>
            <w:shd w:val="clear" w:color="auto" w:fill="auto"/>
            <w:vAlign w:val="center"/>
          </w:tcPr>
          <w:p w14:paraId="3D14D019" w14:textId="0337D825" w:rsidR="00DF251E" w:rsidRDefault="00DF251E" w:rsidP="0024507F">
            <w:pPr>
              <w:jc w:val="right"/>
              <w:rPr>
                <w:sz w:val="20"/>
                <w:szCs w:val="20"/>
              </w:rPr>
            </w:pPr>
            <w:r>
              <w:rPr>
                <w:sz w:val="20"/>
                <w:szCs w:val="20"/>
              </w:rPr>
              <w:t>-</w:t>
            </w:r>
          </w:p>
        </w:tc>
        <w:tc>
          <w:tcPr>
            <w:tcW w:w="745" w:type="pct"/>
            <w:tcBorders>
              <w:top w:val="nil"/>
              <w:left w:val="nil"/>
              <w:bottom w:val="single" w:sz="8" w:space="0" w:color="auto"/>
              <w:right w:val="nil"/>
            </w:tcBorders>
            <w:shd w:val="clear" w:color="auto" w:fill="auto"/>
            <w:vAlign w:val="center"/>
          </w:tcPr>
          <w:p w14:paraId="628017C3" w14:textId="2B82BA45" w:rsidR="00DF251E" w:rsidRDefault="00DF251E" w:rsidP="0024507F">
            <w:pPr>
              <w:jc w:val="right"/>
              <w:rPr>
                <w:sz w:val="20"/>
                <w:szCs w:val="20"/>
              </w:rPr>
            </w:pPr>
            <w:r>
              <w:rPr>
                <w:sz w:val="20"/>
                <w:szCs w:val="20"/>
              </w:rPr>
              <w:t>(102)</w:t>
            </w:r>
          </w:p>
        </w:tc>
        <w:tc>
          <w:tcPr>
            <w:tcW w:w="746" w:type="pct"/>
            <w:tcBorders>
              <w:top w:val="nil"/>
              <w:left w:val="nil"/>
              <w:bottom w:val="single" w:sz="8" w:space="0" w:color="auto"/>
              <w:right w:val="nil"/>
            </w:tcBorders>
            <w:shd w:val="clear" w:color="auto" w:fill="auto"/>
            <w:vAlign w:val="center"/>
          </w:tcPr>
          <w:p w14:paraId="671C7505" w14:textId="5130B57E" w:rsidR="00DF251E" w:rsidRDefault="00DF251E" w:rsidP="0024507F">
            <w:pPr>
              <w:jc w:val="right"/>
              <w:rPr>
                <w:sz w:val="20"/>
                <w:szCs w:val="20"/>
              </w:rPr>
            </w:pPr>
            <w:r>
              <w:rPr>
                <w:sz w:val="20"/>
                <w:szCs w:val="20"/>
              </w:rPr>
              <w:t>-</w:t>
            </w:r>
          </w:p>
        </w:tc>
        <w:tc>
          <w:tcPr>
            <w:tcW w:w="746" w:type="pct"/>
            <w:tcBorders>
              <w:top w:val="nil"/>
              <w:left w:val="nil"/>
              <w:bottom w:val="single" w:sz="8" w:space="0" w:color="auto"/>
              <w:right w:val="nil"/>
            </w:tcBorders>
            <w:shd w:val="clear" w:color="auto" w:fill="auto"/>
            <w:vAlign w:val="center"/>
          </w:tcPr>
          <w:p w14:paraId="49C23135" w14:textId="54AF871A" w:rsidR="00DF251E" w:rsidRDefault="00DF251E" w:rsidP="0024507F">
            <w:pPr>
              <w:jc w:val="right"/>
              <w:rPr>
                <w:sz w:val="20"/>
                <w:szCs w:val="20"/>
              </w:rPr>
            </w:pPr>
            <w:r>
              <w:rPr>
                <w:sz w:val="20"/>
                <w:szCs w:val="20"/>
              </w:rPr>
              <w:t>-</w:t>
            </w:r>
          </w:p>
        </w:tc>
        <w:tc>
          <w:tcPr>
            <w:tcW w:w="821" w:type="pct"/>
            <w:tcBorders>
              <w:top w:val="nil"/>
              <w:left w:val="nil"/>
              <w:bottom w:val="single" w:sz="8" w:space="0" w:color="auto"/>
              <w:right w:val="nil"/>
            </w:tcBorders>
            <w:shd w:val="clear" w:color="auto" w:fill="auto"/>
            <w:vAlign w:val="center"/>
          </w:tcPr>
          <w:p w14:paraId="39E6A9C7" w14:textId="393E9F25" w:rsidR="00DF251E" w:rsidRDefault="00DF251E" w:rsidP="0024507F">
            <w:pPr>
              <w:jc w:val="right"/>
              <w:rPr>
                <w:sz w:val="20"/>
                <w:szCs w:val="20"/>
              </w:rPr>
            </w:pPr>
            <w:r>
              <w:rPr>
                <w:sz w:val="20"/>
                <w:szCs w:val="20"/>
              </w:rPr>
              <w:t>(102)</w:t>
            </w:r>
          </w:p>
        </w:tc>
      </w:tr>
      <w:tr w:rsidR="0024507F" w:rsidRPr="00523861" w14:paraId="45AD0ED5" w14:textId="77777777" w:rsidTr="00DF251E">
        <w:trPr>
          <w:trHeight w:val="500"/>
        </w:trPr>
        <w:tc>
          <w:tcPr>
            <w:tcW w:w="1320" w:type="pct"/>
            <w:tcBorders>
              <w:top w:val="nil"/>
              <w:left w:val="nil"/>
              <w:bottom w:val="single" w:sz="8" w:space="0" w:color="000000"/>
              <w:right w:val="nil"/>
            </w:tcBorders>
            <w:shd w:val="clear" w:color="auto" w:fill="auto"/>
            <w:vAlign w:val="center"/>
            <w:hideMark/>
          </w:tcPr>
          <w:p w14:paraId="36B5E95A" w14:textId="77777777" w:rsidR="0024507F" w:rsidRPr="00BC66BA" w:rsidRDefault="0024507F" w:rsidP="0024507F">
            <w:pPr>
              <w:rPr>
                <w:b/>
                <w:bCs/>
                <w:sz w:val="20"/>
                <w:szCs w:val="20"/>
              </w:rPr>
            </w:pPr>
            <w:r w:rsidRPr="00BC66BA">
              <w:rPr>
                <w:b/>
                <w:bCs/>
                <w:sz w:val="20"/>
                <w:szCs w:val="20"/>
              </w:rPr>
              <w:t>Total transactions with equity owners</w:t>
            </w:r>
          </w:p>
        </w:tc>
        <w:tc>
          <w:tcPr>
            <w:tcW w:w="622" w:type="pct"/>
            <w:tcBorders>
              <w:top w:val="nil"/>
              <w:left w:val="nil"/>
              <w:bottom w:val="single" w:sz="8" w:space="0" w:color="auto"/>
              <w:right w:val="nil"/>
            </w:tcBorders>
            <w:shd w:val="clear" w:color="auto" w:fill="auto"/>
            <w:vAlign w:val="center"/>
            <w:hideMark/>
          </w:tcPr>
          <w:p w14:paraId="7BC5F935" w14:textId="2C8925B0" w:rsidR="0024507F" w:rsidRPr="00BC66BA" w:rsidRDefault="00790060" w:rsidP="00790060">
            <w:pPr>
              <w:jc w:val="center"/>
              <w:rPr>
                <w:b/>
                <w:bCs/>
                <w:sz w:val="20"/>
                <w:szCs w:val="20"/>
              </w:rPr>
            </w:pPr>
            <w:r>
              <w:rPr>
                <w:sz w:val="20"/>
                <w:szCs w:val="20"/>
              </w:rPr>
              <w:t xml:space="preserve">           </w:t>
            </w:r>
            <w:r w:rsidR="00DF251E">
              <w:rPr>
                <w:sz w:val="20"/>
                <w:szCs w:val="20"/>
              </w:rPr>
              <w:t>103</w:t>
            </w:r>
          </w:p>
        </w:tc>
        <w:tc>
          <w:tcPr>
            <w:tcW w:w="745" w:type="pct"/>
            <w:tcBorders>
              <w:top w:val="nil"/>
              <w:left w:val="nil"/>
              <w:bottom w:val="single" w:sz="8" w:space="0" w:color="auto"/>
              <w:right w:val="nil"/>
            </w:tcBorders>
            <w:shd w:val="clear" w:color="auto" w:fill="auto"/>
            <w:vAlign w:val="center"/>
            <w:hideMark/>
          </w:tcPr>
          <w:p w14:paraId="74F66C73" w14:textId="24150939" w:rsidR="0024507F" w:rsidRPr="00DF251E" w:rsidRDefault="00790060" w:rsidP="00790060">
            <w:pPr>
              <w:jc w:val="center"/>
              <w:rPr>
                <w:sz w:val="20"/>
                <w:szCs w:val="20"/>
              </w:rPr>
            </w:pPr>
            <w:r>
              <w:rPr>
                <w:sz w:val="20"/>
                <w:szCs w:val="20"/>
              </w:rPr>
              <w:t xml:space="preserve">              </w:t>
            </w:r>
            <w:r w:rsidR="00DF251E">
              <w:rPr>
                <w:sz w:val="20"/>
                <w:szCs w:val="20"/>
              </w:rPr>
              <w:t>417</w:t>
            </w:r>
          </w:p>
        </w:tc>
        <w:tc>
          <w:tcPr>
            <w:tcW w:w="746" w:type="pct"/>
            <w:tcBorders>
              <w:top w:val="nil"/>
              <w:left w:val="nil"/>
              <w:bottom w:val="single" w:sz="8" w:space="0" w:color="auto"/>
              <w:right w:val="nil"/>
            </w:tcBorders>
            <w:shd w:val="clear" w:color="auto" w:fill="auto"/>
            <w:vAlign w:val="center"/>
            <w:hideMark/>
          </w:tcPr>
          <w:p w14:paraId="2CAB5DE8" w14:textId="724FEF4E" w:rsidR="0024507F" w:rsidRPr="00DF251E" w:rsidRDefault="00DF251E" w:rsidP="0024507F">
            <w:pPr>
              <w:jc w:val="right"/>
              <w:rPr>
                <w:sz w:val="20"/>
                <w:szCs w:val="20"/>
              </w:rPr>
            </w:pPr>
            <w:r>
              <w:rPr>
                <w:sz w:val="20"/>
                <w:szCs w:val="20"/>
              </w:rPr>
              <w:t>188</w:t>
            </w:r>
            <w:r w:rsidR="0024507F">
              <w:rPr>
                <w:sz w:val="20"/>
                <w:szCs w:val="20"/>
              </w:rPr>
              <w:t xml:space="preserve">                  </w:t>
            </w:r>
            <w:r w:rsidR="0024507F" w:rsidRPr="00BC66BA">
              <w:rPr>
                <w:sz w:val="20"/>
                <w:szCs w:val="20"/>
              </w:rPr>
              <w:t xml:space="preserve"> </w:t>
            </w:r>
          </w:p>
        </w:tc>
        <w:tc>
          <w:tcPr>
            <w:tcW w:w="746" w:type="pct"/>
            <w:tcBorders>
              <w:top w:val="nil"/>
              <w:left w:val="nil"/>
              <w:bottom w:val="single" w:sz="8" w:space="0" w:color="auto"/>
              <w:right w:val="nil"/>
            </w:tcBorders>
            <w:shd w:val="clear" w:color="auto" w:fill="auto"/>
            <w:vAlign w:val="center"/>
            <w:hideMark/>
          </w:tcPr>
          <w:p w14:paraId="453E56F0" w14:textId="18810E75" w:rsidR="0024507F" w:rsidRPr="00BC66BA" w:rsidRDefault="0024507F" w:rsidP="0024507F">
            <w:pPr>
              <w:jc w:val="right"/>
              <w:rPr>
                <w:b/>
                <w:bCs/>
                <w:sz w:val="20"/>
                <w:szCs w:val="20"/>
              </w:rPr>
            </w:pPr>
            <w:r>
              <w:rPr>
                <w:sz w:val="20"/>
                <w:szCs w:val="20"/>
              </w:rPr>
              <w:t xml:space="preserve">                  </w:t>
            </w:r>
            <w:r w:rsidR="00DF251E">
              <w:rPr>
                <w:sz w:val="20"/>
                <w:szCs w:val="20"/>
              </w:rPr>
              <w:t>-</w:t>
            </w:r>
            <w:r w:rsidRPr="00BC66BA">
              <w:rPr>
                <w:sz w:val="20"/>
                <w:szCs w:val="20"/>
              </w:rPr>
              <w:t xml:space="preserve"> </w:t>
            </w:r>
          </w:p>
        </w:tc>
        <w:tc>
          <w:tcPr>
            <w:tcW w:w="821" w:type="pct"/>
            <w:tcBorders>
              <w:top w:val="nil"/>
              <w:left w:val="nil"/>
              <w:bottom w:val="single" w:sz="8" w:space="0" w:color="auto"/>
              <w:right w:val="nil"/>
            </w:tcBorders>
            <w:shd w:val="clear" w:color="auto" w:fill="auto"/>
            <w:vAlign w:val="center"/>
            <w:hideMark/>
          </w:tcPr>
          <w:p w14:paraId="0399FDDF" w14:textId="148C45D5" w:rsidR="0024507F" w:rsidRPr="00BC66BA" w:rsidRDefault="0024507F" w:rsidP="0024507F">
            <w:pPr>
              <w:jc w:val="right"/>
              <w:rPr>
                <w:b/>
                <w:bCs/>
                <w:sz w:val="20"/>
                <w:szCs w:val="20"/>
              </w:rPr>
            </w:pPr>
            <w:r>
              <w:rPr>
                <w:sz w:val="20"/>
                <w:szCs w:val="20"/>
              </w:rPr>
              <w:t xml:space="preserve">                  </w:t>
            </w:r>
            <w:r w:rsidR="00DF251E">
              <w:rPr>
                <w:sz w:val="20"/>
                <w:szCs w:val="20"/>
              </w:rPr>
              <w:t>708</w:t>
            </w:r>
            <w:r w:rsidRPr="00BC66BA">
              <w:rPr>
                <w:sz w:val="20"/>
                <w:szCs w:val="20"/>
              </w:rPr>
              <w:t xml:space="preserve"> </w:t>
            </w:r>
          </w:p>
        </w:tc>
      </w:tr>
      <w:tr w:rsidR="00DF251E" w:rsidRPr="00BC66BA" w14:paraId="75F19032" w14:textId="77777777" w:rsidTr="00DF251E">
        <w:trPr>
          <w:trHeight w:val="254"/>
        </w:trPr>
        <w:tc>
          <w:tcPr>
            <w:tcW w:w="1320" w:type="pct"/>
            <w:tcBorders>
              <w:top w:val="nil"/>
              <w:left w:val="nil"/>
              <w:bottom w:val="single" w:sz="8" w:space="0" w:color="000000"/>
              <w:right w:val="nil"/>
            </w:tcBorders>
            <w:shd w:val="clear" w:color="auto" w:fill="auto"/>
            <w:vAlign w:val="center"/>
            <w:hideMark/>
          </w:tcPr>
          <w:p w14:paraId="1B1ECB69" w14:textId="649F435B" w:rsidR="00DF251E" w:rsidRPr="00BC66BA" w:rsidRDefault="00DF251E" w:rsidP="0024507F">
            <w:pPr>
              <w:rPr>
                <w:b/>
                <w:bCs/>
                <w:sz w:val="20"/>
                <w:szCs w:val="20"/>
              </w:rPr>
            </w:pPr>
            <w:r w:rsidRPr="00BC66BA">
              <w:rPr>
                <w:b/>
                <w:bCs/>
                <w:sz w:val="20"/>
                <w:szCs w:val="20"/>
              </w:rPr>
              <w:t xml:space="preserve">Balance </w:t>
            </w:r>
            <w:proofErr w:type="gramStart"/>
            <w:r w:rsidRPr="00BC66BA">
              <w:rPr>
                <w:b/>
                <w:bCs/>
                <w:sz w:val="20"/>
                <w:szCs w:val="20"/>
              </w:rPr>
              <w:t>at</w:t>
            </w:r>
            <w:proofErr w:type="gramEnd"/>
            <w:r w:rsidRPr="00BC66BA">
              <w:rPr>
                <w:b/>
                <w:bCs/>
                <w:sz w:val="20"/>
                <w:szCs w:val="20"/>
              </w:rPr>
              <w:t xml:space="preserve"> 30 September 202</w:t>
            </w:r>
            <w:r>
              <w:rPr>
                <w:b/>
                <w:bCs/>
                <w:sz w:val="20"/>
                <w:szCs w:val="20"/>
              </w:rPr>
              <w:t>3</w:t>
            </w:r>
          </w:p>
        </w:tc>
        <w:tc>
          <w:tcPr>
            <w:tcW w:w="622" w:type="pct"/>
            <w:tcBorders>
              <w:top w:val="nil"/>
              <w:left w:val="nil"/>
              <w:bottom w:val="single" w:sz="8" w:space="0" w:color="000000"/>
              <w:right w:val="nil"/>
            </w:tcBorders>
            <w:shd w:val="clear" w:color="auto" w:fill="auto"/>
            <w:vAlign w:val="center"/>
            <w:hideMark/>
          </w:tcPr>
          <w:p w14:paraId="076E404F" w14:textId="77BB4D90" w:rsidR="00DF251E" w:rsidRPr="00BC66BA" w:rsidRDefault="00DF251E" w:rsidP="0024507F">
            <w:pPr>
              <w:jc w:val="right"/>
              <w:rPr>
                <w:b/>
                <w:bCs/>
                <w:sz w:val="20"/>
                <w:szCs w:val="20"/>
              </w:rPr>
            </w:pPr>
            <w:r>
              <w:rPr>
                <w:b/>
                <w:bCs/>
                <w:sz w:val="20"/>
                <w:szCs w:val="20"/>
              </w:rPr>
              <w:t>622</w:t>
            </w:r>
          </w:p>
        </w:tc>
        <w:tc>
          <w:tcPr>
            <w:tcW w:w="745" w:type="pct"/>
            <w:tcBorders>
              <w:top w:val="nil"/>
              <w:left w:val="nil"/>
              <w:bottom w:val="single" w:sz="8" w:space="0" w:color="000000"/>
              <w:right w:val="nil"/>
            </w:tcBorders>
            <w:shd w:val="clear" w:color="auto" w:fill="auto"/>
            <w:vAlign w:val="center"/>
            <w:hideMark/>
          </w:tcPr>
          <w:p w14:paraId="2BA5BCEA" w14:textId="56B60582" w:rsidR="00DF251E" w:rsidRPr="00BC66BA" w:rsidRDefault="00DF251E" w:rsidP="0024507F">
            <w:pPr>
              <w:jc w:val="right"/>
              <w:rPr>
                <w:b/>
                <w:bCs/>
                <w:sz w:val="20"/>
                <w:szCs w:val="20"/>
              </w:rPr>
            </w:pPr>
            <w:r>
              <w:rPr>
                <w:b/>
                <w:bCs/>
                <w:sz w:val="20"/>
                <w:szCs w:val="20"/>
              </w:rPr>
              <w:t>23,061</w:t>
            </w:r>
          </w:p>
        </w:tc>
        <w:tc>
          <w:tcPr>
            <w:tcW w:w="746" w:type="pct"/>
            <w:tcBorders>
              <w:top w:val="nil"/>
              <w:left w:val="nil"/>
              <w:bottom w:val="single" w:sz="8" w:space="0" w:color="000000"/>
              <w:right w:val="nil"/>
            </w:tcBorders>
            <w:shd w:val="clear" w:color="auto" w:fill="auto"/>
            <w:vAlign w:val="center"/>
            <w:hideMark/>
          </w:tcPr>
          <w:p w14:paraId="104D28EA" w14:textId="75407DC0" w:rsidR="00DF251E" w:rsidRPr="00BC66BA" w:rsidRDefault="00DF251E" w:rsidP="0024507F">
            <w:pPr>
              <w:jc w:val="right"/>
              <w:rPr>
                <w:b/>
                <w:bCs/>
                <w:sz w:val="20"/>
                <w:szCs w:val="20"/>
              </w:rPr>
            </w:pPr>
            <w:r>
              <w:rPr>
                <w:b/>
                <w:bCs/>
                <w:sz w:val="20"/>
                <w:szCs w:val="20"/>
              </w:rPr>
              <w:t>838</w:t>
            </w:r>
          </w:p>
        </w:tc>
        <w:tc>
          <w:tcPr>
            <w:tcW w:w="746" w:type="pct"/>
            <w:tcBorders>
              <w:top w:val="nil"/>
              <w:left w:val="nil"/>
              <w:bottom w:val="single" w:sz="8" w:space="0" w:color="000000"/>
              <w:right w:val="nil"/>
            </w:tcBorders>
            <w:shd w:val="clear" w:color="auto" w:fill="auto"/>
            <w:vAlign w:val="center"/>
            <w:hideMark/>
          </w:tcPr>
          <w:p w14:paraId="7B274C8E" w14:textId="17626830" w:rsidR="00DF251E" w:rsidRPr="00BC66BA" w:rsidRDefault="00DF251E" w:rsidP="0024507F">
            <w:pPr>
              <w:jc w:val="right"/>
              <w:rPr>
                <w:b/>
                <w:bCs/>
                <w:sz w:val="20"/>
                <w:szCs w:val="20"/>
              </w:rPr>
            </w:pPr>
            <w:r>
              <w:rPr>
                <w:b/>
                <w:bCs/>
                <w:sz w:val="20"/>
                <w:szCs w:val="20"/>
              </w:rPr>
              <w:t>(24,752)</w:t>
            </w:r>
          </w:p>
        </w:tc>
        <w:tc>
          <w:tcPr>
            <w:tcW w:w="821" w:type="pct"/>
            <w:tcBorders>
              <w:top w:val="nil"/>
              <w:left w:val="nil"/>
              <w:bottom w:val="single" w:sz="8" w:space="0" w:color="000000"/>
              <w:right w:val="nil"/>
            </w:tcBorders>
            <w:shd w:val="clear" w:color="auto" w:fill="auto"/>
            <w:vAlign w:val="center"/>
            <w:hideMark/>
          </w:tcPr>
          <w:p w14:paraId="2DB0E297" w14:textId="003EFF55" w:rsidR="00DF251E" w:rsidRPr="00BC66BA" w:rsidRDefault="00DF251E" w:rsidP="0024507F">
            <w:pPr>
              <w:jc w:val="right"/>
              <w:rPr>
                <w:b/>
                <w:bCs/>
                <w:sz w:val="20"/>
                <w:szCs w:val="20"/>
              </w:rPr>
            </w:pPr>
            <w:r>
              <w:rPr>
                <w:b/>
                <w:bCs/>
                <w:sz w:val="20"/>
                <w:szCs w:val="20"/>
              </w:rPr>
              <w:t>(231)</w:t>
            </w:r>
          </w:p>
        </w:tc>
      </w:tr>
      <w:tr w:rsidR="00DF251E" w:rsidRPr="00523861" w14:paraId="697D889E" w14:textId="77777777" w:rsidTr="00DF251E">
        <w:trPr>
          <w:trHeight w:val="234"/>
        </w:trPr>
        <w:tc>
          <w:tcPr>
            <w:tcW w:w="1320" w:type="pct"/>
            <w:tcBorders>
              <w:top w:val="single" w:sz="8" w:space="0" w:color="000000"/>
              <w:left w:val="nil"/>
              <w:right w:val="nil"/>
            </w:tcBorders>
            <w:shd w:val="clear" w:color="auto" w:fill="auto"/>
            <w:noWrap/>
            <w:vAlign w:val="center"/>
            <w:hideMark/>
          </w:tcPr>
          <w:p w14:paraId="4F35CA18" w14:textId="77777777" w:rsidR="00DF251E" w:rsidRPr="00523861" w:rsidRDefault="00DF251E" w:rsidP="0024507F">
            <w:pPr>
              <w:jc w:val="right"/>
              <w:rPr>
                <w:b/>
                <w:bCs/>
                <w:sz w:val="20"/>
                <w:szCs w:val="20"/>
                <w:highlight w:val="yellow"/>
              </w:rPr>
            </w:pPr>
          </w:p>
        </w:tc>
        <w:tc>
          <w:tcPr>
            <w:tcW w:w="622" w:type="pct"/>
            <w:tcBorders>
              <w:top w:val="single" w:sz="8" w:space="0" w:color="000000"/>
              <w:left w:val="nil"/>
              <w:right w:val="nil"/>
            </w:tcBorders>
            <w:shd w:val="clear" w:color="auto" w:fill="auto"/>
            <w:noWrap/>
            <w:vAlign w:val="center"/>
            <w:hideMark/>
          </w:tcPr>
          <w:p w14:paraId="5D96E557" w14:textId="77777777" w:rsidR="00DF251E" w:rsidRPr="00523861" w:rsidRDefault="00DF251E" w:rsidP="0024507F">
            <w:pPr>
              <w:rPr>
                <w:sz w:val="20"/>
                <w:szCs w:val="20"/>
                <w:highlight w:val="yellow"/>
              </w:rPr>
            </w:pPr>
          </w:p>
        </w:tc>
        <w:tc>
          <w:tcPr>
            <w:tcW w:w="745" w:type="pct"/>
            <w:tcBorders>
              <w:top w:val="single" w:sz="8" w:space="0" w:color="000000"/>
              <w:left w:val="nil"/>
              <w:right w:val="nil"/>
            </w:tcBorders>
            <w:shd w:val="clear" w:color="auto" w:fill="auto"/>
            <w:noWrap/>
            <w:vAlign w:val="center"/>
            <w:hideMark/>
          </w:tcPr>
          <w:p w14:paraId="00E926A8" w14:textId="77777777" w:rsidR="00DF251E" w:rsidRPr="00523861" w:rsidRDefault="00DF251E" w:rsidP="0024507F">
            <w:pPr>
              <w:jc w:val="right"/>
              <w:rPr>
                <w:sz w:val="20"/>
                <w:szCs w:val="20"/>
                <w:highlight w:val="yellow"/>
              </w:rPr>
            </w:pPr>
          </w:p>
        </w:tc>
        <w:tc>
          <w:tcPr>
            <w:tcW w:w="746" w:type="pct"/>
            <w:tcBorders>
              <w:top w:val="single" w:sz="8" w:space="0" w:color="000000"/>
              <w:left w:val="nil"/>
              <w:right w:val="nil"/>
            </w:tcBorders>
            <w:shd w:val="clear" w:color="auto" w:fill="auto"/>
            <w:noWrap/>
            <w:vAlign w:val="center"/>
            <w:hideMark/>
          </w:tcPr>
          <w:p w14:paraId="0B7CABAA" w14:textId="77777777" w:rsidR="00DF251E" w:rsidRPr="00523861" w:rsidRDefault="00DF251E" w:rsidP="0024507F">
            <w:pPr>
              <w:jc w:val="right"/>
              <w:rPr>
                <w:sz w:val="20"/>
                <w:szCs w:val="20"/>
                <w:highlight w:val="yellow"/>
              </w:rPr>
            </w:pPr>
          </w:p>
        </w:tc>
        <w:tc>
          <w:tcPr>
            <w:tcW w:w="746" w:type="pct"/>
            <w:tcBorders>
              <w:top w:val="single" w:sz="8" w:space="0" w:color="000000"/>
              <w:left w:val="nil"/>
              <w:right w:val="nil"/>
            </w:tcBorders>
            <w:shd w:val="clear" w:color="auto" w:fill="auto"/>
            <w:noWrap/>
            <w:vAlign w:val="center"/>
            <w:hideMark/>
          </w:tcPr>
          <w:p w14:paraId="48D247D0" w14:textId="77777777" w:rsidR="00DF251E" w:rsidRPr="00523861" w:rsidRDefault="00DF251E" w:rsidP="0024507F">
            <w:pPr>
              <w:jc w:val="right"/>
              <w:rPr>
                <w:sz w:val="20"/>
                <w:szCs w:val="20"/>
                <w:highlight w:val="yellow"/>
              </w:rPr>
            </w:pPr>
          </w:p>
        </w:tc>
        <w:tc>
          <w:tcPr>
            <w:tcW w:w="821" w:type="pct"/>
            <w:tcBorders>
              <w:top w:val="single" w:sz="8" w:space="0" w:color="000000"/>
              <w:left w:val="nil"/>
              <w:right w:val="nil"/>
            </w:tcBorders>
            <w:shd w:val="clear" w:color="auto" w:fill="auto"/>
            <w:noWrap/>
            <w:vAlign w:val="center"/>
            <w:hideMark/>
          </w:tcPr>
          <w:p w14:paraId="4619DE9A" w14:textId="77777777" w:rsidR="00DF251E" w:rsidRPr="00523861" w:rsidRDefault="00DF251E" w:rsidP="0024507F">
            <w:pPr>
              <w:jc w:val="right"/>
              <w:rPr>
                <w:sz w:val="20"/>
                <w:szCs w:val="20"/>
                <w:highlight w:val="yellow"/>
              </w:rPr>
            </w:pPr>
          </w:p>
        </w:tc>
      </w:tr>
      <w:tr w:rsidR="00DF251E" w:rsidRPr="00523861" w14:paraId="2738AE5B" w14:textId="77777777" w:rsidTr="00DF251E">
        <w:trPr>
          <w:trHeight w:val="244"/>
        </w:trPr>
        <w:tc>
          <w:tcPr>
            <w:tcW w:w="1320" w:type="pct"/>
            <w:tcBorders>
              <w:left w:val="nil"/>
              <w:bottom w:val="single" w:sz="12" w:space="0" w:color="000000"/>
              <w:right w:val="nil"/>
            </w:tcBorders>
            <w:shd w:val="clear" w:color="auto" w:fill="auto"/>
            <w:vAlign w:val="center"/>
            <w:hideMark/>
          </w:tcPr>
          <w:p w14:paraId="0FEF0AF7" w14:textId="09179324" w:rsidR="00DF251E" w:rsidRPr="00BC66BA" w:rsidRDefault="00DF251E" w:rsidP="0024507F">
            <w:pPr>
              <w:rPr>
                <w:sz w:val="20"/>
                <w:szCs w:val="20"/>
              </w:rPr>
            </w:pPr>
            <w:r w:rsidRPr="00BC66BA">
              <w:rPr>
                <w:sz w:val="20"/>
                <w:szCs w:val="20"/>
              </w:rPr>
              <w:t xml:space="preserve">Loss for the </w:t>
            </w:r>
            <w:r w:rsidR="005221AC">
              <w:rPr>
                <w:sz w:val="20"/>
                <w:szCs w:val="20"/>
              </w:rPr>
              <w:t xml:space="preserve">15 </w:t>
            </w:r>
            <w:proofErr w:type="spellStart"/>
            <w:r w:rsidR="005221AC">
              <w:rPr>
                <w:sz w:val="20"/>
                <w:szCs w:val="20"/>
              </w:rPr>
              <w:t>mth</w:t>
            </w:r>
            <w:proofErr w:type="spellEnd"/>
            <w:r w:rsidR="005221AC">
              <w:rPr>
                <w:sz w:val="20"/>
                <w:szCs w:val="20"/>
              </w:rPr>
              <w:t xml:space="preserve"> </w:t>
            </w:r>
            <w:r w:rsidRPr="00BC66BA">
              <w:rPr>
                <w:sz w:val="20"/>
                <w:szCs w:val="20"/>
              </w:rPr>
              <w:t>period</w:t>
            </w:r>
          </w:p>
        </w:tc>
        <w:tc>
          <w:tcPr>
            <w:tcW w:w="622" w:type="pct"/>
            <w:tcBorders>
              <w:left w:val="nil"/>
              <w:bottom w:val="single" w:sz="12" w:space="0" w:color="000000"/>
              <w:right w:val="nil"/>
            </w:tcBorders>
            <w:shd w:val="clear" w:color="auto" w:fill="auto"/>
            <w:vAlign w:val="center"/>
          </w:tcPr>
          <w:p w14:paraId="608458FB" w14:textId="69331E4C" w:rsidR="00DF251E" w:rsidRPr="00C24B72" w:rsidRDefault="00DF251E" w:rsidP="0024507F">
            <w:pPr>
              <w:jc w:val="right"/>
              <w:rPr>
                <w:sz w:val="20"/>
                <w:szCs w:val="20"/>
              </w:rPr>
            </w:pPr>
            <w:r w:rsidRPr="0012424D">
              <w:rPr>
                <w:sz w:val="20"/>
                <w:szCs w:val="20"/>
              </w:rPr>
              <w:t>-</w:t>
            </w:r>
          </w:p>
        </w:tc>
        <w:tc>
          <w:tcPr>
            <w:tcW w:w="745" w:type="pct"/>
            <w:tcBorders>
              <w:left w:val="nil"/>
              <w:bottom w:val="single" w:sz="12" w:space="0" w:color="000000"/>
              <w:right w:val="nil"/>
            </w:tcBorders>
            <w:shd w:val="clear" w:color="auto" w:fill="auto"/>
            <w:vAlign w:val="center"/>
          </w:tcPr>
          <w:p w14:paraId="50567850" w14:textId="49252C31" w:rsidR="00DF251E" w:rsidRPr="00C24B72" w:rsidRDefault="00DF251E" w:rsidP="0024507F">
            <w:pPr>
              <w:jc w:val="right"/>
              <w:rPr>
                <w:sz w:val="20"/>
                <w:szCs w:val="20"/>
              </w:rPr>
            </w:pPr>
            <w:r>
              <w:rPr>
                <w:sz w:val="20"/>
                <w:szCs w:val="20"/>
              </w:rPr>
              <w:t>-</w:t>
            </w:r>
          </w:p>
        </w:tc>
        <w:tc>
          <w:tcPr>
            <w:tcW w:w="746" w:type="pct"/>
            <w:tcBorders>
              <w:left w:val="nil"/>
              <w:bottom w:val="single" w:sz="12" w:space="0" w:color="000000"/>
              <w:right w:val="nil"/>
            </w:tcBorders>
            <w:shd w:val="clear" w:color="auto" w:fill="auto"/>
            <w:vAlign w:val="center"/>
          </w:tcPr>
          <w:p w14:paraId="20527AD1" w14:textId="25EB0D0D" w:rsidR="00DF251E" w:rsidRPr="00C24B72" w:rsidRDefault="00DF251E" w:rsidP="0024507F">
            <w:pPr>
              <w:jc w:val="right"/>
              <w:rPr>
                <w:sz w:val="20"/>
                <w:szCs w:val="20"/>
              </w:rPr>
            </w:pPr>
            <w:r>
              <w:rPr>
                <w:sz w:val="20"/>
                <w:szCs w:val="20"/>
              </w:rPr>
              <w:t>-</w:t>
            </w:r>
          </w:p>
        </w:tc>
        <w:tc>
          <w:tcPr>
            <w:tcW w:w="746" w:type="pct"/>
            <w:tcBorders>
              <w:left w:val="nil"/>
              <w:bottom w:val="single" w:sz="12" w:space="0" w:color="000000"/>
              <w:right w:val="nil"/>
            </w:tcBorders>
            <w:shd w:val="clear" w:color="auto" w:fill="auto"/>
            <w:vAlign w:val="center"/>
          </w:tcPr>
          <w:p w14:paraId="173E7108" w14:textId="2138EAC6" w:rsidR="00DF251E" w:rsidRPr="00C24B72" w:rsidRDefault="00DF251E" w:rsidP="0024507F">
            <w:pPr>
              <w:jc w:val="right"/>
              <w:rPr>
                <w:sz w:val="20"/>
                <w:szCs w:val="20"/>
              </w:rPr>
            </w:pPr>
            <w:r w:rsidRPr="005B7B3F">
              <w:rPr>
                <w:sz w:val="20"/>
                <w:szCs w:val="20"/>
              </w:rPr>
              <w:t>(1,245)</w:t>
            </w:r>
          </w:p>
        </w:tc>
        <w:tc>
          <w:tcPr>
            <w:tcW w:w="821" w:type="pct"/>
            <w:tcBorders>
              <w:left w:val="nil"/>
              <w:bottom w:val="single" w:sz="12" w:space="0" w:color="000000"/>
              <w:right w:val="nil"/>
            </w:tcBorders>
            <w:shd w:val="clear" w:color="auto" w:fill="auto"/>
            <w:vAlign w:val="center"/>
          </w:tcPr>
          <w:p w14:paraId="5182EFDC" w14:textId="767C6863" w:rsidR="00DF251E" w:rsidRPr="00C24B72" w:rsidRDefault="00DF251E" w:rsidP="0024507F">
            <w:pPr>
              <w:jc w:val="right"/>
              <w:rPr>
                <w:b/>
                <w:bCs/>
                <w:sz w:val="20"/>
                <w:szCs w:val="20"/>
              </w:rPr>
            </w:pPr>
            <w:r w:rsidRPr="005B7B3F">
              <w:rPr>
                <w:b/>
                <w:bCs/>
                <w:sz w:val="20"/>
                <w:szCs w:val="20"/>
              </w:rPr>
              <w:t>(1,245)</w:t>
            </w:r>
          </w:p>
        </w:tc>
      </w:tr>
      <w:tr w:rsidR="00DF251E" w:rsidRPr="00523861" w14:paraId="1F0AD588" w14:textId="77777777" w:rsidTr="00DF251E">
        <w:trPr>
          <w:trHeight w:val="500"/>
        </w:trPr>
        <w:tc>
          <w:tcPr>
            <w:tcW w:w="1320" w:type="pct"/>
            <w:tcBorders>
              <w:top w:val="nil"/>
              <w:left w:val="nil"/>
              <w:bottom w:val="single" w:sz="12" w:space="0" w:color="000000"/>
              <w:right w:val="nil"/>
            </w:tcBorders>
            <w:shd w:val="clear" w:color="auto" w:fill="auto"/>
            <w:vAlign w:val="center"/>
            <w:hideMark/>
          </w:tcPr>
          <w:p w14:paraId="44858DF5" w14:textId="0C8F5EC9" w:rsidR="00DF251E" w:rsidRPr="00BC66BA" w:rsidRDefault="00DF251E" w:rsidP="0024507F">
            <w:pPr>
              <w:rPr>
                <w:b/>
                <w:bCs/>
                <w:sz w:val="20"/>
                <w:szCs w:val="20"/>
              </w:rPr>
            </w:pPr>
            <w:r w:rsidRPr="00BC66BA">
              <w:rPr>
                <w:b/>
                <w:bCs/>
                <w:sz w:val="20"/>
                <w:szCs w:val="20"/>
              </w:rPr>
              <w:t>Total comprehensive loss for the period</w:t>
            </w:r>
          </w:p>
        </w:tc>
        <w:tc>
          <w:tcPr>
            <w:tcW w:w="622" w:type="pct"/>
            <w:tcBorders>
              <w:top w:val="nil"/>
              <w:left w:val="nil"/>
              <w:bottom w:val="single" w:sz="12" w:space="0" w:color="000000"/>
              <w:right w:val="nil"/>
            </w:tcBorders>
            <w:shd w:val="clear" w:color="auto" w:fill="auto"/>
            <w:vAlign w:val="center"/>
          </w:tcPr>
          <w:p w14:paraId="52A3D2FC" w14:textId="2C410CC4" w:rsidR="00DF251E" w:rsidRPr="00C24B72" w:rsidRDefault="00DF251E" w:rsidP="0024507F">
            <w:pPr>
              <w:jc w:val="right"/>
              <w:rPr>
                <w:b/>
                <w:bCs/>
                <w:sz w:val="20"/>
                <w:szCs w:val="20"/>
              </w:rPr>
            </w:pPr>
            <w:r w:rsidRPr="0012424D">
              <w:rPr>
                <w:b/>
                <w:bCs/>
                <w:sz w:val="20"/>
                <w:szCs w:val="20"/>
              </w:rPr>
              <w:t>-</w:t>
            </w:r>
          </w:p>
        </w:tc>
        <w:tc>
          <w:tcPr>
            <w:tcW w:w="745" w:type="pct"/>
            <w:tcBorders>
              <w:top w:val="nil"/>
              <w:left w:val="nil"/>
              <w:bottom w:val="single" w:sz="12" w:space="0" w:color="000000"/>
              <w:right w:val="nil"/>
            </w:tcBorders>
            <w:shd w:val="clear" w:color="auto" w:fill="auto"/>
            <w:vAlign w:val="center"/>
          </w:tcPr>
          <w:p w14:paraId="71E1E55C" w14:textId="75A465DB" w:rsidR="00DF251E" w:rsidRPr="00C24B72" w:rsidRDefault="00DF251E" w:rsidP="0024507F">
            <w:pPr>
              <w:jc w:val="right"/>
              <w:rPr>
                <w:b/>
                <w:bCs/>
                <w:sz w:val="20"/>
                <w:szCs w:val="20"/>
              </w:rPr>
            </w:pPr>
            <w:r>
              <w:rPr>
                <w:b/>
                <w:bCs/>
                <w:sz w:val="20"/>
                <w:szCs w:val="20"/>
              </w:rPr>
              <w:t>-</w:t>
            </w:r>
          </w:p>
        </w:tc>
        <w:tc>
          <w:tcPr>
            <w:tcW w:w="746" w:type="pct"/>
            <w:tcBorders>
              <w:top w:val="nil"/>
              <w:left w:val="nil"/>
              <w:bottom w:val="single" w:sz="12" w:space="0" w:color="000000"/>
              <w:right w:val="nil"/>
            </w:tcBorders>
            <w:shd w:val="clear" w:color="auto" w:fill="auto"/>
            <w:vAlign w:val="center"/>
          </w:tcPr>
          <w:p w14:paraId="0228F622" w14:textId="5F28C835" w:rsidR="00DF251E" w:rsidRPr="00C24B72" w:rsidRDefault="00DF251E" w:rsidP="0024507F">
            <w:pPr>
              <w:jc w:val="right"/>
              <w:rPr>
                <w:b/>
                <w:bCs/>
                <w:sz w:val="20"/>
                <w:szCs w:val="20"/>
              </w:rPr>
            </w:pPr>
            <w:r>
              <w:rPr>
                <w:b/>
                <w:bCs/>
                <w:sz w:val="20"/>
                <w:szCs w:val="20"/>
              </w:rPr>
              <w:t>-</w:t>
            </w:r>
          </w:p>
        </w:tc>
        <w:tc>
          <w:tcPr>
            <w:tcW w:w="746" w:type="pct"/>
            <w:tcBorders>
              <w:top w:val="nil"/>
              <w:left w:val="nil"/>
              <w:bottom w:val="single" w:sz="12" w:space="0" w:color="000000"/>
              <w:right w:val="nil"/>
            </w:tcBorders>
            <w:shd w:val="clear" w:color="auto" w:fill="auto"/>
            <w:vAlign w:val="center"/>
          </w:tcPr>
          <w:p w14:paraId="787725A1" w14:textId="1372C5A0" w:rsidR="00DF251E" w:rsidRPr="00C24B72" w:rsidRDefault="00DF251E" w:rsidP="0024507F">
            <w:pPr>
              <w:jc w:val="right"/>
              <w:rPr>
                <w:b/>
                <w:bCs/>
                <w:sz w:val="20"/>
                <w:szCs w:val="20"/>
              </w:rPr>
            </w:pPr>
            <w:r w:rsidRPr="005B7B3F">
              <w:rPr>
                <w:sz w:val="20"/>
                <w:szCs w:val="20"/>
              </w:rPr>
              <w:t>(1,245)</w:t>
            </w:r>
          </w:p>
        </w:tc>
        <w:tc>
          <w:tcPr>
            <w:tcW w:w="821" w:type="pct"/>
            <w:tcBorders>
              <w:top w:val="nil"/>
              <w:left w:val="nil"/>
              <w:bottom w:val="single" w:sz="12" w:space="0" w:color="000000"/>
              <w:right w:val="nil"/>
            </w:tcBorders>
            <w:shd w:val="clear" w:color="auto" w:fill="auto"/>
            <w:vAlign w:val="center"/>
          </w:tcPr>
          <w:p w14:paraId="0DEB82EF" w14:textId="65EBBD85" w:rsidR="00DF251E" w:rsidRPr="00C24B72" w:rsidRDefault="00DF251E" w:rsidP="0024507F">
            <w:pPr>
              <w:jc w:val="right"/>
              <w:rPr>
                <w:b/>
                <w:bCs/>
                <w:sz w:val="20"/>
                <w:szCs w:val="20"/>
              </w:rPr>
            </w:pPr>
            <w:r w:rsidRPr="005B7B3F">
              <w:rPr>
                <w:b/>
                <w:bCs/>
                <w:sz w:val="20"/>
                <w:szCs w:val="20"/>
              </w:rPr>
              <w:t>(1,245)</w:t>
            </w:r>
          </w:p>
        </w:tc>
      </w:tr>
      <w:tr w:rsidR="00DF251E" w:rsidRPr="00523861" w14:paraId="1DAAAA34" w14:textId="77777777" w:rsidTr="00DF251E">
        <w:trPr>
          <w:trHeight w:val="244"/>
        </w:trPr>
        <w:tc>
          <w:tcPr>
            <w:tcW w:w="1320" w:type="pct"/>
            <w:tcBorders>
              <w:top w:val="nil"/>
              <w:left w:val="nil"/>
              <w:bottom w:val="single" w:sz="12" w:space="0" w:color="000000"/>
              <w:right w:val="nil"/>
            </w:tcBorders>
            <w:shd w:val="clear" w:color="auto" w:fill="auto"/>
            <w:vAlign w:val="center"/>
            <w:hideMark/>
          </w:tcPr>
          <w:p w14:paraId="7DAE798D" w14:textId="68E6EAB5" w:rsidR="00DF251E" w:rsidRPr="00BC66BA" w:rsidRDefault="00DF251E" w:rsidP="0024507F">
            <w:pPr>
              <w:rPr>
                <w:sz w:val="20"/>
                <w:szCs w:val="20"/>
              </w:rPr>
            </w:pPr>
            <w:r>
              <w:rPr>
                <w:sz w:val="20"/>
                <w:szCs w:val="20"/>
              </w:rPr>
              <w:t>Shares issued</w:t>
            </w:r>
          </w:p>
        </w:tc>
        <w:tc>
          <w:tcPr>
            <w:tcW w:w="622" w:type="pct"/>
            <w:tcBorders>
              <w:top w:val="nil"/>
              <w:left w:val="nil"/>
              <w:bottom w:val="single" w:sz="12" w:space="0" w:color="000000"/>
              <w:right w:val="nil"/>
            </w:tcBorders>
            <w:shd w:val="clear" w:color="auto" w:fill="auto"/>
            <w:vAlign w:val="center"/>
          </w:tcPr>
          <w:p w14:paraId="297A0A70" w14:textId="59497E60" w:rsidR="00DF251E" w:rsidRPr="00C24B72" w:rsidRDefault="00DF251E" w:rsidP="0024507F">
            <w:pPr>
              <w:jc w:val="right"/>
              <w:rPr>
                <w:sz w:val="20"/>
                <w:szCs w:val="20"/>
              </w:rPr>
            </w:pPr>
            <w:r>
              <w:rPr>
                <w:sz w:val="20"/>
                <w:szCs w:val="20"/>
              </w:rPr>
              <w:t>183</w:t>
            </w:r>
          </w:p>
        </w:tc>
        <w:tc>
          <w:tcPr>
            <w:tcW w:w="745" w:type="pct"/>
            <w:tcBorders>
              <w:top w:val="nil"/>
              <w:left w:val="nil"/>
              <w:bottom w:val="single" w:sz="12" w:space="0" w:color="000000"/>
              <w:right w:val="nil"/>
            </w:tcBorders>
            <w:shd w:val="clear" w:color="auto" w:fill="auto"/>
            <w:vAlign w:val="center"/>
          </w:tcPr>
          <w:p w14:paraId="49EF3A09" w14:textId="609A5687" w:rsidR="00DF251E" w:rsidRPr="00C24B72" w:rsidRDefault="00DF251E" w:rsidP="0024507F">
            <w:pPr>
              <w:jc w:val="right"/>
              <w:rPr>
                <w:sz w:val="20"/>
                <w:szCs w:val="20"/>
              </w:rPr>
            </w:pPr>
            <w:r>
              <w:rPr>
                <w:sz w:val="20"/>
                <w:szCs w:val="20"/>
              </w:rPr>
              <w:t>647</w:t>
            </w:r>
          </w:p>
        </w:tc>
        <w:tc>
          <w:tcPr>
            <w:tcW w:w="746" w:type="pct"/>
            <w:tcBorders>
              <w:top w:val="nil"/>
              <w:left w:val="nil"/>
              <w:bottom w:val="single" w:sz="12" w:space="0" w:color="000000"/>
              <w:right w:val="nil"/>
            </w:tcBorders>
            <w:shd w:val="clear" w:color="auto" w:fill="auto"/>
            <w:vAlign w:val="center"/>
          </w:tcPr>
          <w:p w14:paraId="799252D1" w14:textId="543275A2" w:rsidR="00DF251E" w:rsidRPr="00C24B72" w:rsidRDefault="00DF251E" w:rsidP="0024507F">
            <w:pPr>
              <w:jc w:val="right"/>
              <w:rPr>
                <w:sz w:val="20"/>
                <w:szCs w:val="20"/>
              </w:rPr>
            </w:pPr>
            <w:r w:rsidRPr="000029E8">
              <w:rPr>
                <w:b/>
                <w:bCs/>
                <w:sz w:val="20"/>
                <w:szCs w:val="20"/>
              </w:rPr>
              <w:t>-</w:t>
            </w:r>
          </w:p>
        </w:tc>
        <w:tc>
          <w:tcPr>
            <w:tcW w:w="746" w:type="pct"/>
            <w:tcBorders>
              <w:top w:val="nil"/>
              <w:left w:val="nil"/>
              <w:bottom w:val="single" w:sz="12" w:space="0" w:color="000000"/>
              <w:right w:val="nil"/>
            </w:tcBorders>
            <w:shd w:val="clear" w:color="auto" w:fill="auto"/>
            <w:vAlign w:val="center"/>
          </w:tcPr>
          <w:p w14:paraId="7D801D2C" w14:textId="248D7081" w:rsidR="00DF251E" w:rsidRPr="00C24B72" w:rsidRDefault="00DF251E" w:rsidP="0024507F">
            <w:pPr>
              <w:jc w:val="right"/>
              <w:rPr>
                <w:sz w:val="20"/>
                <w:szCs w:val="20"/>
              </w:rPr>
            </w:pPr>
            <w:r w:rsidRPr="000029E8">
              <w:rPr>
                <w:sz w:val="20"/>
                <w:szCs w:val="20"/>
              </w:rPr>
              <w:t>-</w:t>
            </w:r>
          </w:p>
        </w:tc>
        <w:tc>
          <w:tcPr>
            <w:tcW w:w="821" w:type="pct"/>
            <w:tcBorders>
              <w:top w:val="nil"/>
              <w:left w:val="nil"/>
              <w:bottom w:val="single" w:sz="12" w:space="0" w:color="000000"/>
              <w:right w:val="nil"/>
            </w:tcBorders>
            <w:shd w:val="clear" w:color="auto" w:fill="auto"/>
            <w:vAlign w:val="center"/>
          </w:tcPr>
          <w:p w14:paraId="36EC2DED" w14:textId="69A9053C" w:rsidR="00DF251E" w:rsidRPr="00C24B72" w:rsidRDefault="00DF251E" w:rsidP="0024507F">
            <w:pPr>
              <w:jc w:val="right"/>
              <w:rPr>
                <w:b/>
                <w:bCs/>
                <w:sz w:val="20"/>
                <w:szCs w:val="20"/>
              </w:rPr>
            </w:pPr>
            <w:r>
              <w:rPr>
                <w:b/>
                <w:bCs/>
                <w:sz w:val="20"/>
                <w:szCs w:val="20"/>
              </w:rPr>
              <w:t>830</w:t>
            </w:r>
          </w:p>
        </w:tc>
      </w:tr>
      <w:tr w:rsidR="00DF251E" w:rsidRPr="00523861" w14:paraId="06FC6A2B" w14:textId="77777777" w:rsidTr="00DF251E">
        <w:trPr>
          <w:trHeight w:val="244"/>
        </w:trPr>
        <w:tc>
          <w:tcPr>
            <w:tcW w:w="1320" w:type="pct"/>
            <w:tcBorders>
              <w:top w:val="nil"/>
              <w:left w:val="nil"/>
              <w:bottom w:val="single" w:sz="12" w:space="0" w:color="000000"/>
              <w:right w:val="nil"/>
            </w:tcBorders>
            <w:shd w:val="clear" w:color="auto" w:fill="auto"/>
            <w:vAlign w:val="center"/>
          </w:tcPr>
          <w:p w14:paraId="37503CD8" w14:textId="2DAE557C" w:rsidR="00DF251E" w:rsidRPr="00BC66BA" w:rsidRDefault="00DF251E" w:rsidP="0024507F">
            <w:pPr>
              <w:rPr>
                <w:sz w:val="20"/>
                <w:szCs w:val="20"/>
              </w:rPr>
            </w:pPr>
            <w:r w:rsidRPr="00BC66BA">
              <w:rPr>
                <w:sz w:val="20"/>
                <w:szCs w:val="20"/>
              </w:rPr>
              <w:t>Share-based payments</w:t>
            </w:r>
          </w:p>
        </w:tc>
        <w:tc>
          <w:tcPr>
            <w:tcW w:w="622" w:type="pct"/>
            <w:tcBorders>
              <w:top w:val="nil"/>
              <w:left w:val="nil"/>
              <w:bottom w:val="single" w:sz="12" w:space="0" w:color="000000"/>
              <w:right w:val="nil"/>
            </w:tcBorders>
            <w:shd w:val="clear" w:color="auto" w:fill="auto"/>
            <w:vAlign w:val="center"/>
          </w:tcPr>
          <w:p w14:paraId="1C3B0DE7" w14:textId="1D4A8C3E" w:rsidR="00DF251E" w:rsidRPr="00C24B72" w:rsidRDefault="00DF251E" w:rsidP="0024507F">
            <w:pPr>
              <w:jc w:val="right"/>
              <w:rPr>
                <w:sz w:val="20"/>
                <w:szCs w:val="20"/>
              </w:rPr>
            </w:pPr>
            <w:r w:rsidRPr="000029E8">
              <w:rPr>
                <w:sz w:val="20"/>
                <w:szCs w:val="20"/>
              </w:rPr>
              <w:t>-</w:t>
            </w:r>
          </w:p>
        </w:tc>
        <w:tc>
          <w:tcPr>
            <w:tcW w:w="745" w:type="pct"/>
            <w:tcBorders>
              <w:top w:val="nil"/>
              <w:left w:val="nil"/>
              <w:bottom w:val="single" w:sz="12" w:space="0" w:color="000000"/>
              <w:right w:val="nil"/>
            </w:tcBorders>
            <w:shd w:val="clear" w:color="auto" w:fill="auto"/>
            <w:vAlign w:val="center"/>
          </w:tcPr>
          <w:p w14:paraId="20910BD2" w14:textId="35E39E2B" w:rsidR="00DF251E" w:rsidRDefault="00DF251E" w:rsidP="0024507F">
            <w:pPr>
              <w:jc w:val="right"/>
              <w:rPr>
                <w:sz w:val="20"/>
                <w:szCs w:val="20"/>
              </w:rPr>
            </w:pPr>
            <w:r w:rsidRPr="000029E8">
              <w:rPr>
                <w:sz w:val="20"/>
                <w:szCs w:val="20"/>
              </w:rPr>
              <w:t>-</w:t>
            </w:r>
          </w:p>
        </w:tc>
        <w:tc>
          <w:tcPr>
            <w:tcW w:w="746" w:type="pct"/>
            <w:tcBorders>
              <w:top w:val="nil"/>
              <w:left w:val="nil"/>
              <w:bottom w:val="single" w:sz="12" w:space="0" w:color="000000"/>
              <w:right w:val="nil"/>
            </w:tcBorders>
            <w:shd w:val="clear" w:color="auto" w:fill="auto"/>
            <w:vAlign w:val="center"/>
          </w:tcPr>
          <w:p w14:paraId="777F33E7" w14:textId="0AAE5868" w:rsidR="00DF251E" w:rsidRDefault="00DF251E" w:rsidP="0024507F">
            <w:pPr>
              <w:jc w:val="right"/>
              <w:rPr>
                <w:sz w:val="20"/>
                <w:szCs w:val="20"/>
              </w:rPr>
            </w:pPr>
            <w:r>
              <w:rPr>
                <w:sz w:val="20"/>
                <w:szCs w:val="20"/>
              </w:rPr>
              <w:t>237</w:t>
            </w:r>
          </w:p>
        </w:tc>
        <w:tc>
          <w:tcPr>
            <w:tcW w:w="746" w:type="pct"/>
            <w:tcBorders>
              <w:top w:val="nil"/>
              <w:left w:val="nil"/>
              <w:bottom w:val="single" w:sz="12" w:space="0" w:color="000000"/>
              <w:right w:val="nil"/>
            </w:tcBorders>
            <w:shd w:val="clear" w:color="auto" w:fill="auto"/>
            <w:vAlign w:val="center"/>
          </w:tcPr>
          <w:p w14:paraId="65F72318" w14:textId="6925519D" w:rsidR="00DF251E" w:rsidRDefault="00DF251E" w:rsidP="0024507F">
            <w:pPr>
              <w:jc w:val="right"/>
              <w:rPr>
                <w:sz w:val="20"/>
                <w:szCs w:val="20"/>
              </w:rPr>
            </w:pPr>
            <w:r w:rsidRPr="000029E8">
              <w:rPr>
                <w:sz w:val="20"/>
                <w:szCs w:val="20"/>
              </w:rPr>
              <w:t>-</w:t>
            </w:r>
          </w:p>
        </w:tc>
        <w:tc>
          <w:tcPr>
            <w:tcW w:w="821" w:type="pct"/>
            <w:tcBorders>
              <w:top w:val="nil"/>
              <w:left w:val="nil"/>
              <w:bottom w:val="single" w:sz="12" w:space="0" w:color="000000"/>
              <w:right w:val="nil"/>
            </w:tcBorders>
            <w:shd w:val="clear" w:color="auto" w:fill="auto"/>
            <w:vAlign w:val="center"/>
          </w:tcPr>
          <w:p w14:paraId="550A4B6D" w14:textId="687C9382" w:rsidR="00DF251E" w:rsidRDefault="00DF251E" w:rsidP="0024507F">
            <w:pPr>
              <w:jc w:val="right"/>
              <w:rPr>
                <w:b/>
                <w:bCs/>
                <w:sz w:val="20"/>
                <w:szCs w:val="20"/>
              </w:rPr>
            </w:pPr>
            <w:r>
              <w:rPr>
                <w:b/>
                <w:bCs/>
                <w:sz w:val="20"/>
                <w:szCs w:val="20"/>
              </w:rPr>
              <w:t>237</w:t>
            </w:r>
          </w:p>
        </w:tc>
      </w:tr>
      <w:tr w:rsidR="00DF251E" w:rsidRPr="00523861" w14:paraId="443F2BD9" w14:textId="77777777" w:rsidTr="00DF251E">
        <w:trPr>
          <w:trHeight w:val="244"/>
        </w:trPr>
        <w:tc>
          <w:tcPr>
            <w:tcW w:w="1320" w:type="pct"/>
            <w:tcBorders>
              <w:top w:val="nil"/>
              <w:left w:val="nil"/>
              <w:bottom w:val="single" w:sz="12" w:space="0" w:color="000000"/>
              <w:right w:val="nil"/>
            </w:tcBorders>
            <w:shd w:val="clear" w:color="auto" w:fill="auto"/>
            <w:vAlign w:val="center"/>
          </w:tcPr>
          <w:p w14:paraId="1C81B7BC" w14:textId="76ECEE5B" w:rsidR="00DF251E" w:rsidRPr="00BC66BA" w:rsidRDefault="00DF251E" w:rsidP="0024507F">
            <w:pPr>
              <w:rPr>
                <w:sz w:val="20"/>
                <w:szCs w:val="20"/>
              </w:rPr>
            </w:pPr>
            <w:r>
              <w:rPr>
                <w:sz w:val="20"/>
                <w:szCs w:val="20"/>
              </w:rPr>
              <w:t>Exercised and lapsed warrants</w:t>
            </w:r>
          </w:p>
        </w:tc>
        <w:tc>
          <w:tcPr>
            <w:tcW w:w="622" w:type="pct"/>
            <w:tcBorders>
              <w:top w:val="nil"/>
              <w:left w:val="nil"/>
              <w:bottom w:val="single" w:sz="12" w:space="0" w:color="000000"/>
              <w:right w:val="nil"/>
            </w:tcBorders>
            <w:shd w:val="clear" w:color="auto" w:fill="auto"/>
            <w:vAlign w:val="center"/>
          </w:tcPr>
          <w:p w14:paraId="37725F0B" w14:textId="43404D48" w:rsidR="00DF251E" w:rsidRPr="00C24B72" w:rsidRDefault="00DF251E" w:rsidP="0024507F">
            <w:pPr>
              <w:jc w:val="right"/>
              <w:rPr>
                <w:sz w:val="20"/>
                <w:szCs w:val="20"/>
              </w:rPr>
            </w:pPr>
            <w:r w:rsidRPr="000029E8">
              <w:rPr>
                <w:sz w:val="20"/>
                <w:szCs w:val="20"/>
              </w:rPr>
              <w:t>-</w:t>
            </w:r>
          </w:p>
        </w:tc>
        <w:tc>
          <w:tcPr>
            <w:tcW w:w="745" w:type="pct"/>
            <w:tcBorders>
              <w:top w:val="nil"/>
              <w:left w:val="nil"/>
              <w:bottom w:val="single" w:sz="12" w:space="0" w:color="000000"/>
              <w:right w:val="nil"/>
            </w:tcBorders>
            <w:shd w:val="clear" w:color="auto" w:fill="auto"/>
            <w:vAlign w:val="center"/>
          </w:tcPr>
          <w:p w14:paraId="39B5083B" w14:textId="2BF50F78" w:rsidR="00DF251E" w:rsidRPr="00C24B72" w:rsidRDefault="00DF251E" w:rsidP="0024507F">
            <w:pPr>
              <w:jc w:val="right"/>
              <w:rPr>
                <w:sz w:val="20"/>
                <w:szCs w:val="20"/>
              </w:rPr>
            </w:pPr>
            <w:r w:rsidRPr="000029E8">
              <w:rPr>
                <w:sz w:val="20"/>
                <w:szCs w:val="20"/>
              </w:rPr>
              <w:t>-</w:t>
            </w:r>
          </w:p>
        </w:tc>
        <w:tc>
          <w:tcPr>
            <w:tcW w:w="746" w:type="pct"/>
            <w:tcBorders>
              <w:top w:val="nil"/>
              <w:left w:val="nil"/>
              <w:bottom w:val="single" w:sz="12" w:space="0" w:color="000000"/>
              <w:right w:val="nil"/>
            </w:tcBorders>
            <w:shd w:val="clear" w:color="auto" w:fill="auto"/>
            <w:vAlign w:val="center"/>
          </w:tcPr>
          <w:p w14:paraId="7109941A" w14:textId="26CFBA00" w:rsidR="00DF251E" w:rsidRPr="00C24B72" w:rsidRDefault="00DF251E" w:rsidP="0024507F">
            <w:pPr>
              <w:jc w:val="right"/>
              <w:rPr>
                <w:sz w:val="20"/>
                <w:szCs w:val="20"/>
              </w:rPr>
            </w:pPr>
            <w:r>
              <w:rPr>
                <w:sz w:val="20"/>
                <w:szCs w:val="20"/>
              </w:rPr>
              <w:t>(176)</w:t>
            </w:r>
          </w:p>
        </w:tc>
        <w:tc>
          <w:tcPr>
            <w:tcW w:w="746" w:type="pct"/>
            <w:tcBorders>
              <w:top w:val="nil"/>
              <w:left w:val="nil"/>
              <w:bottom w:val="single" w:sz="12" w:space="0" w:color="000000"/>
              <w:right w:val="nil"/>
            </w:tcBorders>
            <w:shd w:val="clear" w:color="auto" w:fill="auto"/>
            <w:vAlign w:val="center"/>
          </w:tcPr>
          <w:p w14:paraId="17838D07" w14:textId="71FA6E77" w:rsidR="00DF251E" w:rsidRPr="00C24B72" w:rsidRDefault="00DF251E" w:rsidP="0024507F">
            <w:pPr>
              <w:jc w:val="right"/>
              <w:rPr>
                <w:sz w:val="20"/>
                <w:szCs w:val="20"/>
              </w:rPr>
            </w:pPr>
            <w:r w:rsidRPr="000029E8">
              <w:rPr>
                <w:sz w:val="20"/>
                <w:szCs w:val="20"/>
              </w:rPr>
              <w:t>-</w:t>
            </w:r>
          </w:p>
        </w:tc>
        <w:tc>
          <w:tcPr>
            <w:tcW w:w="821" w:type="pct"/>
            <w:tcBorders>
              <w:top w:val="nil"/>
              <w:left w:val="nil"/>
              <w:bottom w:val="single" w:sz="12" w:space="0" w:color="000000"/>
              <w:right w:val="nil"/>
            </w:tcBorders>
            <w:shd w:val="clear" w:color="auto" w:fill="auto"/>
            <w:vAlign w:val="center"/>
          </w:tcPr>
          <w:p w14:paraId="2CC60875" w14:textId="7A2185F3" w:rsidR="00DF251E" w:rsidRPr="00C24B72" w:rsidRDefault="00DF251E" w:rsidP="0024507F">
            <w:pPr>
              <w:jc w:val="right"/>
              <w:rPr>
                <w:b/>
                <w:bCs/>
                <w:sz w:val="20"/>
                <w:szCs w:val="20"/>
              </w:rPr>
            </w:pPr>
            <w:r>
              <w:rPr>
                <w:b/>
                <w:bCs/>
                <w:sz w:val="20"/>
                <w:szCs w:val="20"/>
              </w:rPr>
              <w:t>(176)</w:t>
            </w:r>
          </w:p>
        </w:tc>
      </w:tr>
      <w:tr w:rsidR="00DF251E" w:rsidRPr="00523861" w14:paraId="279D3F19" w14:textId="77777777" w:rsidTr="00DF251E">
        <w:trPr>
          <w:trHeight w:val="244"/>
        </w:trPr>
        <w:tc>
          <w:tcPr>
            <w:tcW w:w="1320" w:type="pct"/>
            <w:tcBorders>
              <w:top w:val="nil"/>
              <w:left w:val="nil"/>
              <w:bottom w:val="single" w:sz="12" w:space="0" w:color="000000"/>
              <w:right w:val="nil"/>
            </w:tcBorders>
            <w:shd w:val="clear" w:color="auto" w:fill="auto"/>
            <w:vAlign w:val="center"/>
          </w:tcPr>
          <w:p w14:paraId="4681F847" w14:textId="2F79990E" w:rsidR="00DF251E" w:rsidRDefault="00DF251E" w:rsidP="0024507F">
            <w:pPr>
              <w:rPr>
                <w:sz w:val="20"/>
                <w:szCs w:val="20"/>
              </w:rPr>
            </w:pPr>
            <w:r>
              <w:rPr>
                <w:sz w:val="20"/>
                <w:szCs w:val="20"/>
              </w:rPr>
              <w:lastRenderedPageBreak/>
              <w:t>Share issue cost</w:t>
            </w:r>
          </w:p>
        </w:tc>
        <w:tc>
          <w:tcPr>
            <w:tcW w:w="622" w:type="pct"/>
            <w:tcBorders>
              <w:top w:val="nil"/>
              <w:left w:val="nil"/>
              <w:bottom w:val="single" w:sz="12" w:space="0" w:color="000000"/>
              <w:right w:val="nil"/>
            </w:tcBorders>
            <w:shd w:val="clear" w:color="auto" w:fill="auto"/>
            <w:vAlign w:val="center"/>
          </w:tcPr>
          <w:p w14:paraId="031E8A79" w14:textId="5B3D5DAA" w:rsidR="00DF251E" w:rsidRPr="00C24B72" w:rsidRDefault="00DF251E" w:rsidP="0024507F">
            <w:pPr>
              <w:jc w:val="right"/>
              <w:rPr>
                <w:sz w:val="20"/>
                <w:szCs w:val="20"/>
              </w:rPr>
            </w:pPr>
            <w:r w:rsidRPr="000029E8">
              <w:rPr>
                <w:sz w:val="20"/>
                <w:szCs w:val="20"/>
              </w:rPr>
              <w:t>-</w:t>
            </w:r>
          </w:p>
        </w:tc>
        <w:tc>
          <w:tcPr>
            <w:tcW w:w="745" w:type="pct"/>
            <w:tcBorders>
              <w:top w:val="nil"/>
              <w:left w:val="nil"/>
              <w:bottom w:val="single" w:sz="12" w:space="0" w:color="000000"/>
              <w:right w:val="nil"/>
            </w:tcBorders>
            <w:shd w:val="clear" w:color="auto" w:fill="auto"/>
            <w:vAlign w:val="center"/>
          </w:tcPr>
          <w:p w14:paraId="45B2ECCB" w14:textId="7E949018" w:rsidR="00DF251E" w:rsidRDefault="00DF251E" w:rsidP="0024507F">
            <w:pPr>
              <w:jc w:val="right"/>
              <w:rPr>
                <w:sz w:val="20"/>
                <w:szCs w:val="20"/>
              </w:rPr>
            </w:pPr>
            <w:r>
              <w:rPr>
                <w:sz w:val="20"/>
                <w:szCs w:val="20"/>
              </w:rPr>
              <w:t>(35)</w:t>
            </w:r>
          </w:p>
        </w:tc>
        <w:tc>
          <w:tcPr>
            <w:tcW w:w="746" w:type="pct"/>
            <w:tcBorders>
              <w:top w:val="nil"/>
              <w:left w:val="nil"/>
              <w:bottom w:val="single" w:sz="12" w:space="0" w:color="000000"/>
              <w:right w:val="nil"/>
            </w:tcBorders>
            <w:shd w:val="clear" w:color="auto" w:fill="auto"/>
            <w:vAlign w:val="center"/>
          </w:tcPr>
          <w:p w14:paraId="7C33015C" w14:textId="64751D3E" w:rsidR="00DF251E" w:rsidRDefault="00DF251E" w:rsidP="0024507F">
            <w:pPr>
              <w:jc w:val="right"/>
              <w:rPr>
                <w:sz w:val="20"/>
                <w:szCs w:val="20"/>
              </w:rPr>
            </w:pPr>
            <w:r w:rsidRPr="000029E8">
              <w:rPr>
                <w:sz w:val="20"/>
                <w:szCs w:val="20"/>
              </w:rPr>
              <w:t>-</w:t>
            </w:r>
          </w:p>
        </w:tc>
        <w:tc>
          <w:tcPr>
            <w:tcW w:w="746" w:type="pct"/>
            <w:tcBorders>
              <w:top w:val="nil"/>
              <w:left w:val="nil"/>
              <w:bottom w:val="single" w:sz="12" w:space="0" w:color="000000"/>
              <w:right w:val="nil"/>
            </w:tcBorders>
            <w:shd w:val="clear" w:color="auto" w:fill="auto"/>
            <w:vAlign w:val="center"/>
          </w:tcPr>
          <w:p w14:paraId="4BC8208E" w14:textId="37F116E5" w:rsidR="00DF251E" w:rsidRDefault="00DF251E" w:rsidP="0024507F">
            <w:pPr>
              <w:jc w:val="right"/>
              <w:rPr>
                <w:sz w:val="20"/>
                <w:szCs w:val="20"/>
              </w:rPr>
            </w:pPr>
            <w:r w:rsidRPr="000029E8">
              <w:rPr>
                <w:sz w:val="20"/>
                <w:szCs w:val="20"/>
              </w:rPr>
              <w:t>-</w:t>
            </w:r>
          </w:p>
        </w:tc>
        <w:tc>
          <w:tcPr>
            <w:tcW w:w="821" w:type="pct"/>
            <w:tcBorders>
              <w:top w:val="nil"/>
              <w:left w:val="nil"/>
              <w:bottom w:val="single" w:sz="12" w:space="0" w:color="000000"/>
              <w:right w:val="nil"/>
            </w:tcBorders>
            <w:shd w:val="clear" w:color="auto" w:fill="auto"/>
            <w:vAlign w:val="center"/>
          </w:tcPr>
          <w:p w14:paraId="5795C46C" w14:textId="4BF04E0C" w:rsidR="00DF251E" w:rsidRDefault="00DF251E" w:rsidP="0024507F">
            <w:pPr>
              <w:jc w:val="right"/>
              <w:rPr>
                <w:b/>
                <w:bCs/>
                <w:sz w:val="20"/>
                <w:szCs w:val="20"/>
              </w:rPr>
            </w:pPr>
            <w:r>
              <w:rPr>
                <w:b/>
                <w:bCs/>
                <w:sz w:val="20"/>
                <w:szCs w:val="20"/>
              </w:rPr>
              <w:t>(35)</w:t>
            </w:r>
          </w:p>
        </w:tc>
      </w:tr>
      <w:tr w:rsidR="00DF251E" w:rsidRPr="007D3A0B" w14:paraId="1ED649E4" w14:textId="77777777" w:rsidTr="00DF251E">
        <w:trPr>
          <w:trHeight w:val="500"/>
        </w:trPr>
        <w:tc>
          <w:tcPr>
            <w:tcW w:w="1320" w:type="pct"/>
            <w:tcBorders>
              <w:top w:val="nil"/>
              <w:left w:val="nil"/>
              <w:bottom w:val="single" w:sz="12" w:space="0" w:color="000000"/>
              <w:right w:val="nil"/>
            </w:tcBorders>
            <w:shd w:val="clear" w:color="auto" w:fill="auto"/>
            <w:vAlign w:val="center"/>
            <w:hideMark/>
          </w:tcPr>
          <w:p w14:paraId="568A7015" w14:textId="58EBEF93" w:rsidR="00DF251E" w:rsidRPr="00BC66BA" w:rsidRDefault="00DF251E" w:rsidP="0024507F">
            <w:pPr>
              <w:rPr>
                <w:b/>
                <w:bCs/>
                <w:sz w:val="20"/>
                <w:szCs w:val="20"/>
              </w:rPr>
            </w:pPr>
            <w:r w:rsidRPr="00BC66BA">
              <w:rPr>
                <w:b/>
                <w:bCs/>
                <w:sz w:val="20"/>
                <w:szCs w:val="20"/>
              </w:rPr>
              <w:t>Transactions with equity owners</w:t>
            </w:r>
          </w:p>
        </w:tc>
        <w:tc>
          <w:tcPr>
            <w:tcW w:w="622" w:type="pct"/>
            <w:tcBorders>
              <w:top w:val="nil"/>
              <w:left w:val="nil"/>
              <w:bottom w:val="single" w:sz="12" w:space="0" w:color="000000"/>
              <w:right w:val="nil"/>
            </w:tcBorders>
            <w:shd w:val="clear" w:color="auto" w:fill="auto"/>
            <w:vAlign w:val="center"/>
          </w:tcPr>
          <w:p w14:paraId="17FAB2D8" w14:textId="78D61DCB" w:rsidR="00DF251E" w:rsidRPr="00C24B72" w:rsidRDefault="00DF251E" w:rsidP="0024507F">
            <w:pPr>
              <w:jc w:val="right"/>
              <w:rPr>
                <w:b/>
                <w:bCs/>
                <w:sz w:val="20"/>
                <w:szCs w:val="20"/>
              </w:rPr>
            </w:pPr>
            <w:r>
              <w:rPr>
                <w:sz w:val="20"/>
                <w:szCs w:val="20"/>
              </w:rPr>
              <w:t>183</w:t>
            </w:r>
          </w:p>
        </w:tc>
        <w:tc>
          <w:tcPr>
            <w:tcW w:w="745" w:type="pct"/>
            <w:tcBorders>
              <w:top w:val="nil"/>
              <w:left w:val="nil"/>
              <w:bottom w:val="single" w:sz="12" w:space="0" w:color="000000"/>
              <w:right w:val="nil"/>
            </w:tcBorders>
            <w:shd w:val="clear" w:color="auto" w:fill="auto"/>
            <w:vAlign w:val="center"/>
          </w:tcPr>
          <w:p w14:paraId="07ABBA73" w14:textId="7F0086D1" w:rsidR="00DF251E" w:rsidRPr="00C24B72" w:rsidRDefault="00DF251E" w:rsidP="0024507F">
            <w:pPr>
              <w:jc w:val="right"/>
              <w:rPr>
                <w:b/>
                <w:bCs/>
                <w:sz w:val="20"/>
                <w:szCs w:val="20"/>
              </w:rPr>
            </w:pPr>
            <w:r>
              <w:rPr>
                <w:b/>
                <w:bCs/>
                <w:sz w:val="20"/>
                <w:szCs w:val="20"/>
              </w:rPr>
              <w:t>612</w:t>
            </w:r>
          </w:p>
        </w:tc>
        <w:tc>
          <w:tcPr>
            <w:tcW w:w="746" w:type="pct"/>
            <w:tcBorders>
              <w:top w:val="nil"/>
              <w:left w:val="nil"/>
              <w:bottom w:val="single" w:sz="12" w:space="0" w:color="000000"/>
              <w:right w:val="nil"/>
            </w:tcBorders>
            <w:shd w:val="clear" w:color="auto" w:fill="auto"/>
            <w:vAlign w:val="center"/>
          </w:tcPr>
          <w:p w14:paraId="621C872C" w14:textId="24F6498F" w:rsidR="00DF251E" w:rsidRPr="00C24B72" w:rsidRDefault="00DF251E" w:rsidP="0024507F">
            <w:pPr>
              <w:jc w:val="right"/>
              <w:rPr>
                <w:b/>
                <w:bCs/>
                <w:sz w:val="20"/>
                <w:szCs w:val="20"/>
              </w:rPr>
            </w:pPr>
            <w:r w:rsidRPr="00C41516">
              <w:rPr>
                <w:b/>
                <w:bCs/>
                <w:sz w:val="20"/>
                <w:szCs w:val="20"/>
              </w:rPr>
              <w:t>61</w:t>
            </w:r>
          </w:p>
        </w:tc>
        <w:tc>
          <w:tcPr>
            <w:tcW w:w="746" w:type="pct"/>
            <w:tcBorders>
              <w:top w:val="nil"/>
              <w:left w:val="nil"/>
              <w:bottom w:val="single" w:sz="12" w:space="0" w:color="000000"/>
              <w:right w:val="nil"/>
            </w:tcBorders>
            <w:shd w:val="clear" w:color="auto" w:fill="auto"/>
            <w:vAlign w:val="center"/>
          </w:tcPr>
          <w:p w14:paraId="7B7A8211" w14:textId="5ACF7130" w:rsidR="00DF251E" w:rsidRPr="00264E5A" w:rsidRDefault="00DF251E" w:rsidP="0024507F">
            <w:pPr>
              <w:jc w:val="right"/>
              <w:rPr>
                <w:b/>
                <w:bCs/>
                <w:sz w:val="20"/>
                <w:szCs w:val="20"/>
              </w:rPr>
            </w:pPr>
            <w:r>
              <w:rPr>
                <w:b/>
                <w:bCs/>
                <w:sz w:val="20"/>
                <w:szCs w:val="20"/>
              </w:rPr>
              <w:t>-</w:t>
            </w:r>
          </w:p>
        </w:tc>
        <w:tc>
          <w:tcPr>
            <w:tcW w:w="821" w:type="pct"/>
            <w:tcBorders>
              <w:top w:val="nil"/>
              <w:left w:val="nil"/>
              <w:bottom w:val="single" w:sz="12" w:space="0" w:color="000000"/>
              <w:right w:val="nil"/>
            </w:tcBorders>
            <w:shd w:val="clear" w:color="auto" w:fill="auto"/>
            <w:vAlign w:val="center"/>
          </w:tcPr>
          <w:p w14:paraId="25DCB346" w14:textId="2D680C4D" w:rsidR="00DF251E" w:rsidRPr="00C24B72" w:rsidRDefault="00DF251E" w:rsidP="0024507F">
            <w:pPr>
              <w:jc w:val="right"/>
              <w:rPr>
                <w:b/>
                <w:bCs/>
                <w:sz w:val="20"/>
                <w:szCs w:val="20"/>
              </w:rPr>
            </w:pPr>
            <w:r>
              <w:rPr>
                <w:b/>
                <w:bCs/>
                <w:sz w:val="20"/>
                <w:szCs w:val="20"/>
              </w:rPr>
              <w:t>856</w:t>
            </w:r>
          </w:p>
        </w:tc>
      </w:tr>
      <w:tr w:rsidR="00DF251E" w:rsidRPr="007D3A0B" w14:paraId="777578FB" w14:textId="77777777" w:rsidTr="00DF251E">
        <w:trPr>
          <w:trHeight w:val="295"/>
        </w:trPr>
        <w:tc>
          <w:tcPr>
            <w:tcW w:w="1320" w:type="pct"/>
            <w:tcBorders>
              <w:top w:val="nil"/>
              <w:left w:val="nil"/>
              <w:bottom w:val="single" w:sz="12" w:space="0" w:color="000000"/>
              <w:right w:val="nil"/>
            </w:tcBorders>
            <w:shd w:val="clear" w:color="auto" w:fill="auto"/>
            <w:vAlign w:val="center"/>
            <w:hideMark/>
          </w:tcPr>
          <w:p w14:paraId="7D66FECF" w14:textId="77777777" w:rsidR="00DF251E" w:rsidRDefault="00DF251E" w:rsidP="0024507F">
            <w:pPr>
              <w:rPr>
                <w:b/>
                <w:bCs/>
                <w:sz w:val="20"/>
                <w:szCs w:val="20"/>
              </w:rPr>
            </w:pPr>
            <w:r w:rsidRPr="00BC66BA">
              <w:rPr>
                <w:b/>
                <w:bCs/>
                <w:sz w:val="20"/>
                <w:szCs w:val="20"/>
              </w:rPr>
              <w:t xml:space="preserve">Balance at </w:t>
            </w:r>
          </w:p>
          <w:p w14:paraId="1DDD71EB" w14:textId="734A43FB" w:rsidR="00DF251E" w:rsidRPr="00BC66BA" w:rsidRDefault="00DF251E" w:rsidP="0024507F">
            <w:pPr>
              <w:rPr>
                <w:b/>
                <w:bCs/>
                <w:sz w:val="20"/>
                <w:szCs w:val="20"/>
              </w:rPr>
            </w:pPr>
            <w:r w:rsidRPr="00BC66BA">
              <w:rPr>
                <w:b/>
                <w:bCs/>
                <w:sz w:val="20"/>
                <w:szCs w:val="20"/>
              </w:rPr>
              <w:t xml:space="preserve">31 </w:t>
            </w:r>
            <w:r>
              <w:rPr>
                <w:b/>
                <w:bCs/>
                <w:sz w:val="20"/>
                <w:szCs w:val="20"/>
              </w:rPr>
              <w:t xml:space="preserve">December </w:t>
            </w:r>
            <w:r w:rsidRPr="00BC66BA">
              <w:rPr>
                <w:b/>
                <w:bCs/>
                <w:sz w:val="20"/>
                <w:szCs w:val="20"/>
              </w:rPr>
              <w:t>202</w:t>
            </w:r>
            <w:r>
              <w:rPr>
                <w:b/>
                <w:bCs/>
                <w:sz w:val="20"/>
                <w:szCs w:val="20"/>
              </w:rPr>
              <w:t>4</w:t>
            </w:r>
          </w:p>
        </w:tc>
        <w:tc>
          <w:tcPr>
            <w:tcW w:w="622" w:type="pct"/>
            <w:tcBorders>
              <w:top w:val="nil"/>
              <w:left w:val="nil"/>
              <w:bottom w:val="single" w:sz="12" w:space="0" w:color="000000"/>
              <w:right w:val="nil"/>
            </w:tcBorders>
            <w:shd w:val="clear" w:color="auto" w:fill="auto"/>
            <w:vAlign w:val="center"/>
          </w:tcPr>
          <w:p w14:paraId="5367FFCA" w14:textId="5472D8A5" w:rsidR="00DF251E" w:rsidRPr="00C24B72" w:rsidRDefault="00DF251E" w:rsidP="0024507F">
            <w:pPr>
              <w:jc w:val="right"/>
              <w:rPr>
                <w:b/>
                <w:bCs/>
                <w:sz w:val="20"/>
                <w:szCs w:val="20"/>
              </w:rPr>
            </w:pPr>
            <w:r>
              <w:rPr>
                <w:b/>
                <w:bCs/>
                <w:sz w:val="20"/>
                <w:szCs w:val="20"/>
              </w:rPr>
              <w:t>805</w:t>
            </w:r>
          </w:p>
        </w:tc>
        <w:tc>
          <w:tcPr>
            <w:tcW w:w="745" w:type="pct"/>
            <w:tcBorders>
              <w:top w:val="nil"/>
              <w:left w:val="nil"/>
              <w:bottom w:val="single" w:sz="12" w:space="0" w:color="000000"/>
              <w:right w:val="nil"/>
            </w:tcBorders>
            <w:shd w:val="clear" w:color="auto" w:fill="auto"/>
            <w:vAlign w:val="center"/>
          </w:tcPr>
          <w:p w14:paraId="57CCC3CB" w14:textId="4AC58627" w:rsidR="00DF251E" w:rsidRPr="00C24B72" w:rsidRDefault="00DF251E" w:rsidP="0024507F">
            <w:pPr>
              <w:jc w:val="right"/>
              <w:rPr>
                <w:b/>
                <w:bCs/>
                <w:sz w:val="20"/>
                <w:szCs w:val="20"/>
              </w:rPr>
            </w:pPr>
            <w:r>
              <w:rPr>
                <w:b/>
                <w:bCs/>
                <w:sz w:val="20"/>
                <w:szCs w:val="20"/>
              </w:rPr>
              <w:t>23,673</w:t>
            </w:r>
          </w:p>
        </w:tc>
        <w:tc>
          <w:tcPr>
            <w:tcW w:w="746" w:type="pct"/>
            <w:tcBorders>
              <w:top w:val="nil"/>
              <w:left w:val="nil"/>
              <w:bottom w:val="single" w:sz="12" w:space="0" w:color="000000"/>
              <w:right w:val="nil"/>
            </w:tcBorders>
            <w:shd w:val="clear" w:color="auto" w:fill="auto"/>
            <w:vAlign w:val="center"/>
          </w:tcPr>
          <w:p w14:paraId="658033A9" w14:textId="37E699D1" w:rsidR="00DF251E" w:rsidRPr="00C24B72" w:rsidRDefault="00DF251E" w:rsidP="0024507F">
            <w:pPr>
              <w:jc w:val="right"/>
              <w:rPr>
                <w:b/>
                <w:bCs/>
                <w:sz w:val="20"/>
                <w:szCs w:val="20"/>
              </w:rPr>
            </w:pPr>
            <w:r>
              <w:rPr>
                <w:b/>
                <w:bCs/>
                <w:sz w:val="20"/>
                <w:szCs w:val="20"/>
              </w:rPr>
              <w:t>899</w:t>
            </w:r>
          </w:p>
        </w:tc>
        <w:tc>
          <w:tcPr>
            <w:tcW w:w="746" w:type="pct"/>
            <w:tcBorders>
              <w:top w:val="nil"/>
              <w:left w:val="nil"/>
              <w:bottom w:val="single" w:sz="12" w:space="0" w:color="000000"/>
              <w:right w:val="nil"/>
            </w:tcBorders>
            <w:shd w:val="clear" w:color="auto" w:fill="auto"/>
            <w:vAlign w:val="center"/>
          </w:tcPr>
          <w:p w14:paraId="024AD056" w14:textId="513C40A7" w:rsidR="00DF251E" w:rsidRPr="00C24B72" w:rsidRDefault="00DF251E" w:rsidP="0024507F">
            <w:pPr>
              <w:jc w:val="right"/>
              <w:rPr>
                <w:b/>
                <w:bCs/>
                <w:sz w:val="20"/>
                <w:szCs w:val="20"/>
              </w:rPr>
            </w:pPr>
            <w:r w:rsidRPr="00DE3D87">
              <w:rPr>
                <w:b/>
                <w:bCs/>
                <w:sz w:val="20"/>
                <w:szCs w:val="20"/>
              </w:rPr>
              <w:t>(2</w:t>
            </w:r>
            <w:r>
              <w:rPr>
                <w:b/>
                <w:bCs/>
                <w:sz w:val="20"/>
                <w:szCs w:val="20"/>
              </w:rPr>
              <w:t>5,997</w:t>
            </w:r>
            <w:r w:rsidRPr="00DE3D87">
              <w:rPr>
                <w:b/>
                <w:bCs/>
                <w:sz w:val="20"/>
                <w:szCs w:val="20"/>
              </w:rPr>
              <w:t>)</w:t>
            </w:r>
          </w:p>
        </w:tc>
        <w:tc>
          <w:tcPr>
            <w:tcW w:w="821" w:type="pct"/>
            <w:tcBorders>
              <w:top w:val="nil"/>
              <w:left w:val="nil"/>
              <w:bottom w:val="single" w:sz="12" w:space="0" w:color="000000"/>
              <w:right w:val="nil"/>
            </w:tcBorders>
            <w:shd w:val="clear" w:color="auto" w:fill="auto"/>
            <w:vAlign w:val="center"/>
          </w:tcPr>
          <w:p w14:paraId="0B2722FA" w14:textId="1B3AE6B1" w:rsidR="00DF251E" w:rsidRPr="00C24B72" w:rsidRDefault="00DF251E" w:rsidP="0024507F">
            <w:pPr>
              <w:jc w:val="right"/>
              <w:rPr>
                <w:b/>
                <w:bCs/>
                <w:sz w:val="20"/>
                <w:szCs w:val="20"/>
              </w:rPr>
            </w:pPr>
            <w:r>
              <w:rPr>
                <w:b/>
                <w:bCs/>
                <w:sz w:val="20"/>
                <w:szCs w:val="20"/>
              </w:rPr>
              <w:t>(620)</w:t>
            </w:r>
          </w:p>
        </w:tc>
      </w:tr>
      <w:tr w:rsidR="00DF251E" w:rsidRPr="007D3A0B" w14:paraId="56E34C21" w14:textId="77777777" w:rsidTr="00DF251E">
        <w:trPr>
          <w:trHeight w:val="295"/>
        </w:trPr>
        <w:tc>
          <w:tcPr>
            <w:tcW w:w="1320" w:type="pct"/>
            <w:tcBorders>
              <w:top w:val="single" w:sz="8" w:space="0" w:color="000000"/>
              <w:left w:val="nil"/>
              <w:right w:val="nil"/>
            </w:tcBorders>
            <w:shd w:val="clear" w:color="auto" w:fill="auto"/>
            <w:vAlign w:val="center"/>
          </w:tcPr>
          <w:p w14:paraId="23E50684" w14:textId="77777777" w:rsidR="00DF251E" w:rsidRPr="00BC66BA" w:rsidRDefault="00DF251E" w:rsidP="0024507F">
            <w:pPr>
              <w:rPr>
                <w:b/>
                <w:bCs/>
                <w:sz w:val="20"/>
                <w:szCs w:val="20"/>
              </w:rPr>
            </w:pPr>
          </w:p>
        </w:tc>
        <w:tc>
          <w:tcPr>
            <w:tcW w:w="622" w:type="pct"/>
            <w:tcBorders>
              <w:top w:val="single" w:sz="8" w:space="0" w:color="000000"/>
              <w:left w:val="nil"/>
              <w:right w:val="nil"/>
            </w:tcBorders>
            <w:shd w:val="clear" w:color="auto" w:fill="auto"/>
            <w:vAlign w:val="center"/>
          </w:tcPr>
          <w:p w14:paraId="2437A9F5" w14:textId="77777777" w:rsidR="00DF251E" w:rsidRDefault="00DF251E" w:rsidP="0024507F">
            <w:pPr>
              <w:jc w:val="right"/>
              <w:rPr>
                <w:b/>
                <w:bCs/>
                <w:sz w:val="20"/>
                <w:szCs w:val="20"/>
              </w:rPr>
            </w:pPr>
          </w:p>
        </w:tc>
        <w:tc>
          <w:tcPr>
            <w:tcW w:w="745" w:type="pct"/>
            <w:tcBorders>
              <w:top w:val="single" w:sz="8" w:space="0" w:color="000000"/>
              <w:left w:val="nil"/>
              <w:right w:val="nil"/>
            </w:tcBorders>
            <w:shd w:val="clear" w:color="auto" w:fill="auto"/>
            <w:vAlign w:val="center"/>
          </w:tcPr>
          <w:p w14:paraId="067FD1BB" w14:textId="77777777" w:rsidR="00DF251E" w:rsidRDefault="00DF251E" w:rsidP="0024507F">
            <w:pPr>
              <w:jc w:val="right"/>
              <w:rPr>
                <w:b/>
                <w:bCs/>
                <w:sz w:val="20"/>
                <w:szCs w:val="20"/>
              </w:rPr>
            </w:pPr>
          </w:p>
        </w:tc>
        <w:tc>
          <w:tcPr>
            <w:tcW w:w="746" w:type="pct"/>
            <w:tcBorders>
              <w:top w:val="single" w:sz="8" w:space="0" w:color="000000"/>
              <w:left w:val="nil"/>
              <w:right w:val="nil"/>
            </w:tcBorders>
            <w:shd w:val="clear" w:color="auto" w:fill="auto"/>
            <w:vAlign w:val="center"/>
          </w:tcPr>
          <w:p w14:paraId="709DAF79" w14:textId="77777777" w:rsidR="00DF251E" w:rsidRDefault="00DF251E" w:rsidP="0024507F">
            <w:pPr>
              <w:jc w:val="right"/>
              <w:rPr>
                <w:b/>
                <w:bCs/>
                <w:sz w:val="20"/>
                <w:szCs w:val="20"/>
              </w:rPr>
            </w:pPr>
          </w:p>
        </w:tc>
        <w:tc>
          <w:tcPr>
            <w:tcW w:w="746" w:type="pct"/>
            <w:tcBorders>
              <w:top w:val="single" w:sz="8" w:space="0" w:color="000000"/>
              <w:left w:val="nil"/>
              <w:right w:val="nil"/>
            </w:tcBorders>
            <w:shd w:val="clear" w:color="auto" w:fill="auto"/>
            <w:vAlign w:val="center"/>
          </w:tcPr>
          <w:p w14:paraId="6C61AC2A" w14:textId="77777777" w:rsidR="00DF251E" w:rsidRDefault="00DF251E" w:rsidP="0024507F">
            <w:pPr>
              <w:jc w:val="right"/>
              <w:rPr>
                <w:b/>
                <w:bCs/>
                <w:sz w:val="20"/>
                <w:szCs w:val="20"/>
              </w:rPr>
            </w:pPr>
          </w:p>
        </w:tc>
        <w:tc>
          <w:tcPr>
            <w:tcW w:w="821" w:type="pct"/>
            <w:tcBorders>
              <w:top w:val="single" w:sz="8" w:space="0" w:color="000000"/>
              <w:left w:val="nil"/>
              <w:right w:val="nil"/>
            </w:tcBorders>
            <w:shd w:val="clear" w:color="auto" w:fill="auto"/>
            <w:vAlign w:val="center"/>
          </w:tcPr>
          <w:p w14:paraId="7A16C728" w14:textId="77777777" w:rsidR="00DF251E" w:rsidRDefault="00DF251E" w:rsidP="0024507F">
            <w:pPr>
              <w:jc w:val="right"/>
              <w:rPr>
                <w:b/>
                <w:bCs/>
                <w:sz w:val="20"/>
                <w:szCs w:val="20"/>
              </w:rPr>
            </w:pPr>
          </w:p>
        </w:tc>
      </w:tr>
    </w:tbl>
    <w:p w14:paraId="62794A39" w14:textId="77777777" w:rsidR="0023248A" w:rsidRDefault="0023248A" w:rsidP="0055205F">
      <w:pPr>
        <w:rPr>
          <w:b/>
          <w:bCs/>
        </w:rPr>
      </w:pPr>
    </w:p>
    <w:p w14:paraId="1A6D040A" w14:textId="77777777" w:rsidR="00790060" w:rsidRDefault="00790060" w:rsidP="0055205F">
      <w:pPr>
        <w:rPr>
          <w:b/>
          <w:bCs/>
        </w:rPr>
      </w:pPr>
    </w:p>
    <w:p w14:paraId="553103AB" w14:textId="77777777" w:rsidR="00790060" w:rsidRDefault="00790060" w:rsidP="0055205F">
      <w:pPr>
        <w:rPr>
          <w:b/>
          <w:bCs/>
        </w:rPr>
      </w:pPr>
    </w:p>
    <w:p w14:paraId="017D14E2" w14:textId="77777777" w:rsidR="00790060" w:rsidRDefault="00790060" w:rsidP="0055205F">
      <w:pPr>
        <w:rPr>
          <w:b/>
          <w:bCs/>
        </w:rPr>
      </w:pPr>
    </w:p>
    <w:p w14:paraId="7518116C" w14:textId="5466A963" w:rsidR="0055205F" w:rsidRPr="00467D6C" w:rsidRDefault="0055205F" w:rsidP="0055205F">
      <w:pPr>
        <w:rPr>
          <w:b/>
          <w:bCs/>
        </w:rPr>
      </w:pPr>
      <w:r w:rsidRPr="00467D6C">
        <w:rPr>
          <w:b/>
          <w:bCs/>
        </w:rPr>
        <w:t>CONDENSED STATEMENT OF CASH FLOWS</w:t>
      </w:r>
    </w:p>
    <w:p w14:paraId="3761571E" w14:textId="77777777" w:rsidR="0055205F" w:rsidRDefault="0055205F" w:rsidP="0055205F"/>
    <w:p w14:paraId="2C57EF8B" w14:textId="07D10C6A" w:rsidR="0055205F" w:rsidRPr="00467D6C" w:rsidRDefault="0055205F" w:rsidP="0055205F">
      <w:pPr>
        <w:ind w:right="252"/>
      </w:pPr>
      <w:r w:rsidRPr="00467D6C">
        <w:t xml:space="preserve">The unaudited condensed statement of cash flows of the Company for the </w:t>
      </w:r>
      <w:r w:rsidR="00344FC2">
        <w:t xml:space="preserve">fifteen </w:t>
      </w:r>
      <w:r w:rsidRPr="00467D6C">
        <w:t xml:space="preserve">months ended 31 </w:t>
      </w:r>
      <w:r w:rsidR="0080197B">
        <w:t xml:space="preserve">December </w:t>
      </w:r>
      <w:r w:rsidRPr="00467D6C">
        <w:t>202</w:t>
      </w:r>
      <w:r>
        <w:t>4</w:t>
      </w:r>
      <w:r w:rsidRPr="00467D6C">
        <w:t xml:space="preserve"> is set out below. </w:t>
      </w:r>
    </w:p>
    <w:p w14:paraId="448D7293" w14:textId="77777777" w:rsidR="0055205F" w:rsidRDefault="0055205F" w:rsidP="0055205F">
      <w:pPr>
        <w:rPr>
          <w:rFonts w:asciiTheme="minorHAnsi" w:hAnsiTheme="minorHAnsi" w:cstheme="minorHAnsi"/>
        </w:rPr>
      </w:pPr>
    </w:p>
    <w:p w14:paraId="7FC255DE" w14:textId="77777777" w:rsidR="00970A04" w:rsidRPr="00575684" w:rsidRDefault="00970A04" w:rsidP="0055205F">
      <w:pPr>
        <w:rPr>
          <w:rFonts w:asciiTheme="minorHAnsi" w:hAnsiTheme="minorHAnsi" w:cstheme="minorHAnsi"/>
        </w:rPr>
      </w:pPr>
    </w:p>
    <w:tbl>
      <w:tblPr>
        <w:tblpPr w:leftFromText="180" w:rightFromText="180" w:vertAnchor="text" w:horzAnchor="margin" w:tblpY="-46"/>
        <w:tblW w:w="4853" w:type="pct"/>
        <w:tblLook w:val="04A0" w:firstRow="1" w:lastRow="0" w:firstColumn="1" w:lastColumn="0" w:noHBand="0" w:noVBand="1"/>
      </w:tblPr>
      <w:tblGrid>
        <w:gridCol w:w="5387"/>
        <w:gridCol w:w="425"/>
        <w:gridCol w:w="1701"/>
        <w:gridCol w:w="1843"/>
      </w:tblGrid>
      <w:tr w:rsidR="003E4C0A" w:rsidRPr="007D3A0B" w14:paraId="1E12C845" w14:textId="77777777" w:rsidTr="003E4C0A">
        <w:trPr>
          <w:trHeight w:val="982"/>
        </w:trPr>
        <w:tc>
          <w:tcPr>
            <w:tcW w:w="2879" w:type="pct"/>
            <w:tcBorders>
              <w:top w:val="nil"/>
              <w:left w:val="nil"/>
              <w:bottom w:val="nil"/>
              <w:right w:val="nil"/>
            </w:tcBorders>
            <w:shd w:val="clear" w:color="auto" w:fill="auto"/>
            <w:vAlign w:val="center"/>
            <w:hideMark/>
          </w:tcPr>
          <w:p w14:paraId="01714B65" w14:textId="77777777" w:rsidR="003E4C0A" w:rsidRPr="007D3A0B" w:rsidRDefault="003E4C0A" w:rsidP="00075FBF">
            <w:pPr>
              <w:rPr>
                <w:sz w:val="24"/>
                <w:szCs w:val="24"/>
              </w:rPr>
            </w:pPr>
          </w:p>
        </w:tc>
        <w:tc>
          <w:tcPr>
            <w:tcW w:w="227" w:type="pct"/>
            <w:tcBorders>
              <w:top w:val="nil"/>
              <w:left w:val="nil"/>
              <w:bottom w:val="nil"/>
              <w:right w:val="nil"/>
            </w:tcBorders>
            <w:shd w:val="clear" w:color="auto" w:fill="auto"/>
            <w:vAlign w:val="center"/>
            <w:hideMark/>
          </w:tcPr>
          <w:p w14:paraId="72661AEF" w14:textId="77777777" w:rsidR="003E4C0A" w:rsidRPr="007D3A0B" w:rsidRDefault="003E4C0A" w:rsidP="00075FBF">
            <w:pPr>
              <w:rPr>
                <w:sz w:val="20"/>
                <w:szCs w:val="20"/>
              </w:rPr>
            </w:pPr>
          </w:p>
        </w:tc>
        <w:tc>
          <w:tcPr>
            <w:tcW w:w="909" w:type="pct"/>
            <w:tcBorders>
              <w:top w:val="nil"/>
              <w:left w:val="nil"/>
              <w:bottom w:val="nil"/>
              <w:right w:val="nil"/>
            </w:tcBorders>
            <w:vAlign w:val="center"/>
          </w:tcPr>
          <w:p w14:paraId="52243A56" w14:textId="208DFE16" w:rsidR="003E4C0A" w:rsidRPr="007D3A0B" w:rsidRDefault="003E4C0A" w:rsidP="00075FBF">
            <w:pPr>
              <w:jc w:val="right"/>
              <w:rPr>
                <w:b/>
                <w:bCs/>
              </w:rPr>
            </w:pPr>
            <w:r w:rsidRPr="007D3A0B">
              <w:rPr>
                <w:b/>
                <w:bCs/>
              </w:rPr>
              <w:t xml:space="preserve">Unaudited </w:t>
            </w:r>
            <w:r w:rsidRPr="007D3A0B">
              <w:rPr>
                <w:b/>
                <w:bCs/>
              </w:rPr>
              <w:br/>
            </w:r>
            <w:r w:rsidR="00BA3DEC" w:rsidRPr="00745EF0">
              <w:rPr>
                <w:rFonts w:eastAsia="Times New Roman"/>
                <w:b/>
                <w:bCs/>
                <w:lang w:val="en-US" w:eastAsia="en-US"/>
              </w:rPr>
              <w:t>15 Months</w:t>
            </w:r>
            <w:r w:rsidRPr="007D3A0B">
              <w:rPr>
                <w:b/>
                <w:bCs/>
              </w:rPr>
              <w:t xml:space="preserve"> ended </w:t>
            </w:r>
            <w:r w:rsidRPr="007D3A0B">
              <w:rPr>
                <w:b/>
                <w:bCs/>
              </w:rPr>
              <w:br/>
              <w:t>31-</w:t>
            </w:r>
            <w:r>
              <w:rPr>
                <w:b/>
                <w:bCs/>
              </w:rPr>
              <w:t>Dec</w:t>
            </w:r>
            <w:r w:rsidRPr="007D3A0B">
              <w:rPr>
                <w:b/>
                <w:bCs/>
              </w:rPr>
              <w:t xml:space="preserve"> 202</w:t>
            </w:r>
            <w:r>
              <w:rPr>
                <w:b/>
                <w:bCs/>
              </w:rPr>
              <w:t>4</w:t>
            </w:r>
          </w:p>
        </w:tc>
        <w:tc>
          <w:tcPr>
            <w:tcW w:w="985" w:type="pct"/>
            <w:tcBorders>
              <w:top w:val="nil"/>
              <w:left w:val="nil"/>
              <w:bottom w:val="nil"/>
              <w:right w:val="nil"/>
            </w:tcBorders>
            <w:shd w:val="clear" w:color="auto" w:fill="auto"/>
            <w:vAlign w:val="center"/>
            <w:hideMark/>
          </w:tcPr>
          <w:p w14:paraId="48D7E902" w14:textId="48DE8400" w:rsidR="003E4C0A" w:rsidRPr="007D3A0B" w:rsidRDefault="003E4C0A" w:rsidP="00075FBF">
            <w:pPr>
              <w:jc w:val="right"/>
              <w:rPr>
                <w:b/>
                <w:bCs/>
              </w:rPr>
            </w:pPr>
            <w:r w:rsidRPr="007D3A0B">
              <w:rPr>
                <w:b/>
                <w:bCs/>
              </w:rPr>
              <w:t xml:space="preserve">Audited </w:t>
            </w:r>
            <w:r w:rsidRPr="007D3A0B">
              <w:rPr>
                <w:b/>
                <w:bCs/>
              </w:rPr>
              <w:br/>
            </w:r>
            <w:r w:rsidR="0092411F">
              <w:rPr>
                <w:b/>
                <w:bCs/>
              </w:rPr>
              <w:t>Year ended</w:t>
            </w:r>
            <w:r w:rsidRPr="007D3A0B">
              <w:rPr>
                <w:b/>
                <w:bCs/>
              </w:rPr>
              <w:t xml:space="preserve"> </w:t>
            </w:r>
            <w:r w:rsidRPr="007D3A0B">
              <w:rPr>
                <w:b/>
                <w:bCs/>
              </w:rPr>
              <w:br/>
              <w:t>30-Sep 202</w:t>
            </w:r>
            <w:r>
              <w:rPr>
                <w:b/>
                <w:bCs/>
              </w:rPr>
              <w:t>3</w:t>
            </w:r>
          </w:p>
        </w:tc>
      </w:tr>
      <w:tr w:rsidR="003E4C0A" w:rsidRPr="007D3A0B" w14:paraId="07D2B2C3" w14:textId="77777777" w:rsidTr="003E4C0A">
        <w:trPr>
          <w:trHeight w:val="341"/>
        </w:trPr>
        <w:tc>
          <w:tcPr>
            <w:tcW w:w="2879" w:type="pct"/>
            <w:tcBorders>
              <w:top w:val="nil"/>
              <w:left w:val="nil"/>
              <w:bottom w:val="single" w:sz="12" w:space="0" w:color="000000"/>
              <w:right w:val="nil"/>
            </w:tcBorders>
            <w:shd w:val="clear" w:color="auto" w:fill="auto"/>
            <w:vAlign w:val="center"/>
            <w:hideMark/>
          </w:tcPr>
          <w:p w14:paraId="5199D10A" w14:textId="77777777" w:rsidR="003E4C0A" w:rsidRPr="007D3A0B" w:rsidRDefault="003E4C0A" w:rsidP="00075FBF">
            <w:r w:rsidRPr="007D3A0B">
              <w:t> </w:t>
            </w:r>
          </w:p>
        </w:tc>
        <w:tc>
          <w:tcPr>
            <w:tcW w:w="227" w:type="pct"/>
            <w:tcBorders>
              <w:top w:val="nil"/>
              <w:left w:val="nil"/>
              <w:bottom w:val="single" w:sz="12" w:space="0" w:color="000000"/>
              <w:right w:val="nil"/>
            </w:tcBorders>
            <w:shd w:val="clear" w:color="auto" w:fill="auto"/>
            <w:vAlign w:val="center"/>
            <w:hideMark/>
          </w:tcPr>
          <w:p w14:paraId="14F53B89" w14:textId="77777777" w:rsidR="003E4C0A" w:rsidRPr="007D3A0B" w:rsidRDefault="003E4C0A" w:rsidP="00075FBF">
            <w:pPr>
              <w:jc w:val="center"/>
              <w:rPr>
                <w:b/>
                <w:bCs/>
              </w:rPr>
            </w:pPr>
            <w:r w:rsidRPr="007D3A0B">
              <w:rPr>
                <w:b/>
                <w:bCs/>
              </w:rPr>
              <w:t> </w:t>
            </w:r>
          </w:p>
        </w:tc>
        <w:tc>
          <w:tcPr>
            <w:tcW w:w="909" w:type="pct"/>
            <w:tcBorders>
              <w:top w:val="nil"/>
              <w:left w:val="nil"/>
              <w:bottom w:val="single" w:sz="12" w:space="0" w:color="000000"/>
              <w:right w:val="nil"/>
            </w:tcBorders>
            <w:vAlign w:val="center"/>
          </w:tcPr>
          <w:p w14:paraId="1EF9B483" w14:textId="77777777" w:rsidR="003E4C0A" w:rsidRPr="007D3A0B" w:rsidRDefault="003E4C0A" w:rsidP="00075FBF">
            <w:pPr>
              <w:jc w:val="right"/>
              <w:rPr>
                <w:b/>
                <w:bCs/>
              </w:rPr>
            </w:pPr>
            <w:r w:rsidRPr="007D3A0B">
              <w:rPr>
                <w:b/>
                <w:bCs/>
              </w:rPr>
              <w:t>£</w:t>
            </w:r>
            <w:r>
              <w:rPr>
                <w:b/>
                <w:bCs/>
              </w:rPr>
              <w:t>’000</w:t>
            </w:r>
          </w:p>
        </w:tc>
        <w:tc>
          <w:tcPr>
            <w:tcW w:w="985" w:type="pct"/>
            <w:tcBorders>
              <w:top w:val="nil"/>
              <w:left w:val="nil"/>
              <w:bottom w:val="single" w:sz="12" w:space="0" w:color="000000"/>
              <w:right w:val="nil"/>
            </w:tcBorders>
            <w:shd w:val="clear" w:color="auto" w:fill="auto"/>
            <w:vAlign w:val="center"/>
            <w:hideMark/>
          </w:tcPr>
          <w:p w14:paraId="3E3B665C" w14:textId="77777777" w:rsidR="003E4C0A" w:rsidRPr="007D3A0B" w:rsidRDefault="003E4C0A" w:rsidP="00075FBF">
            <w:pPr>
              <w:jc w:val="right"/>
              <w:rPr>
                <w:b/>
                <w:bCs/>
              </w:rPr>
            </w:pPr>
            <w:r w:rsidRPr="007D3A0B">
              <w:rPr>
                <w:b/>
                <w:bCs/>
              </w:rPr>
              <w:t>£</w:t>
            </w:r>
            <w:r>
              <w:rPr>
                <w:b/>
                <w:bCs/>
              </w:rPr>
              <w:t>’000</w:t>
            </w:r>
          </w:p>
        </w:tc>
      </w:tr>
      <w:tr w:rsidR="003E4C0A" w:rsidRPr="007D3A0B" w14:paraId="38DACAE1" w14:textId="77777777" w:rsidTr="003E4C0A">
        <w:trPr>
          <w:trHeight w:val="395"/>
        </w:trPr>
        <w:tc>
          <w:tcPr>
            <w:tcW w:w="2879" w:type="pct"/>
            <w:tcBorders>
              <w:top w:val="nil"/>
              <w:left w:val="nil"/>
              <w:bottom w:val="nil"/>
              <w:right w:val="nil"/>
            </w:tcBorders>
            <w:shd w:val="clear" w:color="auto" w:fill="auto"/>
            <w:vAlign w:val="center"/>
            <w:hideMark/>
          </w:tcPr>
          <w:p w14:paraId="3920A66D" w14:textId="77777777" w:rsidR="003E4C0A" w:rsidRPr="007D3A0B" w:rsidRDefault="003E4C0A" w:rsidP="00075FBF">
            <w:pPr>
              <w:rPr>
                <w:b/>
                <w:bCs/>
              </w:rPr>
            </w:pPr>
            <w:r w:rsidRPr="007D3A0B">
              <w:rPr>
                <w:b/>
                <w:bCs/>
              </w:rPr>
              <w:t>Cash flows from operating activities</w:t>
            </w:r>
          </w:p>
        </w:tc>
        <w:tc>
          <w:tcPr>
            <w:tcW w:w="227" w:type="pct"/>
            <w:tcBorders>
              <w:top w:val="nil"/>
              <w:left w:val="nil"/>
              <w:bottom w:val="nil"/>
              <w:right w:val="nil"/>
            </w:tcBorders>
            <w:shd w:val="clear" w:color="auto" w:fill="auto"/>
            <w:vAlign w:val="center"/>
            <w:hideMark/>
          </w:tcPr>
          <w:p w14:paraId="349D774B" w14:textId="77777777" w:rsidR="003E4C0A" w:rsidRPr="007D3A0B" w:rsidRDefault="003E4C0A" w:rsidP="00075FBF">
            <w:pPr>
              <w:rPr>
                <w:b/>
                <w:bCs/>
              </w:rPr>
            </w:pPr>
          </w:p>
        </w:tc>
        <w:tc>
          <w:tcPr>
            <w:tcW w:w="909" w:type="pct"/>
            <w:tcBorders>
              <w:top w:val="nil"/>
              <w:left w:val="nil"/>
              <w:bottom w:val="nil"/>
              <w:right w:val="nil"/>
            </w:tcBorders>
            <w:vAlign w:val="center"/>
          </w:tcPr>
          <w:p w14:paraId="17F64DF8" w14:textId="77777777" w:rsidR="003E4C0A" w:rsidRPr="007D3A0B" w:rsidRDefault="003E4C0A" w:rsidP="00075FBF">
            <w:pPr>
              <w:jc w:val="center"/>
              <w:rPr>
                <w:sz w:val="20"/>
                <w:szCs w:val="20"/>
              </w:rPr>
            </w:pPr>
          </w:p>
        </w:tc>
        <w:tc>
          <w:tcPr>
            <w:tcW w:w="985" w:type="pct"/>
            <w:tcBorders>
              <w:top w:val="nil"/>
              <w:left w:val="nil"/>
              <w:bottom w:val="nil"/>
              <w:right w:val="nil"/>
            </w:tcBorders>
            <w:shd w:val="clear" w:color="auto" w:fill="auto"/>
            <w:vAlign w:val="center"/>
            <w:hideMark/>
          </w:tcPr>
          <w:p w14:paraId="7C1E7E28" w14:textId="77777777" w:rsidR="003E4C0A" w:rsidRPr="007D3A0B" w:rsidRDefault="003E4C0A" w:rsidP="00075FBF">
            <w:pPr>
              <w:rPr>
                <w:sz w:val="20"/>
                <w:szCs w:val="20"/>
              </w:rPr>
            </w:pPr>
          </w:p>
        </w:tc>
      </w:tr>
      <w:tr w:rsidR="003E4C0A" w:rsidRPr="007D3A0B" w14:paraId="33C0CE2E" w14:textId="77777777" w:rsidTr="003E4C0A">
        <w:trPr>
          <w:trHeight w:val="395"/>
        </w:trPr>
        <w:tc>
          <w:tcPr>
            <w:tcW w:w="2879" w:type="pct"/>
            <w:tcBorders>
              <w:top w:val="nil"/>
              <w:left w:val="nil"/>
              <w:bottom w:val="single" w:sz="8" w:space="0" w:color="000000"/>
              <w:right w:val="nil"/>
            </w:tcBorders>
            <w:shd w:val="clear" w:color="auto" w:fill="auto"/>
            <w:vAlign w:val="center"/>
            <w:hideMark/>
          </w:tcPr>
          <w:p w14:paraId="3CA5E770" w14:textId="77777777" w:rsidR="003E4C0A" w:rsidRPr="007D3A0B" w:rsidRDefault="003E4C0A" w:rsidP="00D8770B">
            <w:r w:rsidRPr="007D3A0B">
              <w:t>Cash used by operations</w:t>
            </w:r>
          </w:p>
        </w:tc>
        <w:tc>
          <w:tcPr>
            <w:tcW w:w="227" w:type="pct"/>
            <w:tcBorders>
              <w:top w:val="nil"/>
              <w:left w:val="nil"/>
              <w:bottom w:val="single" w:sz="8" w:space="0" w:color="000000"/>
              <w:right w:val="nil"/>
            </w:tcBorders>
            <w:shd w:val="clear" w:color="auto" w:fill="auto"/>
            <w:vAlign w:val="center"/>
            <w:hideMark/>
          </w:tcPr>
          <w:p w14:paraId="43AC9B63" w14:textId="77777777" w:rsidR="003E4C0A" w:rsidRPr="007D3A0B" w:rsidRDefault="003E4C0A" w:rsidP="00D8770B">
            <w:pPr>
              <w:jc w:val="center"/>
              <w:rPr>
                <w:b/>
                <w:bCs/>
              </w:rPr>
            </w:pPr>
            <w:r w:rsidRPr="007D3A0B">
              <w:rPr>
                <w:b/>
                <w:bCs/>
              </w:rPr>
              <w:t> </w:t>
            </w:r>
          </w:p>
        </w:tc>
        <w:tc>
          <w:tcPr>
            <w:tcW w:w="909" w:type="pct"/>
            <w:tcBorders>
              <w:top w:val="nil"/>
              <w:left w:val="nil"/>
              <w:bottom w:val="single" w:sz="8" w:space="0" w:color="000000"/>
              <w:right w:val="nil"/>
            </w:tcBorders>
            <w:vAlign w:val="center"/>
          </w:tcPr>
          <w:p w14:paraId="4FD20DCA" w14:textId="28486614" w:rsidR="003E4C0A" w:rsidRPr="007D3A0B" w:rsidRDefault="003E4C0A" w:rsidP="00D8770B">
            <w:pPr>
              <w:jc w:val="right"/>
            </w:pPr>
            <w:r w:rsidRPr="00890057">
              <w:t>(</w:t>
            </w:r>
            <w:r w:rsidR="00BA3DEC">
              <w:t>565</w:t>
            </w:r>
            <w:r w:rsidRPr="00890057">
              <w:t>)</w:t>
            </w:r>
          </w:p>
        </w:tc>
        <w:tc>
          <w:tcPr>
            <w:tcW w:w="985" w:type="pct"/>
            <w:tcBorders>
              <w:top w:val="nil"/>
              <w:left w:val="nil"/>
              <w:bottom w:val="single" w:sz="8" w:space="0" w:color="000000"/>
              <w:right w:val="nil"/>
            </w:tcBorders>
            <w:shd w:val="clear" w:color="auto" w:fill="auto"/>
            <w:vAlign w:val="center"/>
          </w:tcPr>
          <w:p w14:paraId="53886CBF" w14:textId="77777777" w:rsidR="003E4C0A" w:rsidRPr="007D3A0B" w:rsidRDefault="003E4C0A" w:rsidP="00D8770B">
            <w:pPr>
              <w:jc w:val="right"/>
            </w:pPr>
            <w:r>
              <w:t>(2,063)</w:t>
            </w:r>
          </w:p>
        </w:tc>
      </w:tr>
      <w:tr w:rsidR="003E4C0A" w:rsidRPr="007D3A0B" w14:paraId="4603CE58" w14:textId="77777777" w:rsidTr="003E4C0A">
        <w:trPr>
          <w:trHeight w:val="395"/>
        </w:trPr>
        <w:tc>
          <w:tcPr>
            <w:tcW w:w="2879" w:type="pct"/>
            <w:tcBorders>
              <w:top w:val="nil"/>
              <w:left w:val="nil"/>
              <w:bottom w:val="single" w:sz="8" w:space="0" w:color="000000"/>
              <w:right w:val="nil"/>
            </w:tcBorders>
            <w:shd w:val="clear" w:color="auto" w:fill="auto"/>
            <w:vAlign w:val="center"/>
            <w:hideMark/>
          </w:tcPr>
          <w:p w14:paraId="06B278AE" w14:textId="77777777" w:rsidR="003E4C0A" w:rsidRPr="007D3A0B" w:rsidRDefault="003E4C0A" w:rsidP="00D8770B">
            <w:pPr>
              <w:rPr>
                <w:b/>
                <w:bCs/>
              </w:rPr>
            </w:pPr>
            <w:r w:rsidRPr="007D3A0B">
              <w:rPr>
                <w:b/>
                <w:bCs/>
              </w:rPr>
              <w:t>Net cash flow used in operating activities</w:t>
            </w:r>
          </w:p>
        </w:tc>
        <w:tc>
          <w:tcPr>
            <w:tcW w:w="227" w:type="pct"/>
            <w:tcBorders>
              <w:top w:val="nil"/>
              <w:left w:val="nil"/>
              <w:bottom w:val="single" w:sz="8" w:space="0" w:color="000000"/>
              <w:right w:val="nil"/>
            </w:tcBorders>
            <w:shd w:val="clear" w:color="auto" w:fill="auto"/>
            <w:vAlign w:val="center"/>
            <w:hideMark/>
          </w:tcPr>
          <w:p w14:paraId="07CC6702" w14:textId="77777777" w:rsidR="003E4C0A" w:rsidRPr="007D3A0B" w:rsidRDefault="003E4C0A" w:rsidP="00D8770B">
            <w:pPr>
              <w:jc w:val="center"/>
              <w:rPr>
                <w:b/>
                <w:bCs/>
              </w:rPr>
            </w:pPr>
            <w:r w:rsidRPr="007D3A0B">
              <w:rPr>
                <w:b/>
                <w:bCs/>
              </w:rPr>
              <w:t> </w:t>
            </w:r>
          </w:p>
        </w:tc>
        <w:tc>
          <w:tcPr>
            <w:tcW w:w="909" w:type="pct"/>
            <w:tcBorders>
              <w:top w:val="nil"/>
              <w:left w:val="nil"/>
              <w:bottom w:val="single" w:sz="8" w:space="0" w:color="000000"/>
              <w:right w:val="nil"/>
            </w:tcBorders>
            <w:vAlign w:val="center"/>
          </w:tcPr>
          <w:p w14:paraId="47986941" w14:textId="48E74FEE" w:rsidR="003E4C0A" w:rsidRPr="007D3A0B" w:rsidRDefault="003E4C0A" w:rsidP="00D8770B">
            <w:pPr>
              <w:jc w:val="right"/>
              <w:rPr>
                <w:b/>
                <w:bCs/>
              </w:rPr>
            </w:pPr>
            <w:r w:rsidRPr="00890057">
              <w:rPr>
                <w:b/>
                <w:bCs/>
              </w:rPr>
              <w:t>(</w:t>
            </w:r>
            <w:r w:rsidR="00BA3DEC">
              <w:rPr>
                <w:b/>
                <w:bCs/>
              </w:rPr>
              <w:t>565</w:t>
            </w:r>
            <w:r w:rsidRPr="00890057">
              <w:rPr>
                <w:b/>
                <w:bCs/>
              </w:rPr>
              <w:t>)</w:t>
            </w:r>
          </w:p>
        </w:tc>
        <w:tc>
          <w:tcPr>
            <w:tcW w:w="985" w:type="pct"/>
            <w:tcBorders>
              <w:top w:val="nil"/>
              <w:left w:val="nil"/>
              <w:bottom w:val="single" w:sz="8" w:space="0" w:color="000000"/>
              <w:right w:val="nil"/>
            </w:tcBorders>
            <w:shd w:val="clear" w:color="auto" w:fill="auto"/>
            <w:vAlign w:val="center"/>
          </w:tcPr>
          <w:p w14:paraId="604B5B8B" w14:textId="77777777" w:rsidR="003E4C0A" w:rsidRPr="007D3A0B" w:rsidRDefault="003E4C0A" w:rsidP="00D8770B">
            <w:pPr>
              <w:jc w:val="right"/>
              <w:rPr>
                <w:b/>
                <w:bCs/>
              </w:rPr>
            </w:pPr>
            <w:r>
              <w:rPr>
                <w:b/>
                <w:bCs/>
              </w:rPr>
              <w:t>(2,063)</w:t>
            </w:r>
          </w:p>
        </w:tc>
      </w:tr>
      <w:tr w:rsidR="003E4C0A" w:rsidRPr="007D3A0B" w14:paraId="151AC8B5" w14:textId="77777777" w:rsidTr="003E4C0A">
        <w:trPr>
          <w:trHeight w:val="395"/>
        </w:trPr>
        <w:tc>
          <w:tcPr>
            <w:tcW w:w="2879" w:type="pct"/>
            <w:tcBorders>
              <w:top w:val="nil"/>
              <w:left w:val="nil"/>
              <w:right w:val="nil"/>
            </w:tcBorders>
            <w:shd w:val="clear" w:color="auto" w:fill="auto"/>
            <w:vAlign w:val="center"/>
            <w:hideMark/>
          </w:tcPr>
          <w:p w14:paraId="1B0FE08F" w14:textId="77777777" w:rsidR="003E4C0A" w:rsidRPr="007D3A0B" w:rsidRDefault="003E4C0A" w:rsidP="00D8770B">
            <w:pPr>
              <w:jc w:val="right"/>
              <w:rPr>
                <w:b/>
                <w:bCs/>
              </w:rPr>
            </w:pPr>
          </w:p>
        </w:tc>
        <w:tc>
          <w:tcPr>
            <w:tcW w:w="227" w:type="pct"/>
            <w:vMerge w:val="restart"/>
            <w:tcBorders>
              <w:top w:val="nil"/>
              <w:left w:val="nil"/>
              <w:right w:val="nil"/>
            </w:tcBorders>
            <w:shd w:val="clear" w:color="auto" w:fill="auto"/>
            <w:vAlign w:val="center"/>
            <w:hideMark/>
          </w:tcPr>
          <w:p w14:paraId="4B269894" w14:textId="77777777" w:rsidR="003E4C0A" w:rsidRPr="007D3A0B" w:rsidRDefault="003E4C0A" w:rsidP="00D8770B">
            <w:pPr>
              <w:jc w:val="center"/>
              <w:rPr>
                <w:b/>
                <w:bCs/>
              </w:rPr>
            </w:pPr>
            <w:r w:rsidRPr="007D3A0B">
              <w:rPr>
                <w:b/>
                <w:bCs/>
              </w:rPr>
              <w:t> </w:t>
            </w:r>
          </w:p>
        </w:tc>
        <w:tc>
          <w:tcPr>
            <w:tcW w:w="909" w:type="pct"/>
            <w:tcBorders>
              <w:top w:val="nil"/>
              <w:left w:val="nil"/>
              <w:right w:val="nil"/>
            </w:tcBorders>
            <w:vAlign w:val="center"/>
          </w:tcPr>
          <w:p w14:paraId="22B83C4F" w14:textId="77777777" w:rsidR="003E4C0A" w:rsidRPr="007D3A0B" w:rsidRDefault="003E4C0A" w:rsidP="00D8770B"/>
        </w:tc>
        <w:tc>
          <w:tcPr>
            <w:tcW w:w="985" w:type="pct"/>
            <w:vMerge w:val="restart"/>
            <w:tcBorders>
              <w:top w:val="nil"/>
              <w:left w:val="nil"/>
              <w:right w:val="nil"/>
            </w:tcBorders>
            <w:shd w:val="clear" w:color="auto" w:fill="auto"/>
            <w:vAlign w:val="center"/>
          </w:tcPr>
          <w:p w14:paraId="26FEB963" w14:textId="77777777" w:rsidR="003E4C0A" w:rsidRPr="007D3A0B" w:rsidRDefault="003E4C0A" w:rsidP="00D8770B"/>
        </w:tc>
      </w:tr>
      <w:tr w:rsidR="003E4C0A" w:rsidRPr="007D3A0B" w14:paraId="3F41B055" w14:textId="77777777" w:rsidTr="003E4C0A">
        <w:trPr>
          <w:trHeight w:val="395"/>
        </w:trPr>
        <w:tc>
          <w:tcPr>
            <w:tcW w:w="2879" w:type="pct"/>
            <w:tcBorders>
              <w:top w:val="nil"/>
              <w:left w:val="nil"/>
              <w:bottom w:val="single" w:sz="4" w:space="0" w:color="auto"/>
              <w:right w:val="nil"/>
            </w:tcBorders>
            <w:shd w:val="clear" w:color="auto" w:fill="auto"/>
            <w:vAlign w:val="center"/>
            <w:hideMark/>
          </w:tcPr>
          <w:p w14:paraId="3F929501" w14:textId="77777777" w:rsidR="003E4C0A" w:rsidRPr="007D3A0B" w:rsidRDefault="003E4C0A" w:rsidP="00D8770B">
            <w:pPr>
              <w:rPr>
                <w:b/>
                <w:bCs/>
              </w:rPr>
            </w:pPr>
            <w:r w:rsidRPr="007D3A0B">
              <w:rPr>
                <w:b/>
                <w:bCs/>
              </w:rPr>
              <w:t>Cash flows from investing activities</w:t>
            </w:r>
          </w:p>
        </w:tc>
        <w:tc>
          <w:tcPr>
            <w:tcW w:w="227" w:type="pct"/>
            <w:vMerge/>
            <w:tcBorders>
              <w:top w:val="nil"/>
              <w:left w:val="nil"/>
              <w:bottom w:val="single" w:sz="4" w:space="0" w:color="auto"/>
              <w:right w:val="nil"/>
            </w:tcBorders>
            <w:vAlign w:val="center"/>
            <w:hideMark/>
          </w:tcPr>
          <w:p w14:paraId="756B2B9D" w14:textId="77777777" w:rsidR="003E4C0A" w:rsidRPr="007D3A0B" w:rsidRDefault="003E4C0A" w:rsidP="00D8770B">
            <w:pPr>
              <w:rPr>
                <w:b/>
                <w:bCs/>
              </w:rPr>
            </w:pPr>
          </w:p>
        </w:tc>
        <w:tc>
          <w:tcPr>
            <w:tcW w:w="909" w:type="pct"/>
            <w:tcBorders>
              <w:top w:val="nil"/>
              <w:left w:val="nil"/>
              <w:bottom w:val="single" w:sz="4" w:space="0" w:color="auto"/>
              <w:right w:val="nil"/>
            </w:tcBorders>
            <w:vAlign w:val="center"/>
          </w:tcPr>
          <w:p w14:paraId="2B752796" w14:textId="77777777" w:rsidR="003E4C0A" w:rsidRPr="007D3A0B" w:rsidRDefault="003E4C0A" w:rsidP="00D8770B"/>
        </w:tc>
        <w:tc>
          <w:tcPr>
            <w:tcW w:w="985" w:type="pct"/>
            <w:vMerge/>
            <w:tcBorders>
              <w:top w:val="nil"/>
              <w:left w:val="nil"/>
              <w:bottom w:val="single" w:sz="4" w:space="0" w:color="auto"/>
              <w:right w:val="nil"/>
            </w:tcBorders>
            <w:vAlign w:val="center"/>
          </w:tcPr>
          <w:p w14:paraId="6B83EDAB" w14:textId="77777777" w:rsidR="003E4C0A" w:rsidRPr="007D3A0B" w:rsidRDefault="003E4C0A" w:rsidP="00D8770B"/>
        </w:tc>
      </w:tr>
      <w:tr w:rsidR="003E4C0A" w:rsidRPr="007D3A0B" w14:paraId="429CC1B9" w14:textId="77777777" w:rsidTr="003E4C0A">
        <w:trPr>
          <w:trHeight w:val="395"/>
        </w:trPr>
        <w:tc>
          <w:tcPr>
            <w:tcW w:w="2879" w:type="pct"/>
            <w:tcBorders>
              <w:top w:val="single" w:sz="4" w:space="0" w:color="auto"/>
              <w:left w:val="nil"/>
              <w:bottom w:val="nil"/>
              <w:right w:val="nil"/>
            </w:tcBorders>
            <w:shd w:val="clear" w:color="auto" w:fill="auto"/>
            <w:vAlign w:val="center"/>
            <w:hideMark/>
          </w:tcPr>
          <w:p w14:paraId="5616866B" w14:textId="77777777" w:rsidR="003E4C0A" w:rsidRPr="007D3A0B" w:rsidRDefault="003E4C0A" w:rsidP="00D8770B">
            <w:r w:rsidRPr="007D3A0B">
              <w:t>Purchase of intangible assets</w:t>
            </w:r>
          </w:p>
        </w:tc>
        <w:tc>
          <w:tcPr>
            <w:tcW w:w="227" w:type="pct"/>
            <w:tcBorders>
              <w:top w:val="single" w:sz="4" w:space="0" w:color="auto"/>
              <w:left w:val="nil"/>
              <w:bottom w:val="nil"/>
              <w:right w:val="nil"/>
            </w:tcBorders>
            <w:shd w:val="clear" w:color="auto" w:fill="auto"/>
            <w:vAlign w:val="center"/>
            <w:hideMark/>
          </w:tcPr>
          <w:p w14:paraId="392F9309" w14:textId="77777777" w:rsidR="003E4C0A" w:rsidRPr="007D3A0B" w:rsidRDefault="003E4C0A" w:rsidP="00D8770B"/>
        </w:tc>
        <w:tc>
          <w:tcPr>
            <w:tcW w:w="909" w:type="pct"/>
            <w:tcBorders>
              <w:top w:val="single" w:sz="4" w:space="0" w:color="auto"/>
              <w:left w:val="nil"/>
              <w:bottom w:val="nil"/>
              <w:right w:val="nil"/>
            </w:tcBorders>
            <w:vAlign w:val="center"/>
          </w:tcPr>
          <w:p w14:paraId="712883C7" w14:textId="77777777" w:rsidR="003E4C0A" w:rsidRPr="007D3A0B" w:rsidRDefault="003E4C0A" w:rsidP="00D8770B">
            <w:pPr>
              <w:jc w:val="right"/>
            </w:pPr>
            <w:r>
              <w:t>-</w:t>
            </w:r>
          </w:p>
        </w:tc>
        <w:tc>
          <w:tcPr>
            <w:tcW w:w="985" w:type="pct"/>
            <w:tcBorders>
              <w:top w:val="single" w:sz="4" w:space="0" w:color="auto"/>
              <w:left w:val="nil"/>
              <w:bottom w:val="nil"/>
              <w:right w:val="nil"/>
            </w:tcBorders>
            <w:shd w:val="clear" w:color="auto" w:fill="auto"/>
            <w:vAlign w:val="center"/>
          </w:tcPr>
          <w:p w14:paraId="5168F571" w14:textId="77777777" w:rsidR="003E4C0A" w:rsidRPr="007D3A0B" w:rsidRDefault="003E4C0A" w:rsidP="00D8770B">
            <w:pPr>
              <w:jc w:val="right"/>
            </w:pPr>
            <w:r>
              <w:t>-</w:t>
            </w:r>
          </w:p>
        </w:tc>
      </w:tr>
      <w:tr w:rsidR="003E4C0A" w:rsidRPr="007D3A0B" w14:paraId="3CCA2EAD" w14:textId="77777777" w:rsidTr="003E4C0A">
        <w:trPr>
          <w:trHeight w:val="395"/>
        </w:trPr>
        <w:tc>
          <w:tcPr>
            <w:tcW w:w="2879" w:type="pct"/>
            <w:tcBorders>
              <w:top w:val="nil"/>
              <w:left w:val="nil"/>
              <w:bottom w:val="nil"/>
              <w:right w:val="nil"/>
            </w:tcBorders>
            <w:shd w:val="clear" w:color="auto" w:fill="auto"/>
            <w:vAlign w:val="center"/>
          </w:tcPr>
          <w:p w14:paraId="12C0AF99" w14:textId="77777777" w:rsidR="003E4C0A" w:rsidRPr="007D3A0B" w:rsidRDefault="003E4C0A" w:rsidP="00D8770B">
            <w:r>
              <w:t>Purchase of property, plant and equipment</w:t>
            </w:r>
          </w:p>
        </w:tc>
        <w:tc>
          <w:tcPr>
            <w:tcW w:w="227" w:type="pct"/>
            <w:tcBorders>
              <w:top w:val="nil"/>
              <w:left w:val="nil"/>
              <w:bottom w:val="nil"/>
              <w:right w:val="nil"/>
            </w:tcBorders>
            <w:shd w:val="clear" w:color="auto" w:fill="auto"/>
            <w:vAlign w:val="center"/>
          </w:tcPr>
          <w:p w14:paraId="051D4ED0" w14:textId="77777777" w:rsidR="003E4C0A" w:rsidRPr="007D3A0B" w:rsidRDefault="003E4C0A" w:rsidP="00D8770B"/>
        </w:tc>
        <w:tc>
          <w:tcPr>
            <w:tcW w:w="909" w:type="pct"/>
            <w:tcBorders>
              <w:top w:val="nil"/>
              <w:left w:val="nil"/>
              <w:bottom w:val="nil"/>
              <w:right w:val="nil"/>
            </w:tcBorders>
            <w:vAlign w:val="center"/>
          </w:tcPr>
          <w:p w14:paraId="506526F3" w14:textId="2AD34EF9" w:rsidR="003E4C0A" w:rsidRPr="007D3A0B" w:rsidRDefault="003E4C0A" w:rsidP="00D8770B">
            <w:pPr>
              <w:jc w:val="right"/>
            </w:pPr>
            <w:r>
              <w:t>(47)</w:t>
            </w:r>
          </w:p>
        </w:tc>
        <w:tc>
          <w:tcPr>
            <w:tcW w:w="985" w:type="pct"/>
            <w:tcBorders>
              <w:top w:val="nil"/>
              <w:left w:val="nil"/>
              <w:bottom w:val="nil"/>
              <w:right w:val="nil"/>
            </w:tcBorders>
            <w:shd w:val="clear" w:color="auto" w:fill="auto"/>
            <w:vAlign w:val="center"/>
          </w:tcPr>
          <w:p w14:paraId="7633D047" w14:textId="77777777" w:rsidR="003E4C0A" w:rsidRPr="007D3A0B" w:rsidRDefault="003E4C0A" w:rsidP="00D8770B">
            <w:pPr>
              <w:jc w:val="right"/>
            </w:pPr>
            <w:r>
              <w:t>(205)</w:t>
            </w:r>
          </w:p>
        </w:tc>
      </w:tr>
      <w:tr w:rsidR="003E4C0A" w:rsidRPr="007D3A0B" w14:paraId="7A8B012E" w14:textId="77777777" w:rsidTr="003E4C0A">
        <w:trPr>
          <w:trHeight w:val="395"/>
        </w:trPr>
        <w:tc>
          <w:tcPr>
            <w:tcW w:w="2879" w:type="pct"/>
            <w:tcBorders>
              <w:top w:val="nil"/>
              <w:left w:val="nil"/>
              <w:bottom w:val="single" w:sz="8" w:space="0" w:color="000000"/>
              <w:right w:val="nil"/>
            </w:tcBorders>
            <w:shd w:val="clear" w:color="auto" w:fill="auto"/>
            <w:vAlign w:val="center"/>
            <w:hideMark/>
          </w:tcPr>
          <w:p w14:paraId="336D787E" w14:textId="77777777" w:rsidR="003E4C0A" w:rsidRPr="007D3A0B" w:rsidRDefault="003E4C0A" w:rsidP="00D8770B">
            <w:r w:rsidRPr="007D3A0B">
              <w:t>Interest accrued</w:t>
            </w:r>
          </w:p>
        </w:tc>
        <w:tc>
          <w:tcPr>
            <w:tcW w:w="227" w:type="pct"/>
            <w:tcBorders>
              <w:top w:val="nil"/>
              <w:left w:val="nil"/>
              <w:bottom w:val="single" w:sz="8" w:space="0" w:color="000000"/>
              <w:right w:val="nil"/>
            </w:tcBorders>
            <w:shd w:val="clear" w:color="auto" w:fill="auto"/>
            <w:vAlign w:val="center"/>
            <w:hideMark/>
          </w:tcPr>
          <w:p w14:paraId="09B444DB" w14:textId="77777777" w:rsidR="003E4C0A" w:rsidRPr="007D3A0B" w:rsidRDefault="003E4C0A" w:rsidP="00D8770B">
            <w:pPr>
              <w:jc w:val="center"/>
              <w:rPr>
                <w:b/>
                <w:bCs/>
              </w:rPr>
            </w:pPr>
            <w:r w:rsidRPr="007D3A0B">
              <w:rPr>
                <w:b/>
                <w:bCs/>
              </w:rPr>
              <w:t> </w:t>
            </w:r>
          </w:p>
        </w:tc>
        <w:tc>
          <w:tcPr>
            <w:tcW w:w="909" w:type="pct"/>
            <w:tcBorders>
              <w:top w:val="nil"/>
              <w:left w:val="nil"/>
              <w:bottom w:val="single" w:sz="8" w:space="0" w:color="000000"/>
              <w:right w:val="nil"/>
            </w:tcBorders>
            <w:vAlign w:val="center"/>
          </w:tcPr>
          <w:p w14:paraId="63C2392F" w14:textId="77777777" w:rsidR="003E4C0A" w:rsidRPr="007D3A0B" w:rsidRDefault="003E4C0A" w:rsidP="00D8770B">
            <w:pPr>
              <w:jc w:val="right"/>
            </w:pPr>
            <w:r>
              <w:t>-</w:t>
            </w:r>
          </w:p>
        </w:tc>
        <w:tc>
          <w:tcPr>
            <w:tcW w:w="985" w:type="pct"/>
            <w:tcBorders>
              <w:top w:val="nil"/>
              <w:left w:val="nil"/>
              <w:bottom w:val="single" w:sz="8" w:space="0" w:color="000000"/>
              <w:right w:val="nil"/>
            </w:tcBorders>
            <w:shd w:val="clear" w:color="auto" w:fill="auto"/>
            <w:vAlign w:val="center"/>
          </w:tcPr>
          <w:p w14:paraId="24B2CDB9" w14:textId="77777777" w:rsidR="003E4C0A" w:rsidRPr="007D3A0B" w:rsidRDefault="003E4C0A" w:rsidP="00D8770B">
            <w:pPr>
              <w:jc w:val="right"/>
            </w:pPr>
            <w:r>
              <w:t>-</w:t>
            </w:r>
          </w:p>
        </w:tc>
      </w:tr>
      <w:tr w:rsidR="003E4C0A" w:rsidRPr="007D3A0B" w14:paraId="3F4FD656" w14:textId="77777777" w:rsidTr="003E4C0A">
        <w:trPr>
          <w:trHeight w:val="395"/>
        </w:trPr>
        <w:tc>
          <w:tcPr>
            <w:tcW w:w="2879" w:type="pct"/>
            <w:tcBorders>
              <w:top w:val="nil"/>
              <w:left w:val="nil"/>
              <w:bottom w:val="single" w:sz="8" w:space="0" w:color="000000"/>
              <w:right w:val="nil"/>
            </w:tcBorders>
            <w:shd w:val="clear" w:color="auto" w:fill="auto"/>
            <w:vAlign w:val="center"/>
            <w:hideMark/>
          </w:tcPr>
          <w:p w14:paraId="41B92CC9" w14:textId="77777777" w:rsidR="003E4C0A" w:rsidRPr="007D3A0B" w:rsidRDefault="003E4C0A" w:rsidP="00D8770B">
            <w:pPr>
              <w:rPr>
                <w:b/>
                <w:bCs/>
              </w:rPr>
            </w:pPr>
            <w:r w:rsidRPr="007D3A0B">
              <w:rPr>
                <w:b/>
                <w:bCs/>
              </w:rPr>
              <w:t>Net cash used in investing activities</w:t>
            </w:r>
          </w:p>
        </w:tc>
        <w:tc>
          <w:tcPr>
            <w:tcW w:w="227" w:type="pct"/>
            <w:tcBorders>
              <w:top w:val="nil"/>
              <w:left w:val="nil"/>
              <w:bottom w:val="single" w:sz="8" w:space="0" w:color="000000"/>
              <w:right w:val="nil"/>
            </w:tcBorders>
            <w:shd w:val="clear" w:color="auto" w:fill="auto"/>
            <w:vAlign w:val="center"/>
            <w:hideMark/>
          </w:tcPr>
          <w:p w14:paraId="77F7E439" w14:textId="77777777" w:rsidR="003E4C0A" w:rsidRPr="007D3A0B" w:rsidRDefault="003E4C0A" w:rsidP="00D8770B">
            <w:pPr>
              <w:jc w:val="center"/>
              <w:rPr>
                <w:b/>
                <w:bCs/>
              </w:rPr>
            </w:pPr>
            <w:r w:rsidRPr="007D3A0B">
              <w:rPr>
                <w:b/>
                <w:bCs/>
              </w:rPr>
              <w:t> </w:t>
            </w:r>
          </w:p>
        </w:tc>
        <w:tc>
          <w:tcPr>
            <w:tcW w:w="909" w:type="pct"/>
            <w:tcBorders>
              <w:top w:val="nil"/>
              <w:left w:val="nil"/>
              <w:bottom w:val="single" w:sz="8" w:space="0" w:color="000000"/>
              <w:right w:val="nil"/>
            </w:tcBorders>
            <w:vAlign w:val="center"/>
          </w:tcPr>
          <w:p w14:paraId="7BFB4A4D" w14:textId="3F5C88AE" w:rsidR="003E4C0A" w:rsidRPr="007D3A0B" w:rsidRDefault="003E4C0A" w:rsidP="00D8770B">
            <w:pPr>
              <w:jc w:val="right"/>
              <w:rPr>
                <w:b/>
                <w:bCs/>
              </w:rPr>
            </w:pPr>
            <w:r>
              <w:rPr>
                <w:b/>
                <w:bCs/>
              </w:rPr>
              <w:t>(47)</w:t>
            </w:r>
          </w:p>
        </w:tc>
        <w:tc>
          <w:tcPr>
            <w:tcW w:w="985" w:type="pct"/>
            <w:tcBorders>
              <w:top w:val="nil"/>
              <w:left w:val="nil"/>
              <w:bottom w:val="single" w:sz="8" w:space="0" w:color="000000"/>
              <w:right w:val="nil"/>
            </w:tcBorders>
            <w:shd w:val="clear" w:color="auto" w:fill="auto"/>
            <w:vAlign w:val="center"/>
          </w:tcPr>
          <w:p w14:paraId="2A7756F6" w14:textId="77777777" w:rsidR="003E4C0A" w:rsidRPr="007D3A0B" w:rsidRDefault="003E4C0A" w:rsidP="00D8770B">
            <w:pPr>
              <w:jc w:val="right"/>
              <w:rPr>
                <w:b/>
                <w:bCs/>
              </w:rPr>
            </w:pPr>
            <w:r>
              <w:rPr>
                <w:b/>
                <w:bCs/>
              </w:rPr>
              <w:t>(205)</w:t>
            </w:r>
          </w:p>
        </w:tc>
      </w:tr>
      <w:tr w:rsidR="003E4C0A" w:rsidRPr="007D3A0B" w14:paraId="604D1AFC" w14:textId="77777777" w:rsidTr="003E4C0A">
        <w:trPr>
          <w:trHeight w:val="395"/>
        </w:trPr>
        <w:tc>
          <w:tcPr>
            <w:tcW w:w="2879" w:type="pct"/>
            <w:tcBorders>
              <w:top w:val="nil"/>
              <w:left w:val="nil"/>
              <w:right w:val="nil"/>
            </w:tcBorders>
            <w:shd w:val="clear" w:color="auto" w:fill="auto"/>
            <w:vAlign w:val="center"/>
            <w:hideMark/>
          </w:tcPr>
          <w:p w14:paraId="74DE7935" w14:textId="77777777" w:rsidR="003E4C0A" w:rsidRPr="007D3A0B" w:rsidRDefault="003E4C0A" w:rsidP="00D8770B">
            <w:pPr>
              <w:jc w:val="right"/>
              <w:rPr>
                <w:b/>
                <w:bCs/>
              </w:rPr>
            </w:pPr>
          </w:p>
        </w:tc>
        <w:tc>
          <w:tcPr>
            <w:tcW w:w="227" w:type="pct"/>
            <w:vMerge w:val="restart"/>
            <w:tcBorders>
              <w:top w:val="nil"/>
              <w:left w:val="nil"/>
              <w:right w:val="nil"/>
            </w:tcBorders>
            <w:shd w:val="clear" w:color="auto" w:fill="auto"/>
            <w:vAlign w:val="center"/>
            <w:hideMark/>
          </w:tcPr>
          <w:p w14:paraId="15DCC989" w14:textId="77777777" w:rsidR="003E4C0A" w:rsidRPr="007D3A0B" w:rsidRDefault="003E4C0A" w:rsidP="00D8770B">
            <w:pPr>
              <w:jc w:val="center"/>
              <w:rPr>
                <w:b/>
                <w:bCs/>
              </w:rPr>
            </w:pPr>
            <w:r w:rsidRPr="007D3A0B">
              <w:rPr>
                <w:b/>
                <w:bCs/>
              </w:rPr>
              <w:t> </w:t>
            </w:r>
          </w:p>
        </w:tc>
        <w:tc>
          <w:tcPr>
            <w:tcW w:w="909" w:type="pct"/>
            <w:tcBorders>
              <w:top w:val="nil"/>
              <w:left w:val="nil"/>
              <w:right w:val="nil"/>
            </w:tcBorders>
            <w:vAlign w:val="center"/>
          </w:tcPr>
          <w:p w14:paraId="522C5A2B" w14:textId="77777777" w:rsidR="003E4C0A" w:rsidRPr="007D3A0B" w:rsidRDefault="003E4C0A" w:rsidP="00D8770B"/>
        </w:tc>
        <w:tc>
          <w:tcPr>
            <w:tcW w:w="985" w:type="pct"/>
            <w:vMerge w:val="restart"/>
            <w:tcBorders>
              <w:top w:val="nil"/>
              <w:left w:val="nil"/>
              <w:right w:val="nil"/>
            </w:tcBorders>
            <w:shd w:val="clear" w:color="auto" w:fill="auto"/>
            <w:vAlign w:val="center"/>
          </w:tcPr>
          <w:p w14:paraId="3B2D9F82" w14:textId="77777777" w:rsidR="003E4C0A" w:rsidRPr="007D3A0B" w:rsidRDefault="003E4C0A" w:rsidP="00D8770B"/>
        </w:tc>
      </w:tr>
      <w:tr w:rsidR="003E4C0A" w:rsidRPr="007D3A0B" w14:paraId="722CE1D1" w14:textId="77777777" w:rsidTr="003E4C0A">
        <w:trPr>
          <w:trHeight w:val="395"/>
        </w:trPr>
        <w:tc>
          <w:tcPr>
            <w:tcW w:w="2879" w:type="pct"/>
            <w:tcBorders>
              <w:top w:val="nil"/>
              <w:left w:val="nil"/>
              <w:bottom w:val="single" w:sz="8" w:space="0" w:color="auto"/>
              <w:right w:val="nil"/>
            </w:tcBorders>
            <w:shd w:val="clear" w:color="auto" w:fill="auto"/>
            <w:vAlign w:val="center"/>
            <w:hideMark/>
          </w:tcPr>
          <w:p w14:paraId="091130CF" w14:textId="77777777" w:rsidR="003E4C0A" w:rsidRPr="007D3A0B" w:rsidRDefault="003E4C0A" w:rsidP="00D8770B">
            <w:pPr>
              <w:rPr>
                <w:b/>
                <w:bCs/>
              </w:rPr>
            </w:pPr>
            <w:r w:rsidRPr="007D3A0B">
              <w:rPr>
                <w:b/>
                <w:bCs/>
              </w:rPr>
              <w:t>Cash flows from financing activities</w:t>
            </w:r>
          </w:p>
        </w:tc>
        <w:tc>
          <w:tcPr>
            <w:tcW w:w="227" w:type="pct"/>
            <w:vMerge/>
            <w:tcBorders>
              <w:top w:val="nil"/>
              <w:left w:val="nil"/>
              <w:bottom w:val="single" w:sz="8" w:space="0" w:color="auto"/>
              <w:right w:val="nil"/>
            </w:tcBorders>
            <w:vAlign w:val="center"/>
            <w:hideMark/>
          </w:tcPr>
          <w:p w14:paraId="738A20F4" w14:textId="77777777" w:rsidR="003E4C0A" w:rsidRPr="007D3A0B" w:rsidRDefault="003E4C0A" w:rsidP="00D8770B">
            <w:pPr>
              <w:rPr>
                <w:b/>
                <w:bCs/>
              </w:rPr>
            </w:pPr>
          </w:p>
        </w:tc>
        <w:tc>
          <w:tcPr>
            <w:tcW w:w="909" w:type="pct"/>
            <w:tcBorders>
              <w:top w:val="nil"/>
              <w:left w:val="nil"/>
              <w:bottom w:val="single" w:sz="8" w:space="0" w:color="auto"/>
              <w:right w:val="nil"/>
            </w:tcBorders>
            <w:vAlign w:val="center"/>
          </w:tcPr>
          <w:p w14:paraId="151F33D8" w14:textId="77777777" w:rsidR="003E4C0A" w:rsidRPr="007D3A0B" w:rsidRDefault="003E4C0A" w:rsidP="00D8770B"/>
        </w:tc>
        <w:tc>
          <w:tcPr>
            <w:tcW w:w="985" w:type="pct"/>
            <w:vMerge/>
            <w:tcBorders>
              <w:top w:val="nil"/>
              <w:left w:val="nil"/>
              <w:bottom w:val="single" w:sz="8" w:space="0" w:color="auto"/>
              <w:right w:val="nil"/>
            </w:tcBorders>
            <w:vAlign w:val="center"/>
          </w:tcPr>
          <w:p w14:paraId="568CC9F7" w14:textId="77777777" w:rsidR="003E4C0A" w:rsidRPr="007D3A0B" w:rsidRDefault="003E4C0A" w:rsidP="00D8770B"/>
        </w:tc>
      </w:tr>
      <w:tr w:rsidR="003E4C0A" w:rsidRPr="007D3A0B" w14:paraId="095646F6" w14:textId="77777777" w:rsidTr="003E4C0A">
        <w:trPr>
          <w:trHeight w:val="299"/>
        </w:trPr>
        <w:tc>
          <w:tcPr>
            <w:tcW w:w="2879" w:type="pct"/>
            <w:tcBorders>
              <w:top w:val="single" w:sz="8" w:space="0" w:color="auto"/>
              <w:left w:val="nil"/>
              <w:right w:val="nil"/>
            </w:tcBorders>
            <w:shd w:val="clear" w:color="auto" w:fill="auto"/>
            <w:vAlign w:val="center"/>
            <w:hideMark/>
          </w:tcPr>
          <w:p w14:paraId="3EE00E01" w14:textId="77777777" w:rsidR="003E4C0A" w:rsidRPr="007D3A0B" w:rsidRDefault="003E4C0A" w:rsidP="00D8770B">
            <w:r>
              <w:t>Proceeds from issues of shares - net</w:t>
            </w:r>
          </w:p>
        </w:tc>
        <w:tc>
          <w:tcPr>
            <w:tcW w:w="227" w:type="pct"/>
            <w:tcBorders>
              <w:top w:val="single" w:sz="8" w:space="0" w:color="auto"/>
              <w:left w:val="nil"/>
              <w:right w:val="nil"/>
            </w:tcBorders>
            <w:shd w:val="clear" w:color="auto" w:fill="auto"/>
            <w:vAlign w:val="center"/>
            <w:hideMark/>
          </w:tcPr>
          <w:p w14:paraId="3486189A" w14:textId="77777777" w:rsidR="003E4C0A" w:rsidRPr="007D3A0B" w:rsidRDefault="003E4C0A" w:rsidP="00D8770B">
            <w:pPr>
              <w:jc w:val="center"/>
              <w:rPr>
                <w:b/>
                <w:bCs/>
              </w:rPr>
            </w:pPr>
            <w:r w:rsidRPr="007D3A0B">
              <w:rPr>
                <w:b/>
                <w:bCs/>
              </w:rPr>
              <w:t> </w:t>
            </w:r>
          </w:p>
        </w:tc>
        <w:tc>
          <w:tcPr>
            <w:tcW w:w="909" w:type="pct"/>
            <w:tcBorders>
              <w:top w:val="single" w:sz="8" w:space="0" w:color="auto"/>
              <w:left w:val="nil"/>
              <w:right w:val="nil"/>
            </w:tcBorders>
            <w:vAlign w:val="center"/>
          </w:tcPr>
          <w:p w14:paraId="176A966D" w14:textId="659C5765" w:rsidR="003E4C0A" w:rsidRPr="007D3A0B" w:rsidRDefault="003E4C0A" w:rsidP="00D8770B">
            <w:pPr>
              <w:jc w:val="right"/>
            </w:pPr>
            <w:r>
              <w:t>795</w:t>
            </w:r>
          </w:p>
        </w:tc>
        <w:tc>
          <w:tcPr>
            <w:tcW w:w="985" w:type="pct"/>
            <w:tcBorders>
              <w:top w:val="single" w:sz="8" w:space="0" w:color="auto"/>
              <w:left w:val="nil"/>
              <w:right w:val="nil"/>
            </w:tcBorders>
            <w:shd w:val="clear" w:color="auto" w:fill="auto"/>
            <w:vAlign w:val="center"/>
          </w:tcPr>
          <w:p w14:paraId="448A511B" w14:textId="77777777" w:rsidR="003E4C0A" w:rsidRPr="007D3A0B" w:rsidRDefault="003E4C0A" w:rsidP="00D8770B">
            <w:pPr>
              <w:jc w:val="right"/>
            </w:pPr>
            <w:r>
              <w:t>520</w:t>
            </w:r>
          </w:p>
        </w:tc>
      </w:tr>
      <w:tr w:rsidR="003E4C0A" w:rsidRPr="007D3A0B" w14:paraId="7FF5D8EF" w14:textId="77777777" w:rsidTr="003E4C0A">
        <w:trPr>
          <w:trHeight w:val="299"/>
        </w:trPr>
        <w:tc>
          <w:tcPr>
            <w:tcW w:w="2879" w:type="pct"/>
            <w:tcBorders>
              <w:left w:val="nil"/>
              <w:right w:val="nil"/>
            </w:tcBorders>
            <w:shd w:val="clear" w:color="auto" w:fill="auto"/>
            <w:vAlign w:val="center"/>
          </w:tcPr>
          <w:p w14:paraId="6BD05BE2" w14:textId="6E8CE37B" w:rsidR="003E4C0A" w:rsidRDefault="003E4C0A" w:rsidP="00D8770B">
            <w:r w:rsidRPr="00890057">
              <w:t>Payment of provisions</w:t>
            </w:r>
          </w:p>
        </w:tc>
        <w:tc>
          <w:tcPr>
            <w:tcW w:w="227" w:type="pct"/>
            <w:tcBorders>
              <w:left w:val="nil"/>
              <w:right w:val="nil"/>
            </w:tcBorders>
            <w:shd w:val="clear" w:color="auto" w:fill="auto"/>
            <w:vAlign w:val="center"/>
          </w:tcPr>
          <w:p w14:paraId="3361ECEE" w14:textId="77777777" w:rsidR="003E4C0A" w:rsidRPr="007D3A0B" w:rsidRDefault="003E4C0A" w:rsidP="00D8770B">
            <w:pPr>
              <w:jc w:val="center"/>
              <w:rPr>
                <w:b/>
                <w:bCs/>
              </w:rPr>
            </w:pPr>
          </w:p>
        </w:tc>
        <w:tc>
          <w:tcPr>
            <w:tcW w:w="909" w:type="pct"/>
            <w:tcBorders>
              <w:left w:val="nil"/>
              <w:right w:val="nil"/>
            </w:tcBorders>
            <w:vAlign w:val="center"/>
          </w:tcPr>
          <w:p w14:paraId="4ECB3BCE" w14:textId="7DD57171" w:rsidR="003E4C0A" w:rsidRDefault="003E4C0A" w:rsidP="00D8770B">
            <w:pPr>
              <w:jc w:val="right"/>
            </w:pPr>
            <w:r>
              <w:t>(346)</w:t>
            </w:r>
          </w:p>
        </w:tc>
        <w:tc>
          <w:tcPr>
            <w:tcW w:w="985" w:type="pct"/>
            <w:tcBorders>
              <w:left w:val="nil"/>
              <w:right w:val="nil"/>
            </w:tcBorders>
            <w:shd w:val="clear" w:color="auto" w:fill="auto"/>
            <w:vAlign w:val="center"/>
          </w:tcPr>
          <w:p w14:paraId="63D510E4" w14:textId="14429482" w:rsidR="003E4C0A" w:rsidRDefault="003E4C0A" w:rsidP="00D8770B">
            <w:pPr>
              <w:jc w:val="right"/>
            </w:pPr>
            <w:r>
              <w:t>-</w:t>
            </w:r>
          </w:p>
        </w:tc>
      </w:tr>
      <w:tr w:rsidR="003E4C0A" w:rsidRPr="007D3A0B" w14:paraId="7000E25C" w14:textId="77777777" w:rsidTr="003E4C0A">
        <w:trPr>
          <w:trHeight w:val="299"/>
        </w:trPr>
        <w:tc>
          <w:tcPr>
            <w:tcW w:w="2879" w:type="pct"/>
            <w:tcBorders>
              <w:left w:val="nil"/>
              <w:bottom w:val="single" w:sz="8" w:space="0" w:color="000000"/>
              <w:right w:val="nil"/>
            </w:tcBorders>
            <w:shd w:val="clear" w:color="auto" w:fill="auto"/>
            <w:vAlign w:val="center"/>
          </w:tcPr>
          <w:p w14:paraId="4DED1027" w14:textId="77777777" w:rsidR="003E4C0A" w:rsidRDefault="003E4C0A" w:rsidP="00D8770B">
            <w:r>
              <w:t>Payment of lease liabilities</w:t>
            </w:r>
          </w:p>
        </w:tc>
        <w:tc>
          <w:tcPr>
            <w:tcW w:w="227" w:type="pct"/>
            <w:tcBorders>
              <w:left w:val="nil"/>
              <w:bottom w:val="single" w:sz="8" w:space="0" w:color="000000"/>
              <w:right w:val="nil"/>
            </w:tcBorders>
            <w:shd w:val="clear" w:color="auto" w:fill="auto"/>
            <w:vAlign w:val="center"/>
          </w:tcPr>
          <w:p w14:paraId="1A917845" w14:textId="77777777" w:rsidR="003E4C0A" w:rsidRPr="007D3A0B" w:rsidRDefault="003E4C0A" w:rsidP="00D8770B">
            <w:pPr>
              <w:jc w:val="center"/>
              <w:rPr>
                <w:b/>
                <w:bCs/>
              </w:rPr>
            </w:pPr>
            <w:r w:rsidRPr="007D3A0B">
              <w:rPr>
                <w:b/>
                <w:bCs/>
              </w:rPr>
              <w:t> </w:t>
            </w:r>
          </w:p>
        </w:tc>
        <w:tc>
          <w:tcPr>
            <w:tcW w:w="909" w:type="pct"/>
            <w:tcBorders>
              <w:left w:val="nil"/>
              <w:bottom w:val="single" w:sz="8" w:space="0" w:color="000000"/>
              <w:right w:val="nil"/>
            </w:tcBorders>
            <w:vAlign w:val="center"/>
          </w:tcPr>
          <w:p w14:paraId="59BFA936" w14:textId="45E01CBF" w:rsidR="003E4C0A" w:rsidRDefault="003E4C0A" w:rsidP="00D8770B">
            <w:pPr>
              <w:jc w:val="right"/>
            </w:pPr>
            <w:r>
              <w:t>(281)</w:t>
            </w:r>
          </w:p>
        </w:tc>
        <w:tc>
          <w:tcPr>
            <w:tcW w:w="985" w:type="pct"/>
            <w:tcBorders>
              <w:left w:val="nil"/>
              <w:bottom w:val="single" w:sz="8" w:space="0" w:color="000000"/>
              <w:right w:val="nil"/>
            </w:tcBorders>
            <w:shd w:val="clear" w:color="auto" w:fill="auto"/>
            <w:vAlign w:val="center"/>
          </w:tcPr>
          <w:p w14:paraId="1B7B9B48" w14:textId="77777777" w:rsidR="003E4C0A" w:rsidRDefault="003E4C0A" w:rsidP="00D8770B">
            <w:pPr>
              <w:jc w:val="right"/>
            </w:pPr>
            <w:r>
              <w:t>(523)</w:t>
            </w:r>
          </w:p>
        </w:tc>
      </w:tr>
      <w:tr w:rsidR="003E4C0A" w:rsidRPr="007D3A0B" w14:paraId="1B22A124" w14:textId="77777777" w:rsidTr="003E4C0A">
        <w:trPr>
          <w:trHeight w:val="395"/>
        </w:trPr>
        <w:tc>
          <w:tcPr>
            <w:tcW w:w="2879" w:type="pct"/>
            <w:tcBorders>
              <w:top w:val="nil"/>
              <w:left w:val="nil"/>
              <w:bottom w:val="single" w:sz="8" w:space="0" w:color="000000"/>
              <w:right w:val="nil"/>
            </w:tcBorders>
            <w:shd w:val="clear" w:color="auto" w:fill="auto"/>
            <w:vAlign w:val="center"/>
            <w:hideMark/>
          </w:tcPr>
          <w:p w14:paraId="6CF8CF04" w14:textId="77777777" w:rsidR="003E4C0A" w:rsidRPr="007D3A0B" w:rsidRDefault="003E4C0A" w:rsidP="00D8770B">
            <w:pPr>
              <w:rPr>
                <w:b/>
                <w:bCs/>
              </w:rPr>
            </w:pPr>
            <w:r w:rsidRPr="007D3A0B">
              <w:rPr>
                <w:b/>
                <w:bCs/>
              </w:rPr>
              <w:t>Net cash generated from financing activities</w:t>
            </w:r>
          </w:p>
        </w:tc>
        <w:tc>
          <w:tcPr>
            <w:tcW w:w="227" w:type="pct"/>
            <w:tcBorders>
              <w:top w:val="nil"/>
              <w:left w:val="nil"/>
              <w:bottom w:val="single" w:sz="8" w:space="0" w:color="000000"/>
              <w:right w:val="nil"/>
            </w:tcBorders>
            <w:shd w:val="clear" w:color="auto" w:fill="auto"/>
            <w:vAlign w:val="center"/>
            <w:hideMark/>
          </w:tcPr>
          <w:p w14:paraId="202AC65D" w14:textId="77777777" w:rsidR="003E4C0A" w:rsidRPr="007D3A0B" w:rsidRDefault="003E4C0A" w:rsidP="00D8770B">
            <w:pPr>
              <w:jc w:val="center"/>
              <w:rPr>
                <w:b/>
                <w:bCs/>
              </w:rPr>
            </w:pPr>
            <w:r w:rsidRPr="007D3A0B">
              <w:rPr>
                <w:b/>
                <w:bCs/>
              </w:rPr>
              <w:t> </w:t>
            </w:r>
          </w:p>
        </w:tc>
        <w:tc>
          <w:tcPr>
            <w:tcW w:w="909" w:type="pct"/>
            <w:tcBorders>
              <w:top w:val="nil"/>
              <w:left w:val="nil"/>
              <w:bottom w:val="single" w:sz="8" w:space="0" w:color="000000"/>
              <w:right w:val="nil"/>
            </w:tcBorders>
            <w:vAlign w:val="center"/>
          </w:tcPr>
          <w:p w14:paraId="2408A5A5" w14:textId="0314778C" w:rsidR="003E4C0A" w:rsidRPr="007D3A0B" w:rsidRDefault="003E4C0A" w:rsidP="00D8770B">
            <w:pPr>
              <w:jc w:val="right"/>
              <w:rPr>
                <w:b/>
                <w:bCs/>
              </w:rPr>
            </w:pPr>
            <w:r w:rsidRPr="00890057">
              <w:rPr>
                <w:b/>
                <w:bCs/>
              </w:rPr>
              <w:t>168</w:t>
            </w:r>
          </w:p>
        </w:tc>
        <w:tc>
          <w:tcPr>
            <w:tcW w:w="985" w:type="pct"/>
            <w:tcBorders>
              <w:top w:val="nil"/>
              <w:left w:val="nil"/>
              <w:bottom w:val="single" w:sz="8" w:space="0" w:color="000000"/>
              <w:right w:val="nil"/>
            </w:tcBorders>
            <w:shd w:val="clear" w:color="auto" w:fill="auto"/>
            <w:vAlign w:val="center"/>
          </w:tcPr>
          <w:p w14:paraId="4E9A93BD" w14:textId="77777777" w:rsidR="003E4C0A" w:rsidRPr="007D3A0B" w:rsidRDefault="003E4C0A" w:rsidP="00D8770B">
            <w:pPr>
              <w:jc w:val="right"/>
              <w:rPr>
                <w:b/>
                <w:bCs/>
              </w:rPr>
            </w:pPr>
            <w:r>
              <w:rPr>
                <w:b/>
                <w:bCs/>
              </w:rPr>
              <w:t>(3)</w:t>
            </w:r>
          </w:p>
        </w:tc>
      </w:tr>
      <w:tr w:rsidR="003E4C0A" w:rsidRPr="007D3A0B" w14:paraId="0C4C0BDC" w14:textId="77777777" w:rsidTr="003E4C0A">
        <w:trPr>
          <w:trHeight w:val="395"/>
        </w:trPr>
        <w:tc>
          <w:tcPr>
            <w:tcW w:w="2879" w:type="pct"/>
            <w:tcBorders>
              <w:top w:val="nil"/>
              <w:left w:val="nil"/>
              <w:right w:val="nil"/>
            </w:tcBorders>
            <w:shd w:val="clear" w:color="auto" w:fill="auto"/>
            <w:vAlign w:val="center"/>
            <w:hideMark/>
          </w:tcPr>
          <w:p w14:paraId="1A8C8FA3" w14:textId="77777777" w:rsidR="003E4C0A" w:rsidRPr="007D3A0B" w:rsidRDefault="003E4C0A" w:rsidP="00D8770B">
            <w:r w:rsidRPr="007D3A0B">
              <w:t> </w:t>
            </w:r>
          </w:p>
        </w:tc>
        <w:tc>
          <w:tcPr>
            <w:tcW w:w="227" w:type="pct"/>
            <w:tcBorders>
              <w:top w:val="nil"/>
              <w:left w:val="nil"/>
              <w:right w:val="nil"/>
            </w:tcBorders>
            <w:shd w:val="clear" w:color="auto" w:fill="auto"/>
            <w:vAlign w:val="center"/>
            <w:hideMark/>
          </w:tcPr>
          <w:p w14:paraId="1D6F247A" w14:textId="77777777" w:rsidR="003E4C0A" w:rsidRPr="007D3A0B" w:rsidRDefault="003E4C0A" w:rsidP="00D8770B">
            <w:pPr>
              <w:jc w:val="center"/>
              <w:rPr>
                <w:b/>
                <w:bCs/>
              </w:rPr>
            </w:pPr>
            <w:r w:rsidRPr="007D3A0B">
              <w:rPr>
                <w:b/>
                <w:bCs/>
              </w:rPr>
              <w:t> </w:t>
            </w:r>
          </w:p>
        </w:tc>
        <w:tc>
          <w:tcPr>
            <w:tcW w:w="909" w:type="pct"/>
            <w:tcBorders>
              <w:top w:val="nil"/>
              <w:left w:val="nil"/>
              <w:right w:val="nil"/>
            </w:tcBorders>
            <w:vAlign w:val="center"/>
          </w:tcPr>
          <w:p w14:paraId="4BD72201" w14:textId="77777777" w:rsidR="003E4C0A" w:rsidRPr="007D3A0B" w:rsidRDefault="003E4C0A" w:rsidP="00D8770B"/>
        </w:tc>
        <w:tc>
          <w:tcPr>
            <w:tcW w:w="985" w:type="pct"/>
            <w:tcBorders>
              <w:top w:val="nil"/>
              <w:left w:val="nil"/>
              <w:right w:val="nil"/>
            </w:tcBorders>
            <w:shd w:val="clear" w:color="auto" w:fill="auto"/>
            <w:vAlign w:val="center"/>
          </w:tcPr>
          <w:p w14:paraId="1A64137B" w14:textId="77777777" w:rsidR="003E4C0A" w:rsidRPr="007D3A0B" w:rsidRDefault="003E4C0A" w:rsidP="00D8770B"/>
        </w:tc>
      </w:tr>
      <w:tr w:rsidR="003E4C0A" w:rsidRPr="007D3A0B" w14:paraId="63E942CF" w14:textId="77777777" w:rsidTr="003E4C0A">
        <w:trPr>
          <w:trHeight w:val="395"/>
        </w:trPr>
        <w:tc>
          <w:tcPr>
            <w:tcW w:w="2879" w:type="pct"/>
            <w:tcBorders>
              <w:top w:val="nil"/>
              <w:left w:val="nil"/>
              <w:right w:val="nil"/>
            </w:tcBorders>
            <w:shd w:val="clear" w:color="auto" w:fill="auto"/>
            <w:vAlign w:val="center"/>
            <w:hideMark/>
          </w:tcPr>
          <w:p w14:paraId="5C6FB6E9" w14:textId="77777777" w:rsidR="003E4C0A" w:rsidRPr="007D3A0B" w:rsidRDefault="003E4C0A" w:rsidP="00D8770B">
            <w:pPr>
              <w:rPr>
                <w:b/>
                <w:bCs/>
              </w:rPr>
            </w:pPr>
            <w:r w:rsidRPr="007D3A0B">
              <w:rPr>
                <w:b/>
                <w:bCs/>
              </w:rPr>
              <w:t xml:space="preserve">Net </w:t>
            </w:r>
            <w:r>
              <w:rPr>
                <w:b/>
                <w:bCs/>
              </w:rPr>
              <w:t>(decrease)</w:t>
            </w:r>
            <w:r w:rsidRPr="007D3A0B">
              <w:rPr>
                <w:b/>
                <w:bCs/>
              </w:rPr>
              <w:t xml:space="preserve"> in cash and cash equivalents</w:t>
            </w:r>
          </w:p>
        </w:tc>
        <w:tc>
          <w:tcPr>
            <w:tcW w:w="227" w:type="pct"/>
            <w:tcBorders>
              <w:top w:val="nil"/>
              <w:left w:val="nil"/>
              <w:right w:val="nil"/>
            </w:tcBorders>
            <w:shd w:val="clear" w:color="auto" w:fill="auto"/>
            <w:vAlign w:val="center"/>
            <w:hideMark/>
          </w:tcPr>
          <w:p w14:paraId="44C8E721" w14:textId="77777777" w:rsidR="003E4C0A" w:rsidRPr="007D3A0B" w:rsidRDefault="003E4C0A" w:rsidP="00D8770B">
            <w:pPr>
              <w:jc w:val="center"/>
              <w:rPr>
                <w:b/>
                <w:bCs/>
              </w:rPr>
            </w:pPr>
            <w:r w:rsidRPr="007D3A0B">
              <w:rPr>
                <w:b/>
                <w:bCs/>
              </w:rPr>
              <w:t> </w:t>
            </w:r>
          </w:p>
        </w:tc>
        <w:tc>
          <w:tcPr>
            <w:tcW w:w="909" w:type="pct"/>
            <w:tcBorders>
              <w:top w:val="nil"/>
              <w:left w:val="nil"/>
              <w:right w:val="nil"/>
            </w:tcBorders>
            <w:vAlign w:val="center"/>
          </w:tcPr>
          <w:p w14:paraId="6A57B8B3" w14:textId="48104328" w:rsidR="003E4C0A" w:rsidRPr="007D3A0B" w:rsidRDefault="003E4C0A" w:rsidP="00D8770B">
            <w:pPr>
              <w:jc w:val="right"/>
              <w:rPr>
                <w:b/>
                <w:bCs/>
              </w:rPr>
            </w:pPr>
            <w:r>
              <w:rPr>
                <w:b/>
                <w:bCs/>
              </w:rPr>
              <w:t>(444)</w:t>
            </w:r>
          </w:p>
        </w:tc>
        <w:tc>
          <w:tcPr>
            <w:tcW w:w="985" w:type="pct"/>
            <w:tcBorders>
              <w:top w:val="nil"/>
              <w:left w:val="nil"/>
              <w:right w:val="nil"/>
            </w:tcBorders>
            <w:shd w:val="clear" w:color="auto" w:fill="auto"/>
            <w:vAlign w:val="center"/>
          </w:tcPr>
          <w:p w14:paraId="67B9F497" w14:textId="77777777" w:rsidR="003E4C0A" w:rsidRPr="007D3A0B" w:rsidRDefault="003E4C0A" w:rsidP="00D8770B">
            <w:pPr>
              <w:jc w:val="right"/>
              <w:rPr>
                <w:b/>
                <w:bCs/>
              </w:rPr>
            </w:pPr>
            <w:r>
              <w:rPr>
                <w:b/>
                <w:bCs/>
              </w:rPr>
              <w:t>(2,271)</w:t>
            </w:r>
          </w:p>
        </w:tc>
      </w:tr>
      <w:tr w:rsidR="003E4C0A" w:rsidRPr="007D3A0B" w14:paraId="5E137213" w14:textId="77777777" w:rsidTr="003E4C0A">
        <w:trPr>
          <w:trHeight w:val="327"/>
        </w:trPr>
        <w:tc>
          <w:tcPr>
            <w:tcW w:w="2879" w:type="pct"/>
            <w:tcBorders>
              <w:left w:val="nil"/>
              <w:right w:val="nil"/>
            </w:tcBorders>
            <w:shd w:val="clear" w:color="auto" w:fill="auto"/>
            <w:vAlign w:val="center"/>
            <w:hideMark/>
          </w:tcPr>
          <w:p w14:paraId="06B4E601" w14:textId="77777777" w:rsidR="003E4C0A" w:rsidRPr="007D3A0B" w:rsidRDefault="003E4C0A" w:rsidP="00D8770B">
            <w:r w:rsidRPr="007D3A0B">
              <w:t>Cash and cash equivalents at beginning of period</w:t>
            </w:r>
          </w:p>
        </w:tc>
        <w:tc>
          <w:tcPr>
            <w:tcW w:w="227" w:type="pct"/>
            <w:tcBorders>
              <w:left w:val="nil"/>
              <w:right w:val="nil"/>
            </w:tcBorders>
            <w:shd w:val="clear" w:color="auto" w:fill="auto"/>
            <w:vAlign w:val="center"/>
            <w:hideMark/>
          </w:tcPr>
          <w:p w14:paraId="64E86FEE" w14:textId="77777777" w:rsidR="003E4C0A" w:rsidRPr="007D3A0B" w:rsidRDefault="003E4C0A" w:rsidP="00D8770B"/>
        </w:tc>
        <w:tc>
          <w:tcPr>
            <w:tcW w:w="909" w:type="pct"/>
            <w:tcBorders>
              <w:left w:val="nil"/>
              <w:right w:val="nil"/>
            </w:tcBorders>
            <w:vAlign w:val="center"/>
          </w:tcPr>
          <w:p w14:paraId="441AE6CF" w14:textId="77777777" w:rsidR="003E4C0A" w:rsidRPr="007D3A0B" w:rsidRDefault="003E4C0A" w:rsidP="00D8770B">
            <w:pPr>
              <w:jc w:val="right"/>
            </w:pPr>
            <w:r>
              <w:t>459</w:t>
            </w:r>
          </w:p>
        </w:tc>
        <w:tc>
          <w:tcPr>
            <w:tcW w:w="985" w:type="pct"/>
            <w:tcBorders>
              <w:left w:val="nil"/>
              <w:right w:val="nil"/>
            </w:tcBorders>
            <w:shd w:val="clear" w:color="auto" w:fill="auto"/>
            <w:vAlign w:val="center"/>
          </w:tcPr>
          <w:p w14:paraId="6E3E10B2" w14:textId="77777777" w:rsidR="003E4C0A" w:rsidRPr="007D3A0B" w:rsidRDefault="003E4C0A" w:rsidP="00D8770B">
            <w:pPr>
              <w:jc w:val="right"/>
            </w:pPr>
            <w:r>
              <w:t>2,730</w:t>
            </w:r>
          </w:p>
        </w:tc>
      </w:tr>
      <w:tr w:rsidR="003E4C0A" w:rsidRPr="007D3A0B" w14:paraId="053EC698" w14:textId="77777777" w:rsidTr="003E4C0A">
        <w:trPr>
          <w:trHeight w:val="341"/>
        </w:trPr>
        <w:tc>
          <w:tcPr>
            <w:tcW w:w="2879" w:type="pct"/>
            <w:tcBorders>
              <w:top w:val="single" w:sz="4" w:space="0" w:color="auto"/>
              <w:left w:val="nil"/>
              <w:bottom w:val="single" w:sz="12" w:space="0" w:color="000000"/>
              <w:right w:val="nil"/>
            </w:tcBorders>
            <w:shd w:val="clear" w:color="auto" w:fill="auto"/>
            <w:vAlign w:val="center"/>
            <w:hideMark/>
          </w:tcPr>
          <w:p w14:paraId="2B0C3505" w14:textId="77777777" w:rsidR="003E4C0A" w:rsidRPr="007D3A0B" w:rsidRDefault="003E4C0A" w:rsidP="00D8770B">
            <w:r w:rsidRPr="007D3A0B">
              <w:t>Cash and cash equivalents at end of period</w:t>
            </w:r>
          </w:p>
        </w:tc>
        <w:tc>
          <w:tcPr>
            <w:tcW w:w="227" w:type="pct"/>
            <w:tcBorders>
              <w:top w:val="single" w:sz="4" w:space="0" w:color="auto"/>
              <w:left w:val="nil"/>
              <w:bottom w:val="single" w:sz="12" w:space="0" w:color="000000"/>
              <w:right w:val="nil"/>
            </w:tcBorders>
            <w:shd w:val="clear" w:color="auto" w:fill="auto"/>
            <w:vAlign w:val="center"/>
            <w:hideMark/>
          </w:tcPr>
          <w:p w14:paraId="0E5ACCCC" w14:textId="77777777" w:rsidR="003E4C0A" w:rsidRPr="007D3A0B" w:rsidRDefault="003E4C0A" w:rsidP="00D8770B">
            <w:pPr>
              <w:jc w:val="center"/>
              <w:rPr>
                <w:b/>
                <w:bCs/>
              </w:rPr>
            </w:pPr>
            <w:r w:rsidRPr="007D3A0B">
              <w:rPr>
                <w:b/>
                <w:bCs/>
              </w:rPr>
              <w:t> </w:t>
            </w:r>
          </w:p>
        </w:tc>
        <w:tc>
          <w:tcPr>
            <w:tcW w:w="909" w:type="pct"/>
            <w:tcBorders>
              <w:top w:val="single" w:sz="4" w:space="0" w:color="auto"/>
              <w:left w:val="nil"/>
              <w:bottom w:val="single" w:sz="12" w:space="0" w:color="000000"/>
              <w:right w:val="nil"/>
            </w:tcBorders>
            <w:vAlign w:val="center"/>
          </w:tcPr>
          <w:p w14:paraId="4C6F68A1" w14:textId="4E6A9643" w:rsidR="003E4C0A" w:rsidRPr="007D3A0B" w:rsidRDefault="003E4C0A" w:rsidP="00D8770B">
            <w:pPr>
              <w:jc w:val="right"/>
            </w:pPr>
            <w:r>
              <w:t>15</w:t>
            </w:r>
          </w:p>
        </w:tc>
        <w:tc>
          <w:tcPr>
            <w:tcW w:w="985" w:type="pct"/>
            <w:tcBorders>
              <w:top w:val="single" w:sz="4" w:space="0" w:color="auto"/>
              <w:left w:val="nil"/>
              <w:bottom w:val="single" w:sz="12" w:space="0" w:color="000000"/>
              <w:right w:val="nil"/>
            </w:tcBorders>
            <w:shd w:val="clear" w:color="auto" w:fill="auto"/>
            <w:vAlign w:val="center"/>
          </w:tcPr>
          <w:p w14:paraId="4F18CB5E" w14:textId="77777777" w:rsidR="003E4C0A" w:rsidRPr="007D3A0B" w:rsidRDefault="003E4C0A" w:rsidP="00D8770B">
            <w:pPr>
              <w:jc w:val="right"/>
            </w:pPr>
            <w:r>
              <w:t>459</w:t>
            </w:r>
          </w:p>
        </w:tc>
      </w:tr>
    </w:tbl>
    <w:p w14:paraId="545568D8" w14:textId="77777777" w:rsidR="0055205F" w:rsidRDefault="0055205F" w:rsidP="0055205F">
      <w:pPr>
        <w:rPr>
          <w:rFonts w:asciiTheme="minorHAnsi" w:hAnsiTheme="minorHAnsi" w:cstheme="minorHAnsi"/>
        </w:rPr>
      </w:pPr>
    </w:p>
    <w:p w14:paraId="6BA40613" w14:textId="77777777" w:rsidR="0055205F" w:rsidRDefault="0055205F" w:rsidP="0055205F">
      <w:pPr>
        <w:rPr>
          <w:rFonts w:asciiTheme="minorHAnsi" w:hAnsiTheme="minorHAnsi" w:cstheme="minorHAnsi"/>
        </w:rPr>
      </w:pPr>
    </w:p>
    <w:p w14:paraId="105CB83C" w14:textId="77777777" w:rsidR="00172390" w:rsidRDefault="00172390" w:rsidP="0055205F">
      <w:pPr>
        <w:rPr>
          <w:rFonts w:asciiTheme="minorHAnsi" w:hAnsiTheme="minorHAnsi" w:cstheme="minorHAnsi"/>
        </w:rPr>
      </w:pPr>
    </w:p>
    <w:p w14:paraId="429A894B" w14:textId="77777777" w:rsidR="00172390" w:rsidRDefault="00172390" w:rsidP="0055205F">
      <w:pPr>
        <w:rPr>
          <w:rFonts w:asciiTheme="minorHAnsi" w:hAnsiTheme="minorHAnsi" w:cstheme="minorHAnsi"/>
        </w:rPr>
      </w:pPr>
    </w:p>
    <w:p w14:paraId="22304D16" w14:textId="77777777" w:rsidR="00172390" w:rsidRDefault="00172390" w:rsidP="0055205F">
      <w:pPr>
        <w:rPr>
          <w:rFonts w:asciiTheme="minorHAnsi" w:hAnsiTheme="minorHAnsi" w:cstheme="minorHAnsi"/>
        </w:rPr>
      </w:pPr>
    </w:p>
    <w:p w14:paraId="44FAF4D7" w14:textId="77777777" w:rsidR="00172390" w:rsidRDefault="00172390" w:rsidP="0055205F">
      <w:pPr>
        <w:rPr>
          <w:rFonts w:asciiTheme="minorHAnsi" w:hAnsiTheme="minorHAnsi" w:cstheme="minorHAnsi"/>
        </w:rPr>
      </w:pPr>
    </w:p>
    <w:p w14:paraId="0E89FE6B" w14:textId="77777777" w:rsidR="0055205F" w:rsidRDefault="0055205F" w:rsidP="0055205F">
      <w:pPr>
        <w:rPr>
          <w:rFonts w:asciiTheme="minorHAnsi" w:hAnsiTheme="minorHAnsi" w:cstheme="minorHAnsi"/>
        </w:rPr>
      </w:pPr>
    </w:p>
    <w:p w14:paraId="5EF1F78E" w14:textId="77777777" w:rsidR="0055205F" w:rsidRDefault="0055205F" w:rsidP="0055205F">
      <w:pPr>
        <w:rPr>
          <w:rFonts w:asciiTheme="minorHAnsi" w:hAnsiTheme="minorHAnsi" w:cstheme="minorHAnsi"/>
        </w:rPr>
      </w:pPr>
    </w:p>
    <w:p w14:paraId="510E41AB" w14:textId="77777777" w:rsidR="00226CCF" w:rsidRPr="004532BC" w:rsidRDefault="00226CCF" w:rsidP="00226CCF">
      <w:pPr>
        <w:rPr>
          <w:b/>
          <w:bCs/>
        </w:rPr>
      </w:pPr>
      <w:r w:rsidRPr="004532BC">
        <w:rPr>
          <w:b/>
          <w:bCs/>
        </w:rPr>
        <w:t>NOTES TO THE CONDENSED FINANCIAL STATEMENTS</w:t>
      </w:r>
    </w:p>
    <w:p w14:paraId="2AFA2DF7" w14:textId="21A67A41" w:rsidR="00226CCF" w:rsidRPr="004532BC" w:rsidRDefault="00226CCF" w:rsidP="00226CCF">
      <w:pPr>
        <w:rPr>
          <w:b/>
          <w:bCs/>
          <w:i/>
          <w:iCs/>
        </w:rPr>
      </w:pPr>
      <w:r w:rsidRPr="004532BC">
        <w:rPr>
          <w:b/>
          <w:bCs/>
          <w:i/>
          <w:iCs/>
        </w:rPr>
        <w:t xml:space="preserve">FOR THE </w:t>
      </w:r>
      <w:r w:rsidR="003E4C0A">
        <w:rPr>
          <w:b/>
          <w:bCs/>
          <w:i/>
          <w:iCs/>
        </w:rPr>
        <w:t xml:space="preserve">FIFTEEN </w:t>
      </w:r>
      <w:r w:rsidRPr="004532BC">
        <w:rPr>
          <w:b/>
          <w:bCs/>
          <w:i/>
          <w:iCs/>
        </w:rPr>
        <w:t xml:space="preserve">MONTHS ENDED 31 </w:t>
      </w:r>
      <w:r>
        <w:rPr>
          <w:b/>
          <w:bCs/>
          <w:i/>
          <w:iCs/>
        </w:rPr>
        <w:t xml:space="preserve">DECEMBER </w:t>
      </w:r>
      <w:r w:rsidRPr="004532BC">
        <w:rPr>
          <w:b/>
          <w:bCs/>
          <w:i/>
          <w:iCs/>
        </w:rPr>
        <w:t>202</w:t>
      </w:r>
      <w:r>
        <w:rPr>
          <w:b/>
          <w:bCs/>
          <w:i/>
          <w:iCs/>
        </w:rPr>
        <w:t>4</w:t>
      </w:r>
    </w:p>
    <w:p w14:paraId="5AC22556" w14:textId="77777777" w:rsidR="00226CCF" w:rsidRPr="003D27FE" w:rsidRDefault="00226CCF" w:rsidP="00226CCF">
      <w:pPr>
        <w:pStyle w:val="ListParagraph"/>
        <w:widowControl w:val="0"/>
        <w:numPr>
          <w:ilvl w:val="0"/>
          <w:numId w:val="5"/>
        </w:numPr>
        <w:tabs>
          <w:tab w:val="left" w:pos="839"/>
          <w:tab w:val="left" w:pos="840"/>
        </w:tabs>
        <w:autoSpaceDE w:val="0"/>
        <w:autoSpaceDN w:val="0"/>
        <w:spacing w:before="220"/>
        <w:contextualSpacing w:val="0"/>
        <w:rPr>
          <w:rFonts w:ascii="Arial" w:hAnsi="Arial" w:cs="Arial"/>
          <w:b/>
          <w:sz w:val="20"/>
          <w:szCs w:val="20"/>
        </w:rPr>
      </w:pPr>
      <w:r w:rsidRPr="003D27FE">
        <w:rPr>
          <w:rFonts w:ascii="Arial" w:hAnsi="Arial" w:cs="Arial"/>
          <w:b/>
          <w:sz w:val="20"/>
          <w:szCs w:val="20"/>
        </w:rPr>
        <w:t>Accounting</w:t>
      </w:r>
      <w:r w:rsidRPr="003D27FE">
        <w:rPr>
          <w:rFonts w:ascii="Arial" w:hAnsi="Arial" w:cs="Arial"/>
          <w:b/>
          <w:spacing w:val="-3"/>
          <w:sz w:val="20"/>
          <w:szCs w:val="20"/>
        </w:rPr>
        <w:t xml:space="preserve"> </w:t>
      </w:r>
      <w:r w:rsidRPr="003D27FE">
        <w:rPr>
          <w:rFonts w:ascii="Arial" w:hAnsi="Arial" w:cs="Arial"/>
          <w:b/>
          <w:sz w:val="20"/>
          <w:szCs w:val="20"/>
        </w:rPr>
        <w:t>policies</w:t>
      </w:r>
    </w:p>
    <w:p w14:paraId="651F2E74" w14:textId="77777777" w:rsidR="00226CCF" w:rsidRPr="003D27FE" w:rsidRDefault="00226CCF" w:rsidP="00226CCF">
      <w:pPr>
        <w:pStyle w:val="ACText"/>
        <w:spacing w:before="0" w:after="120" w:line="240" w:lineRule="atLeast"/>
        <w:ind w:left="119"/>
        <w:rPr>
          <w:rFonts w:ascii="Arial" w:hAnsi="Arial" w:cs="Arial"/>
          <w:lang w:val="en-US"/>
        </w:rPr>
      </w:pPr>
    </w:p>
    <w:p w14:paraId="78460CA7" w14:textId="77777777" w:rsidR="00226CCF" w:rsidRPr="003D27FE" w:rsidRDefault="00226CCF" w:rsidP="00226CCF">
      <w:pPr>
        <w:pStyle w:val="ACText"/>
        <w:spacing w:before="0" w:after="120" w:line="240" w:lineRule="atLeast"/>
        <w:ind w:left="119"/>
        <w:rPr>
          <w:rFonts w:ascii="Arial" w:hAnsi="Arial" w:cs="Arial"/>
          <w:lang w:val="en-US"/>
        </w:rPr>
      </w:pPr>
      <w:r w:rsidRPr="003D27FE">
        <w:rPr>
          <w:rFonts w:ascii="Arial" w:hAnsi="Arial" w:cs="Arial"/>
          <w:lang w:val="en-US"/>
        </w:rPr>
        <w:t xml:space="preserve">IAS 8 requires that management shall use its judgement in developing and applying accounting policies that result in information which is relevant to the economic decision-making needs of users, that are reliable, free </w:t>
      </w:r>
      <w:r w:rsidRPr="003D27FE">
        <w:rPr>
          <w:rFonts w:ascii="Arial" w:hAnsi="Arial" w:cs="Arial"/>
          <w:lang w:val="en-US"/>
        </w:rPr>
        <w:lastRenderedPageBreak/>
        <w:t>from bias, prudent, complete and represent faithfully the financial position, financial performance and cash flows of the entity.</w:t>
      </w:r>
    </w:p>
    <w:p w14:paraId="32604DD1" w14:textId="77777777" w:rsidR="00226CCF" w:rsidRPr="003D27FE" w:rsidRDefault="00226CCF" w:rsidP="00226CCF">
      <w:pPr>
        <w:pStyle w:val="ListParagraph"/>
        <w:widowControl w:val="0"/>
        <w:numPr>
          <w:ilvl w:val="1"/>
          <w:numId w:val="5"/>
        </w:numPr>
        <w:tabs>
          <w:tab w:val="left" w:pos="839"/>
          <w:tab w:val="left" w:pos="840"/>
        </w:tabs>
        <w:autoSpaceDE w:val="0"/>
        <w:autoSpaceDN w:val="0"/>
        <w:ind w:hanging="721"/>
        <w:contextualSpacing w:val="0"/>
        <w:rPr>
          <w:rFonts w:ascii="Arial" w:hAnsi="Arial" w:cs="Arial"/>
          <w:b/>
          <w:sz w:val="20"/>
          <w:szCs w:val="20"/>
        </w:rPr>
      </w:pPr>
      <w:r w:rsidRPr="003D27FE">
        <w:rPr>
          <w:rFonts w:ascii="Arial" w:hAnsi="Arial" w:cs="Arial"/>
          <w:b/>
          <w:sz w:val="20"/>
          <w:szCs w:val="20"/>
        </w:rPr>
        <w:t>Basis</w:t>
      </w:r>
      <w:r w:rsidRPr="003D27FE">
        <w:rPr>
          <w:rFonts w:ascii="Arial" w:hAnsi="Arial" w:cs="Arial"/>
          <w:b/>
          <w:spacing w:val="-3"/>
          <w:sz w:val="20"/>
          <w:szCs w:val="20"/>
        </w:rPr>
        <w:t xml:space="preserve"> </w:t>
      </w:r>
      <w:r w:rsidRPr="003D27FE">
        <w:rPr>
          <w:rFonts w:ascii="Arial" w:hAnsi="Arial" w:cs="Arial"/>
          <w:b/>
          <w:sz w:val="20"/>
          <w:szCs w:val="20"/>
        </w:rPr>
        <w:t>of</w:t>
      </w:r>
      <w:r w:rsidRPr="003D27FE">
        <w:rPr>
          <w:rFonts w:ascii="Arial" w:hAnsi="Arial" w:cs="Arial"/>
          <w:b/>
          <w:spacing w:val="-1"/>
          <w:sz w:val="20"/>
          <w:szCs w:val="20"/>
        </w:rPr>
        <w:t xml:space="preserve"> </w:t>
      </w:r>
      <w:r w:rsidRPr="003D27FE">
        <w:rPr>
          <w:rFonts w:ascii="Arial" w:hAnsi="Arial" w:cs="Arial"/>
          <w:b/>
          <w:sz w:val="20"/>
          <w:szCs w:val="20"/>
        </w:rPr>
        <w:t>preparation</w:t>
      </w:r>
    </w:p>
    <w:p w14:paraId="33961B2D" w14:textId="77777777" w:rsidR="00226CCF" w:rsidRPr="003D27FE" w:rsidRDefault="00226CCF" w:rsidP="00226CCF">
      <w:pPr>
        <w:pStyle w:val="BodyText"/>
        <w:rPr>
          <w:rFonts w:ascii="Arial" w:hAnsi="Arial" w:cs="Arial"/>
          <w:b/>
          <w:sz w:val="20"/>
          <w:szCs w:val="20"/>
        </w:rPr>
      </w:pPr>
    </w:p>
    <w:p w14:paraId="209D556E" w14:textId="77777777" w:rsidR="00226CCF" w:rsidRPr="003D27FE" w:rsidRDefault="00226CCF" w:rsidP="00226CCF">
      <w:pPr>
        <w:ind w:left="119" w:right="134"/>
        <w:jc w:val="both"/>
        <w:rPr>
          <w:sz w:val="20"/>
          <w:szCs w:val="20"/>
        </w:rPr>
      </w:pPr>
      <w:r w:rsidRPr="003D27FE">
        <w:rPr>
          <w:sz w:val="20"/>
          <w:szCs w:val="20"/>
        </w:rPr>
        <w:t>The</w:t>
      </w:r>
      <w:r w:rsidRPr="003D27FE">
        <w:rPr>
          <w:spacing w:val="-6"/>
          <w:sz w:val="20"/>
          <w:szCs w:val="20"/>
        </w:rPr>
        <w:t xml:space="preserve"> </w:t>
      </w:r>
      <w:r w:rsidRPr="003D27FE">
        <w:rPr>
          <w:sz w:val="20"/>
          <w:szCs w:val="20"/>
        </w:rPr>
        <w:t>condensed</w:t>
      </w:r>
      <w:r w:rsidRPr="003D27FE">
        <w:rPr>
          <w:spacing w:val="-4"/>
          <w:sz w:val="20"/>
          <w:szCs w:val="20"/>
        </w:rPr>
        <w:t xml:space="preserve"> </w:t>
      </w:r>
      <w:r w:rsidRPr="003D27FE">
        <w:rPr>
          <w:sz w:val="20"/>
          <w:szCs w:val="20"/>
        </w:rPr>
        <w:t>interim</w:t>
      </w:r>
      <w:r w:rsidRPr="003D27FE">
        <w:rPr>
          <w:spacing w:val="-6"/>
          <w:sz w:val="20"/>
          <w:szCs w:val="20"/>
        </w:rPr>
        <w:t xml:space="preserve"> </w:t>
      </w:r>
      <w:r w:rsidRPr="003D27FE">
        <w:rPr>
          <w:sz w:val="20"/>
          <w:szCs w:val="20"/>
        </w:rPr>
        <w:t>financial</w:t>
      </w:r>
      <w:r w:rsidRPr="003D27FE">
        <w:rPr>
          <w:spacing w:val="-3"/>
          <w:sz w:val="20"/>
          <w:szCs w:val="20"/>
        </w:rPr>
        <w:t xml:space="preserve"> </w:t>
      </w:r>
      <w:r w:rsidRPr="003D27FE">
        <w:rPr>
          <w:sz w:val="20"/>
          <w:szCs w:val="20"/>
        </w:rPr>
        <w:t>statements</w:t>
      </w:r>
      <w:r w:rsidRPr="003D27FE">
        <w:rPr>
          <w:spacing w:val="-5"/>
          <w:sz w:val="20"/>
          <w:szCs w:val="20"/>
        </w:rPr>
        <w:t xml:space="preserve"> </w:t>
      </w:r>
      <w:r w:rsidRPr="003D27FE">
        <w:rPr>
          <w:sz w:val="20"/>
          <w:szCs w:val="20"/>
        </w:rPr>
        <w:t>("interim</w:t>
      </w:r>
      <w:r w:rsidRPr="003D27FE">
        <w:rPr>
          <w:spacing w:val="-4"/>
          <w:sz w:val="20"/>
          <w:szCs w:val="20"/>
        </w:rPr>
        <w:t xml:space="preserve"> </w:t>
      </w:r>
      <w:r w:rsidRPr="003D27FE">
        <w:rPr>
          <w:sz w:val="20"/>
          <w:szCs w:val="20"/>
        </w:rPr>
        <w:t>financial</w:t>
      </w:r>
      <w:r w:rsidRPr="003D27FE">
        <w:rPr>
          <w:spacing w:val="-5"/>
          <w:sz w:val="20"/>
          <w:szCs w:val="20"/>
        </w:rPr>
        <w:t xml:space="preserve"> </w:t>
      </w:r>
      <w:r w:rsidRPr="003D27FE">
        <w:rPr>
          <w:sz w:val="20"/>
          <w:szCs w:val="20"/>
        </w:rPr>
        <w:t>statements")</w:t>
      </w:r>
      <w:r w:rsidRPr="003D27FE">
        <w:rPr>
          <w:spacing w:val="-6"/>
          <w:sz w:val="20"/>
          <w:szCs w:val="20"/>
        </w:rPr>
        <w:t xml:space="preserve"> </w:t>
      </w:r>
      <w:r w:rsidRPr="003D27FE">
        <w:rPr>
          <w:sz w:val="20"/>
          <w:szCs w:val="20"/>
        </w:rPr>
        <w:t>have</w:t>
      </w:r>
      <w:r w:rsidRPr="003D27FE">
        <w:rPr>
          <w:spacing w:val="-5"/>
          <w:sz w:val="20"/>
          <w:szCs w:val="20"/>
        </w:rPr>
        <w:t xml:space="preserve"> </w:t>
      </w:r>
      <w:r w:rsidRPr="003D27FE">
        <w:rPr>
          <w:sz w:val="20"/>
          <w:szCs w:val="20"/>
        </w:rPr>
        <w:t>been</w:t>
      </w:r>
      <w:r w:rsidRPr="003D27FE">
        <w:rPr>
          <w:spacing w:val="-4"/>
          <w:sz w:val="20"/>
          <w:szCs w:val="20"/>
        </w:rPr>
        <w:t xml:space="preserve"> </w:t>
      </w:r>
      <w:r w:rsidRPr="003D27FE">
        <w:rPr>
          <w:sz w:val="20"/>
          <w:szCs w:val="20"/>
        </w:rPr>
        <w:t>prepared</w:t>
      </w:r>
      <w:r w:rsidRPr="003D27FE">
        <w:rPr>
          <w:spacing w:val="-2"/>
          <w:sz w:val="20"/>
          <w:szCs w:val="20"/>
        </w:rPr>
        <w:t xml:space="preserve"> </w:t>
      </w:r>
      <w:r w:rsidRPr="003D27FE">
        <w:rPr>
          <w:sz w:val="20"/>
          <w:szCs w:val="20"/>
        </w:rPr>
        <w:t>in</w:t>
      </w:r>
      <w:r w:rsidRPr="003D27FE">
        <w:rPr>
          <w:spacing w:val="-4"/>
          <w:sz w:val="20"/>
          <w:szCs w:val="20"/>
        </w:rPr>
        <w:t xml:space="preserve"> </w:t>
      </w:r>
      <w:r w:rsidRPr="003D27FE">
        <w:rPr>
          <w:sz w:val="20"/>
          <w:szCs w:val="20"/>
        </w:rPr>
        <w:t>accordance</w:t>
      </w:r>
      <w:r w:rsidRPr="003D27FE">
        <w:rPr>
          <w:spacing w:val="-6"/>
          <w:sz w:val="20"/>
          <w:szCs w:val="20"/>
        </w:rPr>
        <w:t xml:space="preserve"> </w:t>
      </w:r>
      <w:r w:rsidRPr="003D27FE">
        <w:rPr>
          <w:sz w:val="20"/>
          <w:szCs w:val="20"/>
        </w:rPr>
        <w:t>with</w:t>
      </w:r>
      <w:r w:rsidRPr="003D27FE">
        <w:rPr>
          <w:spacing w:val="-4"/>
          <w:sz w:val="20"/>
          <w:szCs w:val="20"/>
        </w:rPr>
        <w:t xml:space="preserve"> </w:t>
      </w:r>
      <w:r w:rsidRPr="003D27FE">
        <w:rPr>
          <w:sz w:val="20"/>
          <w:szCs w:val="20"/>
        </w:rPr>
        <w:t>International</w:t>
      </w:r>
      <w:r w:rsidRPr="003D27FE">
        <w:rPr>
          <w:spacing w:val="1"/>
          <w:sz w:val="20"/>
          <w:szCs w:val="20"/>
        </w:rPr>
        <w:t xml:space="preserve"> </w:t>
      </w:r>
      <w:r w:rsidRPr="003D27FE">
        <w:rPr>
          <w:sz w:val="20"/>
          <w:szCs w:val="20"/>
        </w:rPr>
        <w:t>Accounting Standard 34 "Interim Financial Reporting" (IAS 34) as adopted by the European Union (EU). The interim financial</w:t>
      </w:r>
      <w:r w:rsidRPr="003D27FE">
        <w:rPr>
          <w:spacing w:val="1"/>
          <w:sz w:val="20"/>
          <w:szCs w:val="20"/>
        </w:rPr>
        <w:t xml:space="preserve"> </w:t>
      </w:r>
      <w:r w:rsidRPr="003D27FE">
        <w:rPr>
          <w:sz w:val="20"/>
          <w:szCs w:val="20"/>
        </w:rPr>
        <w:t>statements have been prepared on the historical cost basis, except for assets and liabilities measured at fair value through profit</w:t>
      </w:r>
      <w:r w:rsidRPr="003D27FE">
        <w:rPr>
          <w:spacing w:val="1"/>
          <w:sz w:val="20"/>
          <w:szCs w:val="20"/>
        </w:rPr>
        <w:t xml:space="preserve"> </w:t>
      </w:r>
      <w:r w:rsidRPr="003D27FE">
        <w:rPr>
          <w:sz w:val="20"/>
          <w:szCs w:val="20"/>
        </w:rPr>
        <w:t>and</w:t>
      </w:r>
      <w:r w:rsidRPr="003D27FE">
        <w:rPr>
          <w:spacing w:val="-8"/>
          <w:sz w:val="20"/>
          <w:szCs w:val="20"/>
        </w:rPr>
        <w:t xml:space="preserve"> </w:t>
      </w:r>
      <w:r w:rsidRPr="003D27FE">
        <w:rPr>
          <w:sz w:val="20"/>
          <w:szCs w:val="20"/>
        </w:rPr>
        <w:t>loss,</w:t>
      </w:r>
      <w:r w:rsidRPr="003D27FE">
        <w:rPr>
          <w:spacing w:val="-9"/>
          <w:sz w:val="20"/>
          <w:szCs w:val="20"/>
        </w:rPr>
        <w:t xml:space="preserve"> </w:t>
      </w:r>
      <w:r w:rsidRPr="003D27FE">
        <w:rPr>
          <w:sz w:val="20"/>
          <w:szCs w:val="20"/>
        </w:rPr>
        <w:t>and</w:t>
      </w:r>
      <w:r w:rsidRPr="003D27FE">
        <w:rPr>
          <w:spacing w:val="-7"/>
          <w:sz w:val="20"/>
          <w:szCs w:val="20"/>
        </w:rPr>
        <w:t xml:space="preserve"> </w:t>
      </w:r>
      <w:r w:rsidRPr="003D27FE">
        <w:rPr>
          <w:sz w:val="20"/>
          <w:szCs w:val="20"/>
        </w:rPr>
        <w:t>are</w:t>
      </w:r>
      <w:r w:rsidRPr="003D27FE">
        <w:rPr>
          <w:spacing w:val="-9"/>
          <w:sz w:val="20"/>
          <w:szCs w:val="20"/>
        </w:rPr>
        <w:t xml:space="preserve"> </w:t>
      </w:r>
      <w:r w:rsidRPr="003D27FE">
        <w:rPr>
          <w:sz w:val="20"/>
          <w:szCs w:val="20"/>
        </w:rPr>
        <w:t>presented</w:t>
      </w:r>
      <w:r w:rsidRPr="003D27FE">
        <w:rPr>
          <w:spacing w:val="-8"/>
          <w:sz w:val="20"/>
          <w:szCs w:val="20"/>
        </w:rPr>
        <w:t xml:space="preserve"> </w:t>
      </w:r>
      <w:r w:rsidRPr="003D27FE">
        <w:rPr>
          <w:sz w:val="20"/>
          <w:szCs w:val="20"/>
        </w:rPr>
        <w:t>in</w:t>
      </w:r>
      <w:r w:rsidRPr="003D27FE">
        <w:rPr>
          <w:spacing w:val="-9"/>
          <w:sz w:val="20"/>
          <w:szCs w:val="20"/>
        </w:rPr>
        <w:t xml:space="preserve"> </w:t>
      </w:r>
      <w:r w:rsidRPr="003D27FE">
        <w:rPr>
          <w:sz w:val="20"/>
          <w:szCs w:val="20"/>
        </w:rPr>
        <w:t>pounds</w:t>
      </w:r>
      <w:r w:rsidRPr="003D27FE">
        <w:rPr>
          <w:spacing w:val="-11"/>
          <w:sz w:val="20"/>
          <w:szCs w:val="20"/>
        </w:rPr>
        <w:t xml:space="preserve"> </w:t>
      </w:r>
      <w:r w:rsidRPr="003D27FE">
        <w:rPr>
          <w:sz w:val="20"/>
          <w:szCs w:val="20"/>
        </w:rPr>
        <w:t>sterling,</w:t>
      </w:r>
      <w:r w:rsidRPr="003D27FE">
        <w:rPr>
          <w:spacing w:val="-9"/>
          <w:sz w:val="20"/>
          <w:szCs w:val="20"/>
        </w:rPr>
        <w:t xml:space="preserve"> </w:t>
      </w:r>
      <w:r w:rsidRPr="003D27FE">
        <w:rPr>
          <w:sz w:val="20"/>
          <w:szCs w:val="20"/>
        </w:rPr>
        <w:t>which</w:t>
      </w:r>
      <w:r w:rsidRPr="003D27FE">
        <w:rPr>
          <w:spacing w:val="-7"/>
          <w:sz w:val="20"/>
          <w:szCs w:val="20"/>
        </w:rPr>
        <w:t xml:space="preserve"> </w:t>
      </w:r>
      <w:r w:rsidRPr="003D27FE">
        <w:rPr>
          <w:sz w:val="20"/>
          <w:szCs w:val="20"/>
        </w:rPr>
        <w:t>is</w:t>
      </w:r>
      <w:r w:rsidRPr="003D27FE">
        <w:rPr>
          <w:spacing w:val="-9"/>
          <w:sz w:val="20"/>
          <w:szCs w:val="20"/>
        </w:rPr>
        <w:t xml:space="preserve"> </w:t>
      </w:r>
      <w:r w:rsidRPr="003D27FE">
        <w:rPr>
          <w:sz w:val="20"/>
          <w:szCs w:val="20"/>
        </w:rPr>
        <w:t>the</w:t>
      </w:r>
      <w:r w:rsidRPr="003D27FE">
        <w:rPr>
          <w:spacing w:val="-8"/>
          <w:sz w:val="20"/>
          <w:szCs w:val="20"/>
        </w:rPr>
        <w:t xml:space="preserve"> </w:t>
      </w:r>
      <w:r w:rsidRPr="003D27FE">
        <w:rPr>
          <w:sz w:val="20"/>
          <w:szCs w:val="20"/>
        </w:rPr>
        <w:t>currency</w:t>
      </w:r>
      <w:r w:rsidRPr="003D27FE">
        <w:rPr>
          <w:spacing w:val="-8"/>
          <w:sz w:val="20"/>
          <w:szCs w:val="20"/>
        </w:rPr>
        <w:t xml:space="preserve"> </w:t>
      </w:r>
      <w:r w:rsidRPr="003D27FE">
        <w:rPr>
          <w:sz w:val="20"/>
          <w:szCs w:val="20"/>
        </w:rPr>
        <w:t>of</w:t>
      </w:r>
      <w:r w:rsidRPr="003D27FE">
        <w:rPr>
          <w:spacing w:val="-10"/>
          <w:sz w:val="20"/>
          <w:szCs w:val="20"/>
        </w:rPr>
        <w:t xml:space="preserve"> </w:t>
      </w:r>
      <w:r w:rsidRPr="003D27FE">
        <w:rPr>
          <w:sz w:val="20"/>
          <w:szCs w:val="20"/>
        </w:rPr>
        <w:t>the</w:t>
      </w:r>
      <w:r w:rsidRPr="003D27FE">
        <w:rPr>
          <w:spacing w:val="-8"/>
          <w:sz w:val="20"/>
          <w:szCs w:val="20"/>
        </w:rPr>
        <w:t xml:space="preserve"> </w:t>
      </w:r>
      <w:r w:rsidRPr="003D27FE">
        <w:rPr>
          <w:sz w:val="20"/>
          <w:szCs w:val="20"/>
        </w:rPr>
        <w:t>primary</w:t>
      </w:r>
      <w:r w:rsidRPr="003D27FE">
        <w:rPr>
          <w:spacing w:val="-8"/>
          <w:sz w:val="20"/>
          <w:szCs w:val="20"/>
        </w:rPr>
        <w:t xml:space="preserve"> </w:t>
      </w:r>
      <w:r w:rsidRPr="003D27FE">
        <w:rPr>
          <w:sz w:val="20"/>
          <w:szCs w:val="20"/>
        </w:rPr>
        <w:t>economic</w:t>
      </w:r>
      <w:r w:rsidRPr="003D27FE">
        <w:rPr>
          <w:spacing w:val="-9"/>
          <w:sz w:val="20"/>
          <w:szCs w:val="20"/>
        </w:rPr>
        <w:t xml:space="preserve"> </w:t>
      </w:r>
      <w:r w:rsidRPr="003D27FE">
        <w:rPr>
          <w:sz w:val="20"/>
          <w:szCs w:val="20"/>
        </w:rPr>
        <w:t>environment</w:t>
      </w:r>
      <w:r w:rsidRPr="003D27FE">
        <w:rPr>
          <w:spacing w:val="-8"/>
          <w:sz w:val="20"/>
          <w:szCs w:val="20"/>
        </w:rPr>
        <w:t xml:space="preserve"> </w:t>
      </w:r>
      <w:r w:rsidRPr="003D27FE">
        <w:rPr>
          <w:sz w:val="20"/>
          <w:szCs w:val="20"/>
        </w:rPr>
        <w:t>in</w:t>
      </w:r>
      <w:r w:rsidRPr="003D27FE">
        <w:rPr>
          <w:spacing w:val="-8"/>
          <w:sz w:val="20"/>
          <w:szCs w:val="20"/>
        </w:rPr>
        <w:t xml:space="preserve"> </w:t>
      </w:r>
      <w:r w:rsidRPr="003D27FE">
        <w:rPr>
          <w:sz w:val="20"/>
          <w:szCs w:val="20"/>
        </w:rPr>
        <w:t>which</w:t>
      </w:r>
      <w:r w:rsidRPr="003D27FE">
        <w:rPr>
          <w:spacing w:val="-8"/>
          <w:sz w:val="20"/>
          <w:szCs w:val="20"/>
        </w:rPr>
        <w:t xml:space="preserve"> </w:t>
      </w:r>
      <w:r w:rsidRPr="003D27FE">
        <w:rPr>
          <w:sz w:val="20"/>
          <w:szCs w:val="20"/>
        </w:rPr>
        <w:t>the</w:t>
      </w:r>
      <w:r w:rsidRPr="003D27FE">
        <w:rPr>
          <w:spacing w:val="-8"/>
          <w:sz w:val="20"/>
          <w:szCs w:val="20"/>
        </w:rPr>
        <w:t xml:space="preserve"> </w:t>
      </w:r>
      <w:r w:rsidRPr="003D27FE">
        <w:rPr>
          <w:sz w:val="20"/>
          <w:szCs w:val="20"/>
        </w:rPr>
        <w:t>Company</w:t>
      </w:r>
      <w:r w:rsidRPr="003D27FE">
        <w:rPr>
          <w:spacing w:val="1"/>
          <w:sz w:val="20"/>
          <w:szCs w:val="20"/>
        </w:rPr>
        <w:t xml:space="preserve"> </w:t>
      </w:r>
      <w:r w:rsidRPr="003D27FE">
        <w:rPr>
          <w:sz w:val="20"/>
          <w:szCs w:val="20"/>
        </w:rPr>
        <w:t>operates. All amounts have been rounded to the nearest £’000, unless otherwise stated. The financial information contained in</w:t>
      </w:r>
      <w:r w:rsidRPr="003D27FE">
        <w:rPr>
          <w:spacing w:val="1"/>
          <w:sz w:val="20"/>
          <w:szCs w:val="20"/>
        </w:rPr>
        <w:t xml:space="preserve"> </w:t>
      </w:r>
      <w:r w:rsidRPr="003D27FE">
        <w:rPr>
          <w:sz w:val="20"/>
          <w:szCs w:val="20"/>
        </w:rPr>
        <w:t>the interim financial statements is unaudited and does not constitute statutory accounts within the meaning of section 434 of the</w:t>
      </w:r>
      <w:r w:rsidRPr="003D27FE">
        <w:rPr>
          <w:spacing w:val="1"/>
          <w:sz w:val="20"/>
          <w:szCs w:val="20"/>
        </w:rPr>
        <w:t xml:space="preserve"> </w:t>
      </w:r>
      <w:r w:rsidRPr="003D27FE">
        <w:rPr>
          <w:sz w:val="20"/>
          <w:szCs w:val="20"/>
        </w:rPr>
        <w:t>Companies Act 2006. The accounting policies are unchanged from those disclosed in the previously filed audited financial</w:t>
      </w:r>
      <w:r w:rsidRPr="003D27FE">
        <w:rPr>
          <w:spacing w:val="1"/>
          <w:sz w:val="20"/>
          <w:szCs w:val="20"/>
        </w:rPr>
        <w:t xml:space="preserve"> </w:t>
      </w:r>
      <w:r w:rsidRPr="003D27FE">
        <w:rPr>
          <w:sz w:val="20"/>
          <w:szCs w:val="20"/>
        </w:rPr>
        <w:t>statements for</w:t>
      </w:r>
      <w:r w:rsidRPr="003D27FE">
        <w:rPr>
          <w:spacing w:val="-1"/>
          <w:sz w:val="20"/>
          <w:szCs w:val="20"/>
        </w:rPr>
        <w:t xml:space="preserve"> </w:t>
      </w:r>
      <w:r w:rsidRPr="003D27FE">
        <w:rPr>
          <w:sz w:val="20"/>
          <w:szCs w:val="20"/>
        </w:rPr>
        <w:t>the period</w:t>
      </w:r>
      <w:r w:rsidRPr="003D27FE">
        <w:rPr>
          <w:spacing w:val="1"/>
          <w:sz w:val="20"/>
          <w:szCs w:val="20"/>
        </w:rPr>
        <w:t xml:space="preserve"> </w:t>
      </w:r>
      <w:r w:rsidRPr="003D27FE">
        <w:rPr>
          <w:sz w:val="20"/>
          <w:szCs w:val="20"/>
        </w:rPr>
        <w:t>ended</w:t>
      </w:r>
      <w:r w:rsidRPr="003D27FE">
        <w:rPr>
          <w:spacing w:val="-1"/>
          <w:sz w:val="20"/>
          <w:szCs w:val="20"/>
        </w:rPr>
        <w:t xml:space="preserve"> </w:t>
      </w:r>
      <w:r w:rsidRPr="003D27FE">
        <w:rPr>
          <w:sz w:val="20"/>
          <w:szCs w:val="20"/>
        </w:rPr>
        <w:t>30</w:t>
      </w:r>
      <w:r w:rsidRPr="003D27FE">
        <w:rPr>
          <w:spacing w:val="1"/>
          <w:sz w:val="20"/>
          <w:szCs w:val="20"/>
        </w:rPr>
        <w:t xml:space="preserve"> </w:t>
      </w:r>
      <w:r w:rsidRPr="003D27FE">
        <w:rPr>
          <w:sz w:val="20"/>
          <w:szCs w:val="20"/>
        </w:rPr>
        <w:t>September</w:t>
      </w:r>
      <w:r w:rsidRPr="003D27FE">
        <w:rPr>
          <w:spacing w:val="-1"/>
          <w:sz w:val="20"/>
          <w:szCs w:val="20"/>
        </w:rPr>
        <w:t xml:space="preserve"> </w:t>
      </w:r>
      <w:r w:rsidRPr="003D27FE">
        <w:rPr>
          <w:sz w:val="20"/>
          <w:szCs w:val="20"/>
        </w:rPr>
        <w:t>2023.</w:t>
      </w:r>
    </w:p>
    <w:p w14:paraId="4EE32CC2" w14:textId="77777777" w:rsidR="00226CCF" w:rsidRPr="003D27FE" w:rsidRDefault="00226CCF" w:rsidP="00226CCF">
      <w:pPr>
        <w:pStyle w:val="BodyText"/>
        <w:spacing w:before="11"/>
        <w:rPr>
          <w:rFonts w:ascii="Arial" w:hAnsi="Arial" w:cs="Arial"/>
          <w:sz w:val="20"/>
          <w:szCs w:val="20"/>
          <w:highlight w:val="yellow"/>
        </w:rPr>
      </w:pPr>
    </w:p>
    <w:p w14:paraId="7C38F979" w14:textId="382D8342" w:rsidR="00226CCF" w:rsidRPr="003D27FE" w:rsidRDefault="00226CCF" w:rsidP="00226CCF">
      <w:pPr>
        <w:ind w:left="120" w:right="134" w:hanging="1"/>
        <w:jc w:val="both"/>
        <w:rPr>
          <w:sz w:val="20"/>
          <w:szCs w:val="20"/>
        </w:rPr>
      </w:pPr>
      <w:r w:rsidRPr="003D27FE">
        <w:rPr>
          <w:sz w:val="20"/>
          <w:szCs w:val="20"/>
        </w:rPr>
        <w:t>The</w:t>
      </w:r>
      <w:r w:rsidRPr="003D27FE">
        <w:rPr>
          <w:spacing w:val="-6"/>
          <w:sz w:val="20"/>
          <w:szCs w:val="20"/>
        </w:rPr>
        <w:t xml:space="preserve"> </w:t>
      </w:r>
      <w:r w:rsidRPr="003D27FE">
        <w:rPr>
          <w:sz w:val="20"/>
          <w:szCs w:val="20"/>
        </w:rPr>
        <w:t>interim</w:t>
      </w:r>
      <w:r w:rsidRPr="003D27FE">
        <w:rPr>
          <w:spacing w:val="-5"/>
          <w:sz w:val="20"/>
          <w:szCs w:val="20"/>
        </w:rPr>
        <w:t xml:space="preserve"> </w:t>
      </w:r>
      <w:r w:rsidRPr="003D27FE">
        <w:rPr>
          <w:sz w:val="20"/>
          <w:szCs w:val="20"/>
        </w:rPr>
        <w:t>financial</w:t>
      </w:r>
      <w:r w:rsidRPr="003D27FE">
        <w:rPr>
          <w:spacing w:val="-4"/>
          <w:sz w:val="20"/>
          <w:szCs w:val="20"/>
        </w:rPr>
        <w:t xml:space="preserve"> </w:t>
      </w:r>
      <w:r w:rsidRPr="003D27FE">
        <w:rPr>
          <w:sz w:val="20"/>
          <w:szCs w:val="20"/>
        </w:rPr>
        <w:t>statements</w:t>
      </w:r>
      <w:r w:rsidRPr="003D27FE">
        <w:rPr>
          <w:spacing w:val="-4"/>
          <w:sz w:val="20"/>
          <w:szCs w:val="20"/>
        </w:rPr>
        <w:t xml:space="preserve"> </w:t>
      </w:r>
      <w:r w:rsidRPr="003D27FE">
        <w:rPr>
          <w:sz w:val="20"/>
          <w:szCs w:val="20"/>
        </w:rPr>
        <w:t>are</w:t>
      </w:r>
      <w:r w:rsidRPr="003D27FE">
        <w:rPr>
          <w:spacing w:val="-6"/>
          <w:sz w:val="20"/>
          <w:szCs w:val="20"/>
        </w:rPr>
        <w:t xml:space="preserve"> </w:t>
      </w:r>
      <w:r w:rsidRPr="003D27FE">
        <w:rPr>
          <w:sz w:val="20"/>
          <w:szCs w:val="20"/>
        </w:rPr>
        <w:t>for</w:t>
      </w:r>
      <w:r w:rsidRPr="003D27FE">
        <w:rPr>
          <w:spacing w:val="-5"/>
          <w:sz w:val="20"/>
          <w:szCs w:val="20"/>
        </w:rPr>
        <w:t xml:space="preserve"> </w:t>
      </w:r>
      <w:r w:rsidRPr="003D27FE">
        <w:rPr>
          <w:sz w:val="20"/>
          <w:szCs w:val="20"/>
        </w:rPr>
        <w:t>the</w:t>
      </w:r>
      <w:r w:rsidRPr="003D27FE">
        <w:rPr>
          <w:spacing w:val="-5"/>
          <w:sz w:val="20"/>
          <w:szCs w:val="20"/>
        </w:rPr>
        <w:t xml:space="preserve"> fifteen months </w:t>
      </w:r>
      <w:proofErr w:type="spellStart"/>
      <w:r w:rsidRPr="003D27FE">
        <w:rPr>
          <w:spacing w:val="-5"/>
          <w:sz w:val="20"/>
          <w:szCs w:val="20"/>
        </w:rPr>
        <w:t>months</w:t>
      </w:r>
      <w:proofErr w:type="spellEnd"/>
      <w:r w:rsidRPr="003D27FE">
        <w:rPr>
          <w:spacing w:val="-5"/>
          <w:sz w:val="20"/>
          <w:szCs w:val="20"/>
        </w:rPr>
        <w:t xml:space="preserve"> </w:t>
      </w:r>
      <w:r w:rsidRPr="003D27FE">
        <w:rPr>
          <w:sz w:val="20"/>
          <w:szCs w:val="20"/>
        </w:rPr>
        <w:t>to</w:t>
      </w:r>
      <w:r w:rsidRPr="003D27FE">
        <w:rPr>
          <w:spacing w:val="-7"/>
          <w:sz w:val="20"/>
          <w:szCs w:val="20"/>
        </w:rPr>
        <w:t xml:space="preserve"> </w:t>
      </w:r>
      <w:r w:rsidRPr="003D27FE">
        <w:rPr>
          <w:sz w:val="20"/>
          <w:szCs w:val="20"/>
        </w:rPr>
        <w:t>31</w:t>
      </w:r>
      <w:r w:rsidRPr="003D27FE">
        <w:rPr>
          <w:spacing w:val="-3"/>
          <w:sz w:val="20"/>
          <w:szCs w:val="20"/>
        </w:rPr>
        <w:t xml:space="preserve"> December </w:t>
      </w:r>
      <w:r w:rsidRPr="003D27FE">
        <w:rPr>
          <w:sz w:val="20"/>
          <w:szCs w:val="20"/>
        </w:rPr>
        <w:t>2024,</w:t>
      </w:r>
      <w:r w:rsidRPr="003D27FE">
        <w:rPr>
          <w:spacing w:val="-6"/>
          <w:sz w:val="20"/>
          <w:szCs w:val="20"/>
        </w:rPr>
        <w:t xml:space="preserve"> </w:t>
      </w:r>
      <w:r w:rsidRPr="003D27FE">
        <w:rPr>
          <w:sz w:val="20"/>
          <w:szCs w:val="20"/>
        </w:rPr>
        <w:t>being</w:t>
      </w:r>
      <w:r w:rsidRPr="003D27FE">
        <w:rPr>
          <w:spacing w:val="-4"/>
          <w:sz w:val="20"/>
          <w:szCs w:val="20"/>
        </w:rPr>
        <w:t xml:space="preserve"> fifteen months </w:t>
      </w:r>
      <w:r w:rsidRPr="003D27FE">
        <w:rPr>
          <w:sz w:val="20"/>
          <w:szCs w:val="20"/>
        </w:rPr>
        <w:t>from</w:t>
      </w:r>
      <w:r w:rsidRPr="003D27FE">
        <w:rPr>
          <w:spacing w:val="-5"/>
          <w:sz w:val="20"/>
          <w:szCs w:val="20"/>
        </w:rPr>
        <w:t xml:space="preserve"> </w:t>
      </w:r>
      <w:r w:rsidRPr="003D27FE">
        <w:rPr>
          <w:sz w:val="20"/>
          <w:szCs w:val="20"/>
        </w:rPr>
        <w:t>the</w:t>
      </w:r>
      <w:r w:rsidRPr="003D27FE">
        <w:rPr>
          <w:spacing w:val="-5"/>
          <w:sz w:val="20"/>
          <w:szCs w:val="20"/>
        </w:rPr>
        <w:t xml:space="preserve"> </w:t>
      </w:r>
      <w:r w:rsidR="003A6EAB">
        <w:rPr>
          <w:spacing w:val="-5"/>
          <w:sz w:val="20"/>
          <w:szCs w:val="20"/>
        </w:rPr>
        <w:t xml:space="preserve">previous audited </w:t>
      </w:r>
      <w:r w:rsidRPr="003D27FE">
        <w:rPr>
          <w:sz w:val="20"/>
          <w:szCs w:val="20"/>
        </w:rPr>
        <w:t>financial</w:t>
      </w:r>
      <w:r w:rsidRPr="003D27FE">
        <w:rPr>
          <w:spacing w:val="-5"/>
          <w:sz w:val="20"/>
          <w:szCs w:val="20"/>
        </w:rPr>
        <w:t xml:space="preserve"> </w:t>
      </w:r>
      <w:r w:rsidRPr="003D27FE">
        <w:rPr>
          <w:sz w:val="20"/>
          <w:szCs w:val="20"/>
        </w:rPr>
        <w:t>year</w:t>
      </w:r>
      <w:r w:rsidRPr="003D27FE">
        <w:rPr>
          <w:spacing w:val="-5"/>
          <w:sz w:val="20"/>
          <w:szCs w:val="20"/>
        </w:rPr>
        <w:t xml:space="preserve"> </w:t>
      </w:r>
      <w:r w:rsidRPr="003D27FE">
        <w:rPr>
          <w:sz w:val="20"/>
          <w:szCs w:val="20"/>
        </w:rPr>
        <w:t>end</w:t>
      </w:r>
      <w:r w:rsidRPr="003D27FE">
        <w:rPr>
          <w:spacing w:val="-3"/>
          <w:sz w:val="20"/>
          <w:szCs w:val="20"/>
        </w:rPr>
        <w:t xml:space="preserve"> </w:t>
      </w:r>
      <w:r w:rsidRPr="003D27FE">
        <w:rPr>
          <w:sz w:val="20"/>
          <w:szCs w:val="20"/>
        </w:rPr>
        <w:t>for</w:t>
      </w:r>
      <w:r w:rsidRPr="003D27FE">
        <w:rPr>
          <w:spacing w:val="-5"/>
          <w:sz w:val="20"/>
          <w:szCs w:val="20"/>
        </w:rPr>
        <w:t xml:space="preserve"> Defence Holdings </w:t>
      </w:r>
      <w:proofErr w:type="spellStart"/>
      <w:proofErr w:type="gramStart"/>
      <w:r w:rsidRPr="003D27FE">
        <w:rPr>
          <w:spacing w:val="-5"/>
          <w:sz w:val="20"/>
          <w:szCs w:val="20"/>
        </w:rPr>
        <w:t>PLc</w:t>
      </w:r>
      <w:proofErr w:type="spellEnd"/>
      <w:r w:rsidRPr="003D27FE">
        <w:rPr>
          <w:spacing w:val="-5"/>
          <w:sz w:val="20"/>
          <w:szCs w:val="20"/>
        </w:rPr>
        <w:t xml:space="preserve"> </w:t>
      </w:r>
      <w:r w:rsidRPr="003D27FE">
        <w:rPr>
          <w:sz w:val="20"/>
          <w:szCs w:val="20"/>
        </w:rPr>
        <w:t xml:space="preserve"> (</w:t>
      </w:r>
      <w:proofErr w:type="gramEnd"/>
      <w:r w:rsidRPr="003D27FE">
        <w:rPr>
          <w:sz w:val="20"/>
          <w:szCs w:val="20"/>
        </w:rPr>
        <w:t>“Defence” or “the Company”), 30 September 2023. The interim financial information does not include all the</w:t>
      </w:r>
      <w:r w:rsidRPr="003D27FE">
        <w:rPr>
          <w:spacing w:val="1"/>
          <w:sz w:val="20"/>
          <w:szCs w:val="20"/>
        </w:rPr>
        <w:t xml:space="preserve"> </w:t>
      </w:r>
      <w:r w:rsidRPr="003D27FE">
        <w:rPr>
          <w:sz w:val="20"/>
          <w:szCs w:val="20"/>
        </w:rPr>
        <w:t>information and disclosures required in the annual financial statements and should be read in conjunction with the Company's</w:t>
      </w:r>
      <w:r w:rsidRPr="003D27FE">
        <w:rPr>
          <w:spacing w:val="1"/>
          <w:sz w:val="20"/>
          <w:szCs w:val="20"/>
        </w:rPr>
        <w:t xml:space="preserve"> </w:t>
      </w:r>
      <w:r w:rsidR="003A6EAB">
        <w:rPr>
          <w:spacing w:val="1"/>
          <w:sz w:val="20"/>
          <w:szCs w:val="20"/>
        </w:rPr>
        <w:t xml:space="preserve">next </w:t>
      </w:r>
      <w:r w:rsidRPr="003D27FE">
        <w:rPr>
          <w:sz w:val="20"/>
          <w:szCs w:val="20"/>
        </w:rPr>
        <w:t xml:space="preserve">annual audited financial statements for the </w:t>
      </w:r>
      <w:proofErr w:type="gramStart"/>
      <w:r w:rsidR="003A6EAB">
        <w:rPr>
          <w:sz w:val="20"/>
          <w:szCs w:val="20"/>
        </w:rPr>
        <w:t>Eighteen month</w:t>
      </w:r>
      <w:proofErr w:type="gramEnd"/>
      <w:r w:rsidR="003A6EAB">
        <w:rPr>
          <w:sz w:val="20"/>
          <w:szCs w:val="20"/>
        </w:rPr>
        <w:t xml:space="preserve"> </w:t>
      </w:r>
      <w:r w:rsidRPr="003D27FE">
        <w:rPr>
          <w:sz w:val="20"/>
          <w:szCs w:val="20"/>
        </w:rPr>
        <w:t>period ended 31 March 2025</w:t>
      </w:r>
      <w:r w:rsidR="003A6EAB">
        <w:rPr>
          <w:sz w:val="20"/>
          <w:szCs w:val="20"/>
        </w:rPr>
        <w:t>, when published</w:t>
      </w:r>
      <w:r w:rsidRPr="003D27FE">
        <w:rPr>
          <w:sz w:val="20"/>
          <w:szCs w:val="20"/>
        </w:rPr>
        <w:t>. The Company has disclosed comparative data for</w:t>
      </w:r>
      <w:r w:rsidRPr="003D27FE">
        <w:rPr>
          <w:spacing w:val="1"/>
          <w:sz w:val="20"/>
          <w:szCs w:val="20"/>
        </w:rPr>
        <w:t xml:space="preserve"> </w:t>
      </w:r>
      <w:r w:rsidRPr="003D27FE">
        <w:rPr>
          <w:sz w:val="20"/>
          <w:szCs w:val="20"/>
        </w:rPr>
        <w:t xml:space="preserve">the statement of comprehensive income for the Company for the </w:t>
      </w:r>
      <w:proofErr w:type="gramStart"/>
      <w:r w:rsidR="003A6EAB">
        <w:rPr>
          <w:sz w:val="20"/>
          <w:szCs w:val="20"/>
        </w:rPr>
        <w:t>Fifteen month</w:t>
      </w:r>
      <w:proofErr w:type="gramEnd"/>
      <w:r w:rsidR="003A6EAB">
        <w:rPr>
          <w:sz w:val="20"/>
          <w:szCs w:val="20"/>
        </w:rPr>
        <w:t xml:space="preserve"> </w:t>
      </w:r>
      <w:r w:rsidRPr="003D27FE">
        <w:rPr>
          <w:sz w:val="20"/>
          <w:szCs w:val="20"/>
        </w:rPr>
        <w:t xml:space="preserve">period from 1 October 2023 to 31 </w:t>
      </w:r>
      <w:r w:rsidR="00F41F23" w:rsidRPr="003D27FE">
        <w:rPr>
          <w:sz w:val="20"/>
          <w:szCs w:val="20"/>
        </w:rPr>
        <w:t xml:space="preserve">December </w:t>
      </w:r>
      <w:r w:rsidRPr="003D27FE">
        <w:rPr>
          <w:sz w:val="20"/>
          <w:szCs w:val="20"/>
        </w:rPr>
        <w:t>2024</w:t>
      </w:r>
      <w:r w:rsidR="003A6EAB">
        <w:rPr>
          <w:sz w:val="20"/>
          <w:szCs w:val="20"/>
        </w:rPr>
        <w:t>, by including the year ended 30 September 2023.</w:t>
      </w:r>
      <w:r w:rsidR="00CB23CB" w:rsidRPr="003D27FE">
        <w:rPr>
          <w:sz w:val="20"/>
          <w:szCs w:val="20"/>
        </w:rPr>
        <w:t xml:space="preserve"> </w:t>
      </w:r>
    </w:p>
    <w:p w14:paraId="30C77F7C" w14:textId="77777777" w:rsidR="00226CCF" w:rsidRPr="003D27FE" w:rsidRDefault="00226CCF" w:rsidP="00226CCF">
      <w:pPr>
        <w:ind w:left="120" w:right="134" w:hanging="1"/>
        <w:jc w:val="both"/>
        <w:rPr>
          <w:sz w:val="20"/>
          <w:szCs w:val="20"/>
        </w:rPr>
      </w:pPr>
    </w:p>
    <w:p w14:paraId="70727A81" w14:textId="77777777" w:rsidR="00226CCF" w:rsidRPr="003D27FE" w:rsidRDefault="00226CCF" w:rsidP="00226CCF">
      <w:pPr>
        <w:ind w:left="120" w:right="134" w:hanging="1"/>
        <w:jc w:val="both"/>
        <w:rPr>
          <w:sz w:val="20"/>
          <w:szCs w:val="20"/>
        </w:rPr>
      </w:pPr>
      <w:r w:rsidRPr="003D27FE">
        <w:rPr>
          <w:sz w:val="20"/>
          <w:szCs w:val="20"/>
        </w:rPr>
        <w:t xml:space="preserve">The Company has adopted the applicable amendments to standards effective for accounting periods commencing on 1 October 2023. The nature and effect of these changes </w:t>
      </w:r>
      <w:proofErr w:type="gramStart"/>
      <w:r w:rsidRPr="003D27FE">
        <w:rPr>
          <w:sz w:val="20"/>
          <w:szCs w:val="20"/>
        </w:rPr>
        <w:t>as a result of</w:t>
      </w:r>
      <w:proofErr w:type="gramEnd"/>
      <w:r w:rsidRPr="003D27FE">
        <w:rPr>
          <w:sz w:val="20"/>
          <w:szCs w:val="20"/>
        </w:rPr>
        <w:t xml:space="preserve"> the adoption of these amended standards did not have an impact on the financial statements of the Company and hence have not been disclosed. The Company has not early adopted any standards, interpretations or amendments that have been issued but are not yet effective.</w:t>
      </w:r>
    </w:p>
    <w:p w14:paraId="72D2AB7C" w14:textId="77777777" w:rsidR="00226CCF" w:rsidRPr="003D27FE" w:rsidRDefault="00226CCF" w:rsidP="00226CCF">
      <w:pPr>
        <w:pStyle w:val="BodyText"/>
        <w:spacing w:before="11"/>
        <w:rPr>
          <w:rFonts w:ascii="Arial" w:hAnsi="Arial" w:cs="Arial"/>
          <w:sz w:val="20"/>
          <w:szCs w:val="20"/>
          <w:highlight w:val="yellow"/>
        </w:rPr>
      </w:pPr>
    </w:p>
    <w:p w14:paraId="1709A15F" w14:textId="77777777" w:rsidR="00226CCF" w:rsidRPr="003D27FE" w:rsidRDefault="00226CCF" w:rsidP="00226CCF">
      <w:pPr>
        <w:ind w:left="120" w:right="138"/>
        <w:jc w:val="both"/>
        <w:rPr>
          <w:sz w:val="20"/>
          <w:szCs w:val="20"/>
        </w:rPr>
      </w:pPr>
      <w:r w:rsidRPr="003D27FE">
        <w:rPr>
          <w:sz w:val="20"/>
          <w:szCs w:val="20"/>
        </w:rPr>
        <w:t>The condensed interim financial statements have not been audited, nor have they been reviewed by the Company's auditors in</w:t>
      </w:r>
      <w:r w:rsidRPr="003D27FE">
        <w:rPr>
          <w:spacing w:val="1"/>
          <w:sz w:val="20"/>
          <w:szCs w:val="20"/>
        </w:rPr>
        <w:t xml:space="preserve"> </w:t>
      </w:r>
      <w:r w:rsidRPr="003D27FE">
        <w:rPr>
          <w:sz w:val="20"/>
          <w:szCs w:val="20"/>
        </w:rPr>
        <w:t>accordance with the International Standard on Review Engagements 2410 issued by the Auditing Practices Board. The figures</w:t>
      </w:r>
      <w:r w:rsidRPr="003D27FE">
        <w:rPr>
          <w:spacing w:val="1"/>
          <w:sz w:val="20"/>
          <w:szCs w:val="20"/>
        </w:rPr>
        <w:t xml:space="preserve"> </w:t>
      </w:r>
      <w:r w:rsidRPr="003D27FE">
        <w:rPr>
          <w:sz w:val="20"/>
          <w:szCs w:val="20"/>
        </w:rPr>
        <w:t>have been prepared using applicable accounting policies and practices consistent with those adopted in the audited annual</w:t>
      </w:r>
      <w:r w:rsidRPr="003D27FE">
        <w:rPr>
          <w:spacing w:val="1"/>
          <w:sz w:val="20"/>
          <w:szCs w:val="20"/>
        </w:rPr>
        <w:t xml:space="preserve"> </w:t>
      </w:r>
      <w:r w:rsidRPr="003D27FE">
        <w:rPr>
          <w:sz w:val="20"/>
          <w:szCs w:val="20"/>
        </w:rPr>
        <w:t>financial</w:t>
      </w:r>
      <w:r w:rsidRPr="003D27FE">
        <w:rPr>
          <w:spacing w:val="-1"/>
          <w:sz w:val="20"/>
          <w:szCs w:val="20"/>
        </w:rPr>
        <w:t xml:space="preserve"> </w:t>
      </w:r>
      <w:r w:rsidRPr="003D27FE">
        <w:rPr>
          <w:sz w:val="20"/>
          <w:szCs w:val="20"/>
        </w:rPr>
        <w:t>statements</w:t>
      </w:r>
      <w:r w:rsidRPr="003D27FE">
        <w:rPr>
          <w:spacing w:val="1"/>
          <w:sz w:val="20"/>
          <w:szCs w:val="20"/>
        </w:rPr>
        <w:t xml:space="preserve"> </w:t>
      </w:r>
      <w:r w:rsidRPr="003D27FE">
        <w:rPr>
          <w:sz w:val="20"/>
          <w:szCs w:val="20"/>
        </w:rPr>
        <w:t>for</w:t>
      </w:r>
      <w:r w:rsidRPr="003D27FE">
        <w:rPr>
          <w:spacing w:val="-1"/>
          <w:sz w:val="20"/>
          <w:szCs w:val="20"/>
        </w:rPr>
        <w:t xml:space="preserve"> </w:t>
      </w:r>
      <w:r w:rsidRPr="003D27FE">
        <w:rPr>
          <w:sz w:val="20"/>
          <w:szCs w:val="20"/>
        </w:rPr>
        <w:t>the year</w:t>
      </w:r>
      <w:r w:rsidRPr="003D27FE">
        <w:rPr>
          <w:spacing w:val="-1"/>
          <w:sz w:val="20"/>
          <w:szCs w:val="20"/>
        </w:rPr>
        <w:t xml:space="preserve"> </w:t>
      </w:r>
      <w:r w:rsidRPr="003D27FE">
        <w:rPr>
          <w:sz w:val="20"/>
          <w:szCs w:val="20"/>
        </w:rPr>
        <w:t>ended</w:t>
      </w:r>
      <w:r w:rsidRPr="003D27FE">
        <w:rPr>
          <w:spacing w:val="-1"/>
          <w:sz w:val="20"/>
          <w:szCs w:val="20"/>
        </w:rPr>
        <w:t xml:space="preserve"> </w:t>
      </w:r>
      <w:r w:rsidRPr="003D27FE">
        <w:rPr>
          <w:sz w:val="20"/>
          <w:szCs w:val="20"/>
        </w:rPr>
        <w:t>30</w:t>
      </w:r>
      <w:r w:rsidRPr="003D27FE">
        <w:rPr>
          <w:spacing w:val="1"/>
          <w:sz w:val="20"/>
          <w:szCs w:val="20"/>
        </w:rPr>
        <w:t xml:space="preserve"> </w:t>
      </w:r>
      <w:r w:rsidRPr="003D27FE">
        <w:rPr>
          <w:sz w:val="20"/>
          <w:szCs w:val="20"/>
        </w:rPr>
        <w:t>September</w:t>
      </w:r>
      <w:r w:rsidRPr="003D27FE">
        <w:rPr>
          <w:spacing w:val="-2"/>
          <w:sz w:val="20"/>
          <w:szCs w:val="20"/>
        </w:rPr>
        <w:t xml:space="preserve"> </w:t>
      </w:r>
      <w:r w:rsidRPr="003D27FE">
        <w:rPr>
          <w:sz w:val="20"/>
          <w:szCs w:val="20"/>
        </w:rPr>
        <w:t>2023.</w:t>
      </w:r>
    </w:p>
    <w:p w14:paraId="6A010842" w14:textId="77777777" w:rsidR="00226CCF" w:rsidRPr="003D27FE" w:rsidRDefault="00226CCF" w:rsidP="00226CCF">
      <w:pPr>
        <w:ind w:left="120" w:right="138"/>
        <w:jc w:val="both"/>
        <w:rPr>
          <w:sz w:val="20"/>
          <w:szCs w:val="20"/>
        </w:rPr>
      </w:pPr>
    </w:p>
    <w:p w14:paraId="4AA3D889" w14:textId="77777777" w:rsidR="00226CCF" w:rsidRPr="003D27FE" w:rsidRDefault="00226CCF" w:rsidP="00226CCF">
      <w:pPr>
        <w:ind w:left="120" w:right="138"/>
        <w:jc w:val="both"/>
        <w:rPr>
          <w:sz w:val="20"/>
          <w:szCs w:val="20"/>
        </w:rPr>
      </w:pPr>
    </w:p>
    <w:p w14:paraId="656F40DE" w14:textId="77777777" w:rsidR="0039678F" w:rsidRPr="003D27FE" w:rsidRDefault="0039678F" w:rsidP="00226CCF">
      <w:pPr>
        <w:ind w:left="120" w:right="138"/>
        <w:jc w:val="both"/>
        <w:rPr>
          <w:sz w:val="20"/>
          <w:szCs w:val="20"/>
        </w:rPr>
      </w:pPr>
    </w:p>
    <w:p w14:paraId="67806D96" w14:textId="77777777" w:rsidR="00226CCF" w:rsidRPr="003D27FE" w:rsidRDefault="00226CCF" w:rsidP="00226CCF">
      <w:pPr>
        <w:pStyle w:val="BodyText"/>
        <w:spacing w:before="11"/>
        <w:rPr>
          <w:rFonts w:ascii="Arial" w:hAnsi="Arial" w:cs="Arial"/>
          <w:sz w:val="20"/>
          <w:szCs w:val="20"/>
        </w:rPr>
      </w:pPr>
    </w:p>
    <w:p w14:paraId="44F8F68C" w14:textId="77777777" w:rsidR="00226CCF" w:rsidRPr="003D27FE" w:rsidRDefault="00226CCF" w:rsidP="00226CCF">
      <w:pPr>
        <w:pStyle w:val="ListParagraph"/>
        <w:widowControl w:val="0"/>
        <w:numPr>
          <w:ilvl w:val="1"/>
          <w:numId w:val="5"/>
        </w:numPr>
        <w:tabs>
          <w:tab w:val="left" w:pos="840"/>
          <w:tab w:val="left" w:pos="841"/>
        </w:tabs>
        <w:autoSpaceDE w:val="0"/>
        <w:autoSpaceDN w:val="0"/>
        <w:ind w:left="840" w:hanging="721"/>
        <w:contextualSpacing w:val="0"/>
        <w:rPr>
          <w:rFonts w:ascii="Arial" w:hAnsi="Arial" w:cs="Arial"/>
          <w:b/>
          <w:sz w:val="20"/>
          <w:szCs w:val="20"/>
        </w:rPr>
      </w:pPr>
      <w:r w:rsidRPr="003D27FE">
        <w:rPr>
          <w:rFonts w:ascii="Arial" w:hAnsi="Arial" w:cs="Arial"/>
          <w:b/>
          <w:sz w:val="20"/>
          <w:szCs w:val="20"/>
        </w:rPr>
        <w:t>Going</w:t>
      </w:r>
      <w:r w:rsidRPr="003D27FE">
        <w:rPr>
          <w:rFonts w:ascii="Arial" w:hAnsi="Arial" w:cs="Arial"/>
          <w:b/>
          <w:spacing w:val="-3"/>
          <w:sz w:val="20"/>
          <w:szCs w:val="20"/>
        </w:rPr>
        <w:t xml:space="preserve"> </w:t>
      </w:r>
      <w:r w:rsidRPr="003D27FE">
        <w:rPr>
          <w:rFonts w:ascii="Arial" w:hAnsi="Arial" w:cs="Arial"/>
          <w:b/>
          <w:sz w:val="20"/>
          <w:szCs w:val="20"/>
        </w:rPr>
        <w:t>concern</w:t>
      </w:r>
    </w:p>
    <w:p w14:paraId="1E1737A5" w14:textId="77777777" w:rsidR="00226CCF" w:rsidRPr="003D27FE" w:rsidRDefault="00226CCF" w:rsidP="00226CCF">
      <w:pPr>
        <w:pStyle w:val="BodyText"/>
        <w:spacing w:before="11"/>
        <w:rPr>
          <w:rFonts w:ascii="Arial" w:hAnsi="Arial" w:cs="Arial"/>
          <w:b/>
          <w:sz w:val="20"/>
          <w:szCs w:val="20"/>
        </w:rPr>
      </w:pPr>
    </w:p>
    <w:p w14:paraId="7BBE8629" w14:textId="4F94BD8C" w:rsidR="00226CCF" w:rsidRPr="003D27FE" w:rsidRDefault="00226CCF" w:rsidP="00226CCF">
      <w:pPr>
        <w:ind w:left="120" w:right="138"/>
        <w:jc w:val="both"/>
        <w:rPr>
          <w:sz w:val="20"/>
          <w:szCs w:val="20"/>
        </w:rPr>
      </w:pPr>
      <w:r w:rsidRPr="003D27FE">
        <w:rPr>
          <w:sz w:val="20"/>
          <w:szCs w:val="20"/>
        </w:rPr>
        <w:t xml:space="preserve">The preparation of financial statements requires an assessment on the validity of the going concern assumption. The interim financial statements have been prepared on a going concern basis, which assumes that the Company will continue to meet its liabilities as they fall due. In assessing whether the going concern assumption is appropriate, the Directors have </w:t>
      </w:r>
      <w:proofErr w:type="gramStart"/>
      <w:r w:rsidRPr="003D27FE">
        <w:rPr>
          <w:sz w:val="20"/>
          <w:szCs w:val="20"/>
        </w:rPr>
        <w:t>taken into account</w:t>
      </w:r>
      <w:proofErr w:type="gramEnd"/>
      <w:r w:rsidRPr="003D27FE">
        <w:rPr>
          <w:sz w:val="20"/>
          <w:szCs w:val="20"/>
        </w:rPr>
        <w:t xml:space="preserve"> all relevant available information about the current and future position of the Company. Negotiations to secure additional funding are well progressed and the Directors are confident in Company’s ability to close negotiations swiftly. Management have modelled that this additional funding will be sufficient in covering the Company’s working capital requirements, therefore the Directors have concluded that the adoption of the going concern assumption is appropriate. </w:t>
      </w:r>
      <w:r w:rsidR="003A6EAB">
        <w:rPr>
          <w:sz w:val="20"/>
          <w:szCs w:val="20"/>
        </w:rPr>
        <w:t xml:space="preserve">Until the company </w:t>
      </w:r>
      <w:proofErr w:type="gramStart"/>
      <w:r w:rsidR="003A6EAB">
        <w:rPr>
          <w:sz w:val="20"/>
          <w:szCs w:val="20"/>
        </w:rPr>
        <w:t>actually receives</w:t>
      </w:r>
      <w:proofErr w:type="gramEnd"/>
      <w:r w:rsidR="003A6EAB">
        <w:rPr>
          <w:sz w:val="20"/>
          <w:szCs w:val="20"/>
        </w:rPr>
        <w:t xml:space="preserve"> the new funds agree</w:t>
      </w:r>
      <w:r w:rsidR="001E1AAF">
        <w:rPr>
          <w:sz w:val="20"/>
          <w:szCs w:val="20"/>
        </w:rPr>
        <w:t>d</w:t>
      </w:r>
      <w:r w:rsidR="003A6EAB">
        <w:rPr>
          <w:sz w:val="20"/>
          <w:szCs w:val="20"/>
        </w:rPr>
        <w:t xml:space="preserve"> from investors, for the interim period, </w:t>
      </w:r>
      <w:r w:rsidRPr="003D27FE">
        <w:rPr>
          <w:sz w:val="20"/>
          <w:szCs w:val="20"/>
        </w:rPr>
        <w:lastRenderedPageBreak/>
        <w:t xml:space="preserve">this does constitute a material uncertainty that may cast doubt on the company’s ability to continue as a going concern. </w:t>
      </w:r>
    </w:p>
    <w:p w14:paraId="572DCF33" w14:textId="77777777" w:rsidR="00226CCF" w:rsidRPr="003D27FE" w:rsidRDefault="00226CCF" w:rsidP="00226CCF">
      <w:pPr>
        <w:ind w:left="120" w:right="138"/>
        <w:jc w:val="both"/>
        <w:rPr>
          <w:sz w:val="20"/>
          <w:szCs w:val="20"/>
          <w:highlight w:val="cyan"/>
        </w:rPr>
      </w:pPr>
    </w:p>
    <w:p w14:paraId="1372BE8F" w14:textId="77777777" w:rsidR="00226CCF" w:rsidRPr="003D27FE" w:rsidRDefault="00226CCF" w:rsidP="00226CCF">
      <w:pPr>
        <w:pStyle w:val="ListParagraph"/>
        <w:widowControl w:val="0"/>
        <w:numPr>
          <w:ilvl w:val="0"/>
          <w:numId w:val="5"/>
        </w:numPr>
        <w:tabs>
          <w:tab w:val="left" w:pos="839"/>
          <w:tab w:val="left" w:pos="840"/>
        </w:tabs>
        <w:autoSpaceDE w:val="0"/>
        <w:autoSpaceDN w:val="0"/>
        <w:spacing w:before="220"/>
        <w:contextualSpacing w:val="0"/>
        <w:rPr>
          <w:rFonts w:ascii="Arial" w:hAnsi="Arial" w:cs="Arial"/>
          <w:b/>
          <w:sz w:val="20"/>
          <w:szCs w:val="20"/>
        </w:rPr>
      </w:pPr>
      <w:r w:rsidRPr="003D27FE">
        <w:rPr>
          <w:rFonts w:ascii="Arial" w:hAnsi="Arial" w:cs="Arial"/>
          <w:b/>
          <w:sz w:val="20"/>
          <w:szCs w:val="20"/>
        </w:rPr>
        <w:t>Critical accounting judgements and key sources of estimation uncertainty</w:t>
      </w:r>
    </w:p>
    <w:p w14:paraId="34051E0F" w14:textId="77777777" w:rsidR="00226CCF" w:rsidRPr="003D27FE" w:rsidRDefault="00226CCF" w:rsidP="00226CCF">
      <w:pPr>
        <w:pStyle w:val="BodyText"/>
        <w:rPr>
          <w:rFonts w:ascii="Arial" w:hAnsi="Arial" w:cs="Arial"/>
          <w:b/>
          <w:sz w:val="20"/>
          <w:szCs w:val="20"/>
          <w:highlight w:val="yellow"/>
        </w:rPr>
      </w:pPr>
    </w:p>
    <w:p w14:paraId="435F026F" w14:textId="77777777" w:rsidR="00226CCF" w:rsidRPr="003D27FE" w:rsidRDefault="00226CCF" w:rsidP="00226CCF">
      <w:pPr>
        <w:ind w:left="120" w:right="136"/>
        <w:jc w:val="both"/>
        <w:rPr>
          <w:spacing w:val="-1"/>
          <w:sz w:val="20"/>
          <w:szCs w:val="20"/>
        </w:rPr>
      </w:pPr>
      <w:r w:rsidRPr="003D27FE">
        <w:rPr>
          <w:spacing w:val="-1"/>
          <w:sz w:val="20"/>
          <w:szCs w:val="20"/>
        </w:rPr>
        <w:t>The preparation of the financial statements requires management to make estimates and judgements and form assumptions that affects the reported amounts of the assets, liabilities, revenue and costs during the periods presented therein, and the disclosure of contingent liabilities at the date of the financial information. Estimates and judgements are continually evaluated and based on management's historical experience and other factors, including future expectations and events that are believed to be reasonable.</w:t>
      </w:r>
    </w:p>
    <w:p w14:paraId="2EED4620" w14:textId="77777777" w:rsidR="00226CCF" w:rsidRPr="003D27FE" w:rsidRDefault="00226CCF" w:rsidP="00226CCF">
      <w:pPr>
        <w:ind w:left="120" w:right="136"/>
        <w:jc w:val="both"/>
        <w:rPr>
          <w:spacing w:val="-1"/>
          <w:sz w:val="20"/>
          <w:szCs w:val="20"/>
        </w:rPr>
      </w:pPr>
    </w:p>
    <w:p w14:paraId="5FA7FF62" w14:textId="77777777" w:rsidR="00226CCF" w:rsidRPr="003D27FE" w:rsidRDefault="00226CCF" w:rsidP="00226CCF">
      <w:pPr>
        <w:ind w:left="120" w:right="136"/>
        <w:jc w:val="both"/>
        <w:rPr>
          <w:spacing w:val="-1"/>
          <w:sz w:val="20"/>
          <w:szCs w:val="20"/>
        </w:rPr>
      </w:pPr>
      <w:r w:rsidRPr="003D27FE">
        <w:rPr>
          <w:spacing w:val="-1"/>
          <w:sz w:val="20"/>
          <w:szCs w:val="20"/>
        </w:rPr>
        <w:t>During the period, the Company issued warrants. The directors have applied the Black</w:t>
      </w:r>
      <w:r w:rsidRPr="003D27FE">
        <w:rPr>
          <w:rFonts w:ascii="Cambria Math" w:hAnsi="Cambria Math" w:cs="Cambria Math"/>
          <w:spacing w:val="-1"/>
          <w:sz w:val="20"/>
          <w:szCs w:val="20"/>
        </w:rPr>
        <w:t>‐</w:t>
      </w:r>
      <w:r w:rsidRPr="003D27FE">
        <w:rPr>
          <w:spacing w:val="-1"/>
          <w:sz w:val="20"/>
          <w:szCs w:val="20"/>
        </w:rPr>
        <w:t>Scholes pricing model to assess the costs associated with the share</w:t>
      </w:r>
      <w:r w:rsidRPr="003D27FE">
        <w:rPr>
          <w:rFonts w:ascii="Cambria Math" w:hAnsi="Cambria Math" w:cs="Cambria Math"/>
          <w:spacing w:val="-1"/>
          <w:sz w:val="20"/>
          <w:szCs w:val="20"/>
        </w:rPr>
        <w:t>‐</w:t>
      </w:r>
      <w:r w:rsidRPr="003D27FE">
        <w:rPr>
          <w:spacing w:val="-1"/>
          <w:sz w:val="20"/>
          <w:szCs w:val="20"/>
        </w:rPr>
        <w:t>based payments. The Black</w:t>
      </w:r>
      <w:r w:rsidRPr="003D27FE">
        <w:rPr>
          <w:rFonts w:ascii="Cambria Math" w:hAnsi="Cambria Math" w:cs="Cambria Math"/>
          <w:spacing w:val="-1"/>
          <w:sz w:val="20"/>
          <w:szCs w:val="20"/>
        </w:rPr>
        <w:t>‐</w:t>
      </w:r>
      <w:r w:rsidRPr="003D27FE">
        <w:rPr>
          <w:spacing w:val="-1"/>
          <w:sz w:val="20"/>
          <w:szCs w:val="20"/>
        </w:rPr>
        <w:t>Scholes model is dependent upon several inputs where the directors must exercise their judgement, specifically: risk</w:t>
      </w:r>
      <w:r w:rsidRPr="003D27FE">
        <w:rPr>
          <w:rFonts w:ascii="Cambria Math" w:hAnsi="Cambria Math" w:cs="Cambria Math"/>
          <w:spacing w:val="-1"/>
          <w:sz w:val="20"/>
          <w:szCs w:val="20"/>
        </w:rPr>
        <w:t>‐</w:t>
      </w:r>
      <w:r w:rsidRPr="003D27FE">
        <w:rPr>
          <w:spacing w:val="-1"/>
          <w:sz w:val="20"/>
          <w:szCs w:val="20"/>
        </w:rPr>
        <w:t>free investment rate; expected share price volatility at the time of the grant; and expected level of redemption. The assumptions applied by the directors, and the associated costs recognised in the financial statements are outlined in these financial statements.</w:t>
      </w:r>
    </w:p>
    <w:p w14:paraId="4AFD3090" w14:textId="77777777" w:rsidR="00226CCF" w:rsidRPr="003D27FE" w:rsidRDefault="00226CCF" w:rsidP="00226CCF">
      <w:pPr>
        <w:ind w:left="120" w:right="136"/>
        <w:jc w:val="both"/>
        <w:rPr>
          <w:sz w:val="20"/>
          <w:szCs w:val="20"/>
          <w:highlight w:val="yellow"/>
        </w:rPr>
      </w:pPr>
    </w:p>
    <w:p w14:paraId="6E3CD59B" w14:textId="77777777" w:rsidR="00226CCF" w:rsidRPr="003D27FE" w:rsidRDefault="00226CCF" w:rsidP="00226CCF">
      <w:pPr>
        <w:ind w:right="137"/>
        <w:jc w:val="both"/>
        <w:rPr>
          <w:sz w:val="20"/>
          <w:szCs w:val="20"/>
        </w:rPr>
      </w:pPr>
    </w:p>
    <w:p w14:paraId="51F1FB21" w14:textId="77777777" w:rsidR="002C6F63" w:rsidRPr="003D27FE" w:rsidRDefault="002C6F63" w:rsidP="00226CCF">
      <w:pPr>
        <w:ind w:right="137"/>
        <w:jc w:val="both"/>
        <w:rPr>
          <w:sz w:val="20"/>
          <w:szCs w:val="20"/>
        </w:rPr>
      </w:pPr>
    </w:p>
    <w:p w14:paraId="3A5F9CF6" w14:textId="77777777" w:rsidR="00226CCF" w:rsidRPr="003D27FE" w:rsidRDefault="00226CCF" w:rsidP="00226CCF">
      <w:pPr>
        <w:pStyle w:val="ListParagraph"/>
        <w:widowControl w:val="0"/>
        <w:numPr>
          <w:ilvl w:val="0"/>
          <w:numId w:val="5"/>
        </w:numPr>
        <w:tabs>
          <w:tab w:val="left" w:pos="839"/>
          <w:tab w:val="left" w:pos="840"/>
        </w:tabs>
        <w:autoSpaceDE w:val="0"/>
        <w:autoSpaceDN w:val="0"/>
        <w:ind w:hanging="673"/>
        <w:contextualSpacing w:val="0"/>
        <w:rPr>
          <w:rFonts w:ascii="Arial" w:hAnsi="Arial" w:cs="Arial"/>
          <w:b/>
          <w:sz w:val="20"/>
          <w:szCs w:val="20"/>
        </w:rPr>
      </w:pPr>
      <w:r w:rsidRPr="003D27FE">
        <w:rPr>
          <w:rFonts w:ascii="Arial" w:hAnsi="Arial" w:cs="Arial"/>
          <w:b/>
          <w:sz w:val="20"/>
          <w:szCs w:val="20"/>
        </w:rPr>
        <w:t>Revenue</w:t>
      </w:r>
    </w:p>
    <w:p w14:paraId="01155340" w14:textId="77777777" w:rsidR="00226CCF" w:rsidRPr="003D27FE" w:rsidRDefault="00226CCF" w:rsidP="00226CCF">
      <w:pPr>
        <w:tabs>
          <w:tab w:val="left" w:pos="839"/>
          <w:tab w:val="left" w:pos="840"/>
        </w:tabs>
        <w:rPr>
          <w:b/>
          <w:sz w:val="20"/>
          <w:szCs w:val="20"/>
          <w:highlight w:val="yellow"/>
        </w:rPr>
      </w:pPr>
    </w:p>
    <w:p w14:paraId="46D277C7" w14:textId="0C79CEEE" w:rsidR="00226CCF" w:rsidRPr="003D27FE" w:rsidRDefault="00226CCF" w:rsidP="0092411F">
      <w:pPr>
        <w:tabs>
          <w:tab w:val="left" w:pos="839"/>
          <w:tab w:val="left" w:pos="840"/>
        </w:tabs>
        <w:ind w:left="142"/>
        <w:rPr>
          <w:spacing w:val="-1"/>
          <w:sz w:val="20"/>
          <w:szCs w:val="20"/>
        </w:rPr>
      </w:pPr>
      <w:r w:rsidRPr="003D27FE">
        <w:rPr>
          <w:spacing w:val="-1"/>
          <w:sz w:val="20"/>
          <w:szCs w:val="20"/>
        </w:rPr>
        <w:t xml:space="preserve">The Company </w:t>
      </w:r>
      <w:r w:rsidR="00AB21D1">
        <w:rPr>
          <w:spacing w:val="-1"/>
          <w:sz w:val="20"/>
          <w:szCs w:val="20"/>
        </w:rPr>
        <w:t xml:space="preserve">has </w:t>
      </w:r>
      <w:r w:rsidRPr="003D27FE">
        <w:rPr>
          <w:spacing w:val="-1"/>
          <w:sz w:val="20"/>
          <w:szCs w:val="20"/>
        </w:rPr>
        <w:t>derive</w:t>
      </w:r>
      <w:r w:rsidR="00AB21D1">
        <w:rPr>
          <w:spacing w:val="-1"/>
          <w:sz w:val="20"/>
          <w:szCs w:val="20"/>
        </w:rPr>
        <w:t>d</w:t>
      </w:r>
      <w:r w:rsidRPr="003D27FE">
        <w:rPr>
          <w:spacing w:val="-1"/>
          <w:sz w:val="20"/>
          <w:szCs w:val="20"/>
        </w:rPr>
        <w:t xml:space="preserve"> revenue from various sources, including revenue from contracts with customers. These revenue sources involve the transfer of goods and/or services over time and at a point in time in the following major product lines.</w:t>
      </w:r>
    </w:p>
    <w:tbl>
      <w:tblPr>
        <w:tblW w:w="5000" w:type="pct"/>
        <w:tblLook w:val="04A0" w:firstRow="1" w:lastRow="0" w:firstColumn="1" w:lastColumn="0" w:noHBand="0" w:noVBand="1"/>
      </w:tblPr>
      <w:tblGrid>
        <w:gridCol w:w="5897"/>
        <w:gridCol w:w="1953"/>
        <w:gridCol w:w="1789"/>
      </w:tblGrid>
      <w:tr w:rsidR="0092411F" w:rsidRPr="003D27FE" w14:paraId="68DB165F" w14:textId="77777777" w:rsidTr="0092411F">
        <w:trPr>
          <w:trHeight w:val="1248"/>
        </w:trPr>
        <w:tc>
          <w:tcPr>
            <w:tcW w:w="3059" w:type="pct"/>
            <w:tcBorders>
              <w:top w:val="nil"/>
              <w:left w:val="nil"/>
              <w:bottom w:val="nil"/>
              <w:right w:val="nil"/>
            </w:tcBorders>
            <w:shd w:val="clear" w:color="auto" w:fill="auto"/>
            <w:vAlign w:val="center"/>
            <w:hideMark/>
          </w:tcPr>
          <w:p w14:paraId="1349E3F3" w14:textId="77777777" w:rsidR="0092411F" w:rsidRPr="003D27FE" w:rsidRDefault="0092411F" w:rsidP="00075FBF">
            <w:pPr>
              <w:rPr>
                <w:sz w:val="20"/>
                <w:szCs w:val="20"/>
              </w:rPr>
            </w:pPr>
          </w:p>
        </w:tc>
        <w:tc>
          <w:tcPr>
            <w:tcW w:w="1013" w:type="pct"/>
            <w:tcBorders>
              <w:top w:val="nil"/>
              <w:left w:val="nil"/>
              <w:bottom w:val="nil"/>
              <w:right w:val="nil"/>
            </w:tcBorders>
            <w:vAlign w:val="center"/>
          </w:tcPr>
          <w:p w14:paraId="140D1B73" w14:textId="77777777" w:rsidR="0092411F" w:rsidRPr="003D27FE" w:rsidRDefault="0092411F" w:rsidP="00075FBF">
            <w:pPr>
              <w:jc w:val="right"/>
              <w:rPr>
                <w:b/>
                <w:bCs/>
                <w:color w:val="000000"/>
                <w:sz w:val="20"/>
                <w:szCs w:val="20"/>
              </w:rPr>
            </w:pPr>
            <w:r w:rsidRPr="003D27FE">
              <w:rPr>
                <w:b/>
                <w:bCs/>
                <w:color w:val="000000"/>
                <w:sz w:val="20"/>
                <w:szCs w:val="20"/>
              </w:rPr>
              <w:t xml:space="preserve">Unaudited </w:t>
            </w:r>
          </w:p>
          <w:p w14:paraId="14BAAA8F" w14:textId="76DEDBE8" w:rsidR="0092411F" w:rsidRPr="003D27FE" w:rsidRDefault="0092411F" w:rsidP="00075FBF">
            <w:pPr>
              <w:jc w:val="right"/>
              <w:rPr>
                <w:b/>
                <w:bCs/>
                <w:color w:val="000000"/>
                <w:sz w:val="20"/>
                <w:szCs w:val="20"/>
              </w:rPr>
            </w:pPr>
            <w:r w:rsidRPr="003D27FE">
              <w:rPr>
                <w:b/>
                <w:bCs/>
                <w:color w:val="000000"/>
                <w:sz w:val="20"/>
                <w:szCs w:val="20"/>
              </w:rPr>
              <w:t xml:space="preserve">15 Months </w:t>
            </w:r>
            <w:r w:rsidRPr="003D27FE">
              <w:rPr>
                <w:b/>
                <w:bCs/>
                <w:color w:val="000000"/>
                <w:sz w:val="20"/>
                <w:szCs w:val="20"/>
              </w:rPr>
              <w:br/>
              <w:t>ended 31 Dec 2024</w:t>
            </w:r>
          </w:p>
        </w:tc>
        <w:tc>
          <w:tcPr>
            <w:tcW w:w="928" w:type="pct"/>
            <w:tcBorders>
              <w:top w:val="nil"/>
              <w:left w:val="nil"/>
              <w:bottom w:val="nil"/>
              <w:right w:val="nil"/>
            </w:tcBorders>
            <w:shd w:val="clear" w:color="auto" w:fill="auto"/>
            <w:vAlign w:val="center"/>
            <w:hideMark/>
          </w:tcPr>
          <w:p w14:paraId="772F3397" w14:textId="77777777" w:rsidR="0092411F" w:rsidRPr="003D27FE" w:rsidRDefault="0092411F" w:rsidP="00075FBF">
            <w:pPr>
              <w:jc w:val="right"/>
              <w:rPr>
                <w:b/>
                <w:bCs/>
                <w:color w:val="000000"/>
                <w:sz w:val="20"/>
                <w:szCs w:val="20"/>
              </w:rPr>
            </w:pPr>
            <w:r w:rsidRPr="003D27FE">
              <w:rPr>
                <w:b/>
                <w:bCs/>
                <w:color w:val="000000"/>
                <w:sz w:val="20"/>
                <w:szCs w:val="20"/>
              </w:rPr>
              <w:t xml:space="preserve">Audited </w:t>
            </w:r>
            <w:r w:rsidRPr="003D27FE">
              <w:rPr>
                <w:b/>
                <w:bCs/>
                <w:color w:val="000000"/>
                <w:sz w:val="20"/>
                <w:szCs w:val="20"/>
              </w:rPr>
              <w:br/>
              <w:t xml:space="preserve">period </w:t>
            </w:r>
            <w:r w:rsidRPr="003D27FE">
              <w:rPr>
                <w:b/>
                <w:bCs/>
                <w:color w:val="000000"/>
                <w:sz w:val="20"/>
                <w:szCs w:val="20"/>
              </w:rPr>
              <w:br/>
              <w:t>ended 30 Sep 2023</w:t>
            </w:r>
          </w:p>
        </w:tc>
      </w:tr>
      <w:tr w:rsidR="0092411F" w:rsidRPr="003D27FE" w14:paraId="333B1836" w14:textId="77777777" w:rsidTr="0092411F">
        <w:trPr>
          <w:trHeight w:val="325"/>
        </w:trPr>
        <w:tc>
          <w:tcPr>
            <w:tcW w:w="3059" w:type="pct"/>
            <w:tcBorders>
              <w:top w:val="nil"/>
              <w:left w:val="nil"/>
              <w:bottom w:val="single" w:sz="12" w:space="0" w:color="000000"/>
              <w:right w:val="nil"/>
            </w:tcBorders>
            <w:shd w:val="clear" w:color="auto" w:fill="auto"/>
            <w:vAlign w:val="center"/>
            <w:hideMark/>
          </w:tcPr>
          <w:p w14:paraId="37F637B8" w14:textId="77777777" w:rsidR="0092411F" w:rsidRPr="003D27FE" w:rsidRDefault="0092411F" w:rsidP="00075FBF">
            <w:pPr>
              <w:rPr>
                <w:color w:val="000000"/>
                <w:sz w:val="20"/>
                <w:szCs w:val="20"/>
              </w:rPr>
            </w:pPr>
            <w:r w:rsidRPr="003D27FE">
              <w:rPr>
                <w:color w:val="000000"/>
                <w:sz w:val="20"/>
                <w:szCs w:val="20"/>
              </w:rPr>
              <w:t> </w:t>
            </w:r>
          </w:p>
        </w:tc>
        <w:tc>
          <w:tcPr>
            <w:tcW w:w="1013" w:type="pct"/>
            <w:tcBorders>
              <w:top w:val="nil"/>
              <w:left w:val="nil"/>
              <w:bottom w:val="single" w:sz="12" w:space="0" w:color="000000"/>
              <w:right w:val="nil"/>
            </w:tcBorders>
            <w:vAlign w:val="center"/>
          </w:tcPr>
          <w:p w14:paraId="7BC45552" w14:textId="77777777" w:rsidR="0092411F" w:rsidRPr="003D27FE" w:rsidRDefault="0092411F" w:rsidP="00075FBF">
            <w:pPr>
              <w:jc w:val="right"/>
              <w:rPr>
                <w:b/>
                <w:bCs/>
                <w:color w:val="000000"/>
                <w:sz w:val="20"/>
                <w:szCs w:val="20"/>
              </w:rPr>
            </w:pPr>
            <w:r w:rsidRPr="003D27FE">
              <w:rPr>
                <w:b/>
                <w:bCs/>
                <w:color w:val="000000"/>
                <w:sz w:val="20"/>
                <w:szCs w:val="20"/>
              </w:rPr>
              <w:t>£’000</w:t>
            </w:r>
          </w:p>
        </w:tc>
        <w:tc>
          <w:tcPr>
            <w:tcW w:w="928" w:type="pct"/>
            <w:tcBorders>
              <w:top w:val="nil"/>
              <w:left w:val="nil"/>
              <w:bottom w:val="single" w:sz="12" w:space="0" w:color="000000"/>
              <w:right w:val="nil"/>
            </w:tcBorders>
            <w:shd w:val="clear" w:color="auto" w:fill="auto"/>
            <w:vAlign w:val="center"/>
            <w:hideMark/>
          </w:tcPr>
          <w:p w14:paraId="40C3D124" w14:textId="77777777" w:rsidR="0092411F" w:rsidRPr="003D27FE" w:rsidRDefault="0092411F" w:rsidP="00075FBF">
            <w:pPr>
              <w:jc w:val="right"/>
              <w:rPr>
                <w:b/>
                <w:bCs/>
                <w:color w:val="000000"/>
                <w:sz w:val="20"/>
                <w:szCs w:val="20"/>
              </w:rPr>
            </w:pPr>
            <w:r w:rsidRPr="003D27FE">
              <w:rPr>
                <w:b/>
                <w:bCs/>
                <w:color w:val="000000"/>
                <w:sz w:val="20"/>
                <w:szCs w:val="20"/>
              </w:rPr>
              <w:t>£’000</w:t>
            </w:r>
          </w:p>
        </w:tc>
      </w:tr>
      <w:tr w:rsidR="0092411F" w:rsidRPr="003D27FE" w14:paraId="3F9C48F3" w14:textId="77777777" w:rsidTr="0092411F">
        <w:trPr>
          <w:trHeight w:val="325"/>
        </w:trPr>
        <w:tc>
          <w:tcPr>
            <w:tcW w:w="3059" w:type="pct"/>
            <w:tcBorders>
              <w:top w:val="nil"/>
              <w:left w:val="nil"/>
              <w:bottom w:val="nil"/>
              <w:right w:val="nil"/>
            </w:tcBorders>
            <w:shd w:val="clear" w:color="auto" w:fill="auto"/>
            <w:vAlign w:val="center"/>
            <w:hideMark/>
          </w:tcPr>
          <w:p w14:paraId="7D1CAA0D" w14:textId="77777777" w:rsidR="0092411F" w:rsidRPr="003D27FE" w:rsidRDefault="0092411F" w:rsidP="00890057">
            <w:pPr>
              <w:rPr>
                <w:color w:val="000000"/>
                <w:sz w:val="20"/>
                <w:szCs w:val="20"/>
              </w:rPr>
            </w:pPr>
            <w:r w:rsidRPr="003D27FE">
              <w:rPr>
                <w:color w:val="000000"/>
                <w:sz w:val="20"/>
                <w:szCs w:val="20"/>
              </w:rPr>
              <w:t>Sponsorship revenue</w:t>
            </w:r>
          </w:p>
        </w:tc>
        <w:tc>
          <w:tcPr>
            <w:tcW w:w="1013" w:type="pct"/>
            <w:tcBorders>
              <w:top w:val="nil"/>
              <w:left w:val="nil"/>
              <w:bottom w:val="nil"/>
              <w:right w:val="nil"/>
            </w:tcBorders>
          </w:tcPr>
          <w:p w14:paraId="4FB4BE24" w14:textId="43E8F10D" w:rsidR="0092411F" w:rsidRPr="003D27FE" w:rsidRDefault="0092411F" w:rsidP="00890057">
            <w:pPr>
              <w:jc w:val="right"/>
              <w:rPr>
                <w:color w:val="000000"/>
                <w:sz w:val="20"/>
                <w:szCs w:val="20"/>
              </w:rPr>
            </w:pPr>
            <w:r w:rsidRPr="003D27FE">
              <w:rPr>
                <w:sz w:val="20"/>
                <w:szCs w:val="20"/>
              </w:rPr>
              <w:t xml:space="preserve"> 2,217 </w:t>
            </w:r>
          </w:p>
        </w:tc>
        <w:tc>
          <w:tcPr>
            <w:tcW w:w="928" w:type="pct"/>
            <w:tcBorders>
              <w:top w:val="nil"/>
              <w:left w:val="nil"/>
              <w:bottom w:val="nil"/>
              <w:right w:val="nil"/>
            </w:tcBorders>
            <w:shd w:val="clear" w:color="auto" w:fill="auto"/>
            <w:vAlign w:val="center"/>
          </w:tcPr>
          <w:p w14:paraId="6DF7343F" w14:textId="77777777" w:rsidR="0092411F" w:rsidRPr="003D27FE" w:rsidRDefault="0092411F" w:rsidP="00890057">
            <w:pPr>
              <w:jc w:val="right"/>
              <w:rPr>
                <w:color w:val="000000"/>
                <w:sz w:val="20"/>
                <w:szCs w:val="20"/>
              </w:rPr>
            </w:pPr>
            <w:r w:rsidRPr="003D27FE">
              <w:rPr>
                <w:color w:val="000000"/>
                <w:sz w:val="20"/>
                <w:szCs w:val="20"/>
              </w:rPr>
              <w:t>3,823</w:t>
            </w:r>
          </w:p>
        </w:tc>
      </w:tr>
      <w:tr w:rsidR="0092411F" w:rsidRPr="003D27FE" w14:paraId="72201FD2" w14:textId="77777777" w:rsidTr="0092411F">
        <w:trPr>
          <w:trHeight w:val="325"/>
        </w:trPr>
        <w:tc>
          <w:tcPr>
            <w:tcW w:w="3059" w:type="pct"/>
            <w:tcBorders>
              <w:top w:val="nil"/>
              <w:left w:val="nil"/>
              <w:bottom w:val="nil"/>
              <w:right w:val="nil"/>
            </w:tcBorders>
            <w:shd w:val="clear" w:color="auto" w:fill="auto"/>
            <w:vAlign w:val="center"/>
          </w:tcPr>
          <w:p w14:paraId="69A77A0D" w14:textId="77777777" w:rsidR="0092411F" w:rsidRPr="003D27FE" w:rsidRDefault="0092411F" w:rsidP="00890057">
            <w:pPr>
              <w:rPr>
                <w:color w:val="000000"/>
                <w:sz w:val="20"/>
                <w:szCs w:val="20"/>
              </w:rPr>
            </w:pPr>
            <w:r w:rsidRPr="003D27FE">
              <w:rPr>
                <w:color w:val="000000"/>
                <w:sz w:val="20"/>
                <w:szCs w:val="20"/>
              </w:rPr>
              <w:t>Studios revenue</w:t>
            </w:r>
          </w:p>
        </w:tc>
        <w:tc>
          <w:tcPr>
            <w:tcW w:w="1013" w:type="pct"/>
            <w:tcBorders>
              <w:top w:val="nil"/>
              <w:left w:val="nil"/>
              <w:bottom w:val="nil"/>
              <w:right w:val="nil"/>
            </w:tcBorders>
          </w:tcPr>
          <w:p w14:paraId="59023484" w14:textId="38A533E7" w:rsidR="0092411F" w:rsidRPr="003D27FE" w:rsidRDefault="0092411F" w:rsidP="00890057">
            <w:pPr>
              <w:jc w:val="right"/>
              <w:rPr>
                <w:color w:val="000000"/>
                <w:sz w:val="20"/>
                <w:szCs w:val="20"/>
              </w:rPr>
            </w:pPr>
            <w:r w:rsidRPr="003D27FE">
              <w:rPr>
                <w:sz w:val="20"/>
                <w:szCs w:val="20"/>
              </w:rPr>
              <w:t xml:space="preserve">1,454   </w:t>
            </w:r>
          </w:p>
        </w:tc>
        <w:tc>
          <w:tcPr>
            <w:tcW w:w="928" w:type="pct"/>
            <w:tcBorders>
              <w:top w:val="nil"/>
              <w:left w:val="nil"/>
              <w:bottom w:val="nil"/>
              <w:right w:val="nil"/>
            </w:tcBorders>
            <w:shd w:val="clear" w:color="auto" w:fill="auto"/>
            <w:vAlign w:val="center"/>
          </w:tcPr>
          <w:p w14:paraId="1D160DE7" w14:textId="77777777" w:rsidR="0092411F" w:rsidRPr="003D27FE" w:rsidRDefault="0092411F" w:rsidP="00890057">
            <w:pPr>
              <w:jc w:val="right"/>
              <w:rPr>
                <w:color w:val="000000"/>
                <w:sz w:val="20"/>
                <w:szCs w:val="20"/>
              </w:rPr>
            </w:pPr>
            <w:r w:rsidRPr="003D27FE">
              <w:rPr>
                <w:color w:val="000000"/>
                <w:sz w:val="20"/>
                <w:szCs w:val="20"/>
              </w:rPr>
              <w:t>259</w:t>
            </w:r>
          </w:p>
        </w:tc>
      </w:tr>
      <w:tr w:rsidR="0092411F" w:rsidRPr="003D27FE" w14:paraId="248C7FC1" w14:textId="77777777" w:rsidTr="0092411F">
        <w:trPr>
          <w:trHeight w:val="325"/>
        </w:trPr>
        <w:tc>
          <w:tcPr>
            <w:tcW w:w="3059" w:type="pct"/>
            <w:tcBorders>
              <w:top w:val="nil"/>
              <w:left w:val="nil"/>
              <w:bottom w:val="nil"/>
              <w:right w:val="nil"/>
            </w:tcBorders>
            <w:shd w:val="clear" w:color="auto" w:fill="auto"/>
            <w:vAlign w:val="center"/>
            <w:hideMark/>
          </w:tcPr>
          <w:p w14:paraId="5571B160" w14:textId="77777777" w:rsidR="0092411F" w:rsidRPr="003D27FE" w:rsidRDefault="0092411F" w:rsidP="00890057">
            <w:pPr>
              <w:rPr>
                <w:color w:val="000000"/>
                <w:sz w:val="20"/>
                <w:szCs w:val="20"/>
              </w:rPr>
            </w:pPr>
            <w:r w:rsidRPr="003D27FE">
              <w:rPr>
                <w:color w:val="000000"/>
                <w:sz w:val="20"/>
                <w:szCs w:val="20"/>
              </w:rPr>
              <w:t>Prize money</w:t>
            </w:r>
          </w:p>
        </w:tc>
        <w:tc>
          <w:tcPr>
            <w:tcW w:w="1013" w:type="pct"/>
            <w:tcBorders>
              <w:top w:val="nil"/>
              <w:left w:val="nil"/>
              <w:bottom w:val="nil"/>
              <w:right w:val="nil"/>
            </w:tcBorders>
          </w:tcPr>
          <w:p w14:paraId="05AE93E8" w14:textId="531A3BB2" w:rsidR="0092411F" w:rsidRPr="003D27FE" w:rsidRDefault="0092411F" w:rsidP="00890057">
            <w:pPr>
              <w:jc w:val="right"/>
              <w:rPr>
                <w:color w:val="000000"/>
                <w:sz w:val="20"/>
                <w:szCs w:val="20"/>
              </w:rPr>
            </w:pPr>
            <w:r w:rsidRPr="003D27FE">
              <w:rPr>
                <w:sz w:val="20"/>
                <w:szCs w:val="20"/>
              </w:rPr>
              <w:t xml:space="preserve"> 277 </w:t>
            </w:r>
          </w:p>
        </w:tc>
        <w:tc>
          <w:tcPr>
            <w:tcW w:w="928" w:type="pct"/>
            <w:tcBorders>
              <w:top w:val="nil"/>
              <w:left w:val="nil"/>
              <w:bottom w:val="nil"/>
              <w:right w:val="nil"/>
            </w:tcBorders>
            <w:shd w:val="clear" w:color="auto" w:fill="auto"/>
            <w:vAlign w:val="center"/>
          </w:tcPr>
          <w:p w14:paraId="0F7C09B1" w14:textId="77777777" w:rsidR="0092411F" w:rsidRPr="003D27FE" w:rsidRDefault="0092411F" w:rsidP="00890057">
            <w:pPr>
              <w:jc w:val="right"/>
              <w:rPr>
                <w:color w:val="000000"/>
                <w:sz w:val="20"/>
                <w:szCs w:val="20"/>
              </w:rPr>
            </w:pPr>
            <w:r w:rsidRPr="003D27FE">
              <w:rPr>
                <w:color w:val="000000"/>
                <w:sz w:val="20"/>
                <w:szCs w:val="20"/>
              </w:rPr>
              <w:t>1,026</w:t>
            </w:r>
          </w:p>
        </w:tc>
      </w:tr>
      <w:tr w:rsidR="0092411F" w:rsidRPr="003D27FE" w14:paraId="3FFADD05" w14:textId="77777777" w:rsidTr="0092411F">
        <w:trPr>
          <w:trHeight w:val="325"/>
        </w:trPr>
        <w:tc>
          <w:tcPr>
            <w:tcW w:w="3059" w:type="pct"/>
            <w:tcBorders>
              <w:top w:val="nil"/>
              <w:left w:val="nil"/>
              <w:bottom w:val="single" w:sz="8" w:space="0" w:color="000000"/>
              <w:right w:val="nil"/>
            </w:tcBorders>
            <w:shd w:val="clear" w:color="auto" w:fill="auto"/>
            <w:vAlign w:val="center"/>
            <w:hideMark/>
          </w:tcPr>
          <w:p w14:paraId="3D0DC849" w14:textId="77777777" w:rsidR="0092411F" w:rsidRPr="003D27FE" w:rsidRDefault="0092411F" w:rsidP="00890057">
            <w:pPr>
              <w:rPr>
                <w:color w:val="000000"/>
                <w:sz w:val="20"/>
                <w:szCs w:val="20"/>
              </w:rPr>
            </w:pPr>
            <w:r w:rsidRPr="003D27FE">
              <w:rPr>
                <w:color w:val="000000"/>
                <w:sz w:val="20"/>
                <w:szCs w:val="20"/>
              </w:rPr>
              <w:t>Other revenue</w:t>
            </w:r>
          </w:p>
        </w:tc>
        <w:tc>
          <w:tcPr>
            <w:tcW w:w="1013" w:type="pct"/>
            <w:tcBorders>
              <w:top w:val="nil"/>
              <w:left w:val="nil"/>
              <w:bottom w:val="single" w:sz="8" w:space="0" w:color="000000"/>
              <w:right w:val="nil"/>
            </w:tcBorders>
          </w:tcPr>
          <w:p w14:paraId="54C962B3" w14:textId="38BCCBF3" w:rsidR="0092411F" w:rsidRPr="003D27FE" w:rsidRDefault="0092411F" w:rsidP="00890057">
            <w:pPr>
              <w:jc w:val="right"/>
              <w:rPr>
                <w:color w:val="000000"/>
                <w:sz w:val="20"/>
                <w:szCs w:val="20"/>
              </w:rPr>
            </w:pPr>
            <w:r w:rsidRPr="003D27FE">
              <w:rPr>
                <w:sz w:val="20"/>
                <w:szCs w:val="20"/>
              </w:rPr>
              <w:t xml:space="preserve"> 386 </w:t>
            </w:r>
          </w:p>
        </w:tc>
        <w:tc>
          <w:tcPr>
            <w:tcW w:w="928" w:type="pct"/>
            <w:tcBorders>
              <w:top w:val="nil"/>
              <w:left w:val="nil"/>
              <w:bottom w:val="single" w:sz="8" w:space="0" w:color="000000"/>
              <w:right w:val="nil"/>
            </w:tcBorders>
            <w:shd w:val="clear" w:color="auto" w:fill="auto"/>
            <w:vAlign w:val="center"/>
          </w:tcPr>
          <w:p w14:paraId="3894CFF6" w14:textId="77777777" w:rsidR="0092411F" w:rsidRPr="003D27FE" w:rsidRDefault="0092411F" w:rsidP="00890057">
            <w:pPr>
              <w:jc w:val="right"/>
              <w:rPr>
                <w:color w:val="000000"/>
                <w:sz w:val="20"/>
                <w:szCs w:val="20"/>
              </w:rPr>
            </w:pPr>
            <w:r w:rsidRPr="003D27FE">
              <w:rPr>
                <w:color w:val="000000"/>
                <w:sz w:val="20"/>
                <w:szCs w:val="20"/>
              </w:rPr>
              <w:t>417</w:t>
            </w:r>
          </w:p>
        </w:tc>
      </w:tr>
      <w:tr w:rsidR="0092411F" w:rsidRPr="003D27FE" w14:paraId="3B5DB48A" w14:textId="77777777" w:rsidTr="0092411F">
        <w:trPr>
          <w:trHeight w:val="325"/>
        </w:trPr>
        <w:tc>
          <w:tcPr>
            <w:tcW w:w="3059" w:type="pct"/>
            <w:tcBorders>
              <w:top w:val="nil"/>
              <w:left w:val="nil"/>
              <w:bottom w:val="single" w:sz="12" w:space="0" w:color="000000"/>
              <w:right w:val="nil"/>
            </w:tcBorders>
            <w:shd w:val="clear" w:color="auto" w:fill="auto"/>
            <w:vAlign w:val="center"/>
            <w:hideMark/>
          </w:tcPr>
          <w:p w14:paraId="15FDDBB1" w14:textId="77777777" w:rsidR="0092411F" w:rsidRPr="003D27FE" w:rsidRDefault="0092411F" w:rsidP="00D8770B">
            <w:pPr>
              <w:rPr>
                <w:b/>
                <w:bCs/>
                <w:color w:val="000000"/>
                <w:sz w:val="20"/>
                <w:szCs w:val="20"/>
              </w:rPr>
            </w:pPr>
            <w:r w:rsidRPr="003D27FE">
              <w:rPr>
                <w:b/>
                <w:bCs/>
                <w:color w:val="000000"/>
                <w:sz w:val="20"/>
                <w:szCs w:val="20"/>
              </w:rPr>
              <w:t>Total revenue</w:t>
            </w:r>
          </w:p>
        </w:tc>
        <w:tc>
          <w:tcPr>
            <w:tcW w:w="1013" w:type="pct"/>
            <w:tcBorders>
              <w:top w:val="nil"/>
              <w:left w:val="nil"/>
              <w:bottom w:val="single" w:sz="12" w:space="0" w:color="000000"/>
              <w:right w:val="nil"/>
            </w:tcBorders>
            <w:vAlign w:val="center"/>
          </w:tcPr>
          <w:p w14:paraId="46E1C4BB" w14:textId="215D5C21" w:rsidR="0092411F" w:rsidRPr="003D27FE" w:rsidRDefault="0092411F" w:rsidP="00D8770B">
            <w:pPr>
              <w:jc w:val="right"/>
              <w:rPr>
                <w:b/>
                <w:bCs/>
                <w:color w:val="000000"/>
                <w:sz w:val="20"/>
                <w:szCs w:val="20"/>
              </w:rPr>
            </w:pPr>
            <w:r w:rsidRPr="003D27FE">
              <w:rPr>
                <w:b/>
                <w:bCs/>
                <w:color w:val="000000"/>
                <w:sz w:val="20"/>
                <w:szCs w:val="20"/>
              </w:rPr>
              <w:t>4,334</w:t>
            </w:r>
          </w:p>
        </w:tc>
        <w:tc>
          <w:tcPr>
            <w:tcW w:w="928" w:type="pct"/>
            <w:tcBorders>
              <w:top w:val="nil"/>
              <w:left w:val="nil"/>
              <w:bottom w:val="single" w:sz="12" w:space="0" w:color="000000"/>
              <w:right w:val="nil"/>
            </w:tcBorders>
            <w:shd w:val="clear" w:color="auto" w:fill="auto"/>
            <w:vAlign w:val="center"/>
          </w:tcPr>
          <w:p w14:paraId="1AF4C607" w14:textId="77777777" w:rsidR="0092411F" w:rsidRPr="003D27FE" w:rsidRDefault="0092411F" w:rsidP="00D8770B">
            <w:pPr>
              <w:jc w:val="right"/>
              <w:rPr>
                <w:b/>
                <w:bCs/>
                <w:color w:val="000000"/>
                <w:sz w:val="20"/>
                <w:szCs w:val="20"/>
              </w:rPr>
            </w:pPr>
            <w:r w:rsidRPr="003D27FE">
              <w:rPr>
                <w:b/>
                <w:bCs/>
                <w:color w:val="000000"/>
                <w:sz w:val="20"/>
                <w:szCs w:val="20"/>
              </w:rPr>
              <w:t>5,525</w:t>
            </w:r>
          </w:p>
        </w:tc>
      </w:tr>
    </w:tbl>
    <w:p w14:paraId="0484DC4B" w14:textId="77777777" w:rsidR="00226CCF" w:rsidRDefault="00226CCF" w:rsidP="00226CCF">
      <w:pPr>
        <w:rPr>
          <w:sz w:val="20"/>
          <w:szCs w:val="20"/>
        </w:rPr>
      </w:pPr>
    </w:p>
    <w:p w14:paraId="1693B57B" w14:textId="77777777" w:rsidR="00AB21D1" w:rsidRDefault="00AB21D1" w:rsidP="00226CCF">
      <w:pPr>
        <w:rPr>
          <w:sz w:val="20"/>
          <w:szCs w:val="20"/>
        </w:rPr>
      </w:pPr>
    </w:p>
    <w:p w14:paraId="6675A8A6" w14:textId="77777777" w:rsidR="00AB21D1" w:rsidRDefault="00AB21D1" w:rsidP="00226CCF">
      <w:pPr>
        <w:rPr>
          <w:sz w:val="20"/>
          <w:szCs w:val="20"/>
        </w:rPr>
      </w:pPr>
    </w:p>
    <w:p w14:paraId="7E24367D" w14:textId="77777777" w:rsidR="001E1AAF" w:rsidRDefault="001E1AAF" w:rsidP="00226CCF">
      <w:pPr>
        <w:rPr>
          <w:sz w:val="20"/>
          <w:szCs w:val="20"/>
        </w:rPr>
      </w:pPr>
    </w:p>
    <w:p w14:paraId="3E019B1B" w14:textId="77777777" w:rsidR="00AB21D1" w:rsidRPr="003D27FE" w:rsidRDefault="00AB21D1" w:rsidP="00226CCF">
      <w:pPr>
        <w:rPr>
          <w:sz w:val="20"/>
          <w:szCs w:val="20"/>
        </w:rPr>
      </w:pPr>
    </w:p>
    <w:p w14:paraId="449C94E2" w14:textId="694BC7EF" w:rsidR="00226CCF" w:rsidRPr="003D27FE" w:rsidRDefault="00226CCF" w:rsidP="00226CCF">
      <w:pPr>
        <w:pStyle w:val="ListParagraph"/>
        <w:widowControl w:val="0"/>
        <w:numPr>
          <w:ilvl w:val="0"/>
          <w:numId w:val="5"/>
        </w:numPr>
        <w:tabs>
          <w:tab w:val="left" w:pos="839"/>
          <w:tab w:val="left" w:pos="840"/>
        </w:tabs>
        <w:autoSpaceDE w:val="0"/>
        <w:autoSpaceDN w:val="0"/>
        <w:spacing w:before="80"/>
        <w:contextualSpacing w:val="0"/>
        <w:rPr>
          <w:rFonts w:ascii="Arial" w:hAnsi="Arial" w:cs="Arial"/>
          <w:b/>
          <w:sz w:val="20"/>
          <w:szCs w:val="20"/>
        </w:rPr>
      </w:pPr>
      <w:r w:rsidRPr="003D27FE">
        <w:rPr>
          <w:rFonts w:ascii="Arial" w:hAnsi="Arial" w:cs="Arial"/>
          <w:b/>
          <w:sz w:val="20"/>
          <w:szCs w:val="20"/>
        </w:rPr>
        <w:t>Cost</w:t>
      </w:r>
      <w:r w:rsidRPr="003D27FE">
        <w:rPr>
          <w:rFonts w:ascii="Arial" w:hAnsi="Arial" w:cs="Arial"/>
          <w:b/>
          <w:spacing w:val="-2"/>
          <w:sz w:val="20"/>
          <w:szCs w:val="20"/>
        </w:rPr>
        <w:t xml:space="preserve"> </w:t>
      </w:r>
      <w:r w:rsidRPr="003D27FE">
        <w:rPr>
          <w:rFonts w:ascii="Arial" w:hAnsi="Arial" w:cs="Arial"/>
          <w:b/>
          <w:sz w:val="20"/>
          <w:szCs w:val="20"/>
        </w:rPr>
        <w:t>of</w:t>
      </w:r>
      <w:r w:rsidRPr="003D27FE">
        <w:rPr>
          <w:rFonts w:ascii="Arial" w:hAnsi="Arial" w:cs="Arial"/>
          <w:b/>
          <w:spacing w:val="-1"/>
          <w:sz w:val="20"/>
          <w:szCs w:val="20"/>
        </w:rPr>
        <w:t xml:space="preserve"> </w:t>
      </w:r>
      <w:r w:rsidRPr="003D27FE">
        <w:rPr>
          <w:rFonts w:ascii="Arial" w:hAnsi="Arial" w:cs="Arial"/>
          <w:b/>
          <w:sz w:val="20"/>
          <w:szCs w:val="20"/>
        </w:rPr>
        <w:t>sales</w:t>
      </w:r>
    </w:p>
    <w:tbl>
      <w:tblPr>
        <w:tblW w:w="5000" w:type="pct"/>
        <w:tblLook w:val="04A0" w:firstRow="1" w:lastRow="0" w:firstColumn="1" w:lastColumn="0" w:noHBand="0" w:noVBand="1"/>
      </w:tblPr>
      <w:tblGrid>
        <w:gridCol w:w="5866"/>
        <w:gridCol w:w="2007"/>
        <w:gridCol w:w="1766"/>
      </w:tblGrid>
      <w:tr w:rsidR="0092411F" w:rsidRPr="003D27FE" w14:paraId="221A7138" w14:textId="77777777" w:rsidTr="0092411F">
        <w:trPr>
          <w:trHeight w:val="1246"/>
        </w:trPr>
        <w:tc>
          <w:tcPr>
            <w:tcW w:w="3043" w:type="pct"/>
            <w:tcBorders>
              <w:top w:val="nil"/>
              <w:left w:val="nil"/>
              <w:bottom w:val="nil"/>
              <w:right w:val="nil"/>
            </w:tcBorders>
            <w:shd w:val="clear" w:color="auto" w:fill="auto"/>
            <w:vAlign w:val="center"/>
            <w:hideMark/>
          </w:tcPr>
          <w:p w14:paraId="460878A5" w14:textId="77777777" w:rsidR="0092411F" w:rsidRPr="003D27FE" w:rsidRDefault="0092411F" w:rsidP="00075FBF">
            <w:pPr>
              <w:rPr>
                <w:sz w:val="20"/>
                <w:szCs w:val="20"/>
              </w:rPr>
            </w:pPr>
          </w:p>
        </w:tc>
        <w:tc>
          <w:tcPr>
            <w:tcW w:w="1041" w:type="pct"/>
            <w:tcBorders>
              <w:top w:val="nil"/>
              <w:left w:val="nil"/>
              <w:bottom w:val="nil"/>
              <w:right w:val="nil"/>
            </w:tcBorders>
            <w:vAlign w:val="center"/>
          </w:tcPr>
          <w:p w14:paraId="194C5655" w14:textId="77777777" w:rsidR="0092411F" w:rsidRPr="003D27FE" w:rsidRDefault="0092411F" w:rsidP="00075FBF">
            <w:pPr>
              <w:jc w:val="right"/>
              <w:rPr>
                <w:b/>
                <w:bCs/>
                <w:sz w:val="20"/>
                <w:szCs w:val="20"/>
              </w:rPr>
            </w:pPr>
            <w:r w:rsidRPr="003D27FE">
              <w:rPr>
                <w:b/>
                <w:bCs/>
                <w:sz w:val="20"/>
                <w:szCs w:val="20"/>
              </w:rPr>
              <w:t xml:space="preserve">Unaudited </w:t>
            </w:r>
          </w:p>
          <w:p w14:paraId="4E0923EA" w14:textId="5F494797" w:rsidR="0092411F" w:rsidRPr="003D27FE" w:rsidRDefault="0092411F" w:rsidP="00075FBF">
            <w:pPr>
              <w:jc w:val="right"/>
              <w:rPr>
                <w:b/>
                <w:bCs/>
                <w:sz w:val="20"/>
                <w:szCs w:val="20"/>
              </w:rPr>
            </w:pPr>
            <w:r w:rsidRPr="003D27FE">
              <w:rPr>
                <w:b/>
                <w:bCs/>
                <w:color w:val="000000"/>
                <w:sz w:val="20"/>
                <w:szCs w:val="20"/>
              </w:rPr>
              <w:t>15 Months</w:t>
            </w:r>
            <w:r w:rsidRPr="003D27FE">
              <w:rPr>
                <w:b/>
                <w:bCs/>
                <w:sz w:val="20"/>
                <w:szCs w:val="20"/>
              </w:rPr>
              <w:t xml:space="preserve"> </w:t>
            </w:r>
            <w:r w:rsidRPr="003D27FE">
              <w:rPr>
                <w:b/>
                <w:bCs/>
                <w:sz w:val="20"/>
                <w:szCs w:val="20"/>
              </w:rPr>
              <w:br/>
              <w:t>ended 31 Dec 2024</w:t>
            </w:r>
          </w:p>
        </w:tc>
        <w:tc>
          <w:tcPr>
            <w:tcW w:w="916" w:type="pct"/>
            <w:tcBorders>
              <w:top w:val="nil"/>
              <w:left w:val="nil"/>
              <w:bottom w:val="nil"/>
              <w:right w:val="nil"/>
            </w:tcBorders>
            <w:shd w:val="clear" w:color="auto" w:fill="auto"/>
            <w:vAlign w:val="center"/>
            <w:hideMark/>
          </w:tcPr>
          <w:p w14:paraId="37B12663" w14:textId="77777777" w:rsidR="0092411F" w:rsidRPr="003D27FE" w:rsidRDefault="0092411F" w:rsidP="00075FBF">
            <w:pPr>
              <w:jc w:val="right"/>
              <w:rPr>
                <w:b/>
                <w:bCs/>
                <w:sz w:val="20"/>
                <w:szCs w:val="20"/>
              </w:rPr>
            </w:pPr>
            <w:r w:rsidRPr="003D27FE">
              <w:rPr>
                <w:b/>
                <w:bCs/>
                <w:sz w:val="20"/>
                <w:szCs w:val="20"/>
              </w:rPr>
              <w:t xml:space="preserve">Audited period </w:t>
            </w:r>
            <w:r w:rsidRPr="003D27FE">
              <w:rPr>
                <w:b/>
                <w:bCs/>
                <w:sz w:val="20"/>
                <w:szCs w:val="20"/>
              </w:rPr>
              <w:br/>
              <w:t>ended 30 Sep 2023</w:t>
            </w:r>
          </w:p>
        </w:tc>
      </w:tr>
      <w:tr w:rsidR="0092411F" w:rsidRPr="003D27FE" w14:paraId="1F743654" w14:textId="77777777" w:rsidTr="0092411F">
        <w:trPr>
          <w:trHeight w:val="324"/>
        </w:trPr>
        <w:tc>
          <w:tcPr>
            <w:tcW w:w="3043" w:type="pct"/>
            <w:tcBorders>
              <w:top w:val="nil"/>
              <w:left w:val="nil"/>
              <w:bottom w:val="single" w:sz="12" w:space="0" w:color="000000"/>
              <w:right w:val="nil"/>
            </w:tcBorders>
            <w:shd w:val="clear" w:color="auto" w:fill="auto"/>
            <w:vAlign w:val="center"/>
            <w:hideMark/>
          </w:tcPr>
          <w:p w14:paraId="6B762F3B" w14:textId="77777777" w:rsidR="0092411F" w:rsidRPr="003D27FE" w:rsidRDefault="0092411F" w:rsidP="00075FBF">
            <w:pPr>
              <w:rPr>
                <w:sz w:val="20"/>
                <w:szCs w:val="20"/>
              </w:rPr>
            </w:pPr>
            <w:r w:rsidRPr="003D27FE">
              <w:rPr>
                <w:sz w:val="20"/>
                <w:szCs w:val="20"/>
              </w:rPr>
              <w:lastRenderedPageBreak/>
              <w:t> </w:t>
            </w:r>
          </w:p>
        </w:tc>
        <w:tc>
          <w:tcPr>
            <w:tcW w:w="1041" w:type="pct"/>
            <w:tcBorders>
              <w:top w:val="nil"/>
              <w:left w:val="nil"/>
              <w:bottom w:val="single" w:sz="12" w:space="0" w:color="000000"/>
              <w:right w:val="nil"/>
            </w:tcBorders>
            <w:vAlign w:val="center"/>
          </w:tcPr>
          <w:p w14:paraId="2FFEEBFC" w14:textId="77777777" w:rsidR="0092411F" w:rsidRPr="003D27FE" w:rsidRDefault="0092411F" w:rsidP="00075FBF">
            <w:pPr>
              <w:jc w:val="right"/>
              <w:rPr>
                <w:b/>
                <w:bCs/>
                <w:sz w:val="20"/>
                <w:szCs w:val="20"/>
              </w:rPr>
            </w:pPr>
            <w:r w:rsidRPr="003D27FE">
              <w:rPr>
                <w:b/>
                <w:bCs/>
                <w:sz w:val="20"/>
                <w:szCs w:val="20"/>
              </w:rPr>
              <w:t>£</w:t>
            </w:r>
          </w:p>
        </w:tc>
        <w:tc>
          <w:tcPr>
            <w:tcW w:w="916" w:type="pct"/>
            <w:tcBorders>
              <w:top w:val="nil"/>
              <w:left w:val="nil"/>
              <w:bottom w:val="single" w:sz="12" w:space="0" w:color="000000"/>
              <w:right w:val="nil"/>
            </w:tcBorders>
            <w:shd w:val="clear" w:color="auto" w:fill="auto"/>
            <w:vAlign w:val="center"/>
            <w:hideMark/>
          </w:tcPr>
          <w:p w14:paraId="37C86FC2" w14:textId="77777777" w:rsidR="0092411F" w:rsidRPr="003D27FE" w:rsidRDefault="0092411F" w:rsidP="00075FBF">
            <w:pPr>
              <w:jc w:val="right"/>
              <w:rPr>
                <w:b/>
                <w:bCs/>
                <w:sz w:val="20"/>
                <w:szCs w:val="20"/>
              </w:rPr>
            </w:pPr>
            <w:r w:rsidRPr="003D27FE">
              <w:rPr>
                <w:b/>
                <w:bCs/>
                <w:sz w:val="20"/>
                <w:szCs w:val="20"/>
              </w:rPr>
              <w:t>£</w:t>
            </w:r>
          </w:p>
        </w:tc>
      </w:tr>
      <w:tr w:rsidR="0092411F" w:rsidRPr="003D27FE" w14:paraId="0498B239" w14:textId="77777777" w:rsidTr="0092411F">
        <w:trPr>
          <w:trHeight w:val="324"/>
        </w:trPr>
        <w:tc>
          <w:tcPr>
            <w:tcW w:w="3043" w:type="pct"/>
            <w:tcBorders>
              <w:top w:val="nil"/>
              <w:left w:val="nil"/>
              <w:bottom w:val="nil"/>
              <w:right w:val="nil"/>
            </w:tcBorders>
            <w:shd w:val="clear" w:color="auto" w:fill="auto"/>
            <w:vAlign w:val="center"/>
            <w:hideMark/>
          </w:tcPr>
          <w:p w14:paraId="4854E79E" w14:textId="77777777" w:rsidR="0092411F" w:rsidRPr="003D27FE" w:rsidRDefault="0092411F" w:rsidP="00890057">
            <w:pPr>
              <w:rPr>
                <w:sz w:val="20"/>
                <w:szCs w:val="20"/>
              </w:rPr>
            </w:pPr>
            <w:r w:rsidRPr="003D27FE">
              <w:rPr>
                <w:sz w:val="20"/>
                <w:szCs w:val="20"/>
              </w:rPr>
              <w:t>Prize money payments to players</w:t>
            </w:r>
          </w:p>
        </w:tc>
        <w:tc>
          <w:tcPr>
            <w:tcW w:w="1041" w:type="pct"/>
            <w:tcBorders>
              <w:top w:val="nil"/>
              <w:left w:val="nil"/>
              <w:bottom w:val="nil"/>
              <w:right w:val="nil"/>
            </w:tcBorders>
          </w:tcPr>
          <w:p w14:paraId="7C466D97" w14:textId="2638FF5D" w:rsidR="0092411F" w:rsidRPr="003D27FE" w:rsidRDefault="0092411F" w:rsidP="00890057">
            <w:pPr>
              <w:jc w:val="right"/>
              <w:rPr>
                <w:sz w:val="20"/>
                <w:szCs w:val="20"/>
              </w:rPr>
            </w:pPr>
            <w:r w:rsidRPr="003D27FE">
              <w:rPr>
                <w:sz w:val="20"/>
                <w:szCs w:val="20"/>
              </w:rPr>
              <w:t xml:space="preserve"> 271</w:t>
            </w:r>
          </w:p>
        </w:tc>
        <w:tc>
          <w:tcPr>
            <w:tcW w:w="916" w:type="pct"/>
            <w:tcBorders>
              <w:top w:val="nil"/>
              <w:left w:val="nil"/>
              <w:bottom w:val="nil"/>
              <w:right w:val="nil"/>
            </w:tcBorders>
            <w:shd w:val="clear" w:color="auto" w:fill="auto"/>
            <w:vAlign w:val="center"/>
          </w:tcPr>
          <w:p w14:paraId="22F0A28D" w14:textId="77777777" w:rsidR="0092411F" w:rsidRPr="003D27FE" w:rsidRDefault="0092411F" w:rsidP="00890057">
            <w:pPr>
              <w:jc w:val="right"/>
              <w:rPr>
                <w:sz w:val="20"/>
                <w:szCs w:val="20"/>
              </w:rPr>
            </w:pPr>
            <w:r w:rsidRPr="003D27FE">
              <w:rPr>
                <w:sz w:val="20"/>
                <w:szCs w:val="20"/>
              </w:rPr>
              <w:t>883</w:t>
            </w:r>
          </w:p>
        </w:tc>
      </w:tr>
      <w:tr w:rsidR="0092411F" w:rsidRPr="003D27FE" w14:paraId="3A716D53" w14:textId="77777777" w:rsidTr="0092411F">
        <w:trPr>
          <w:trHeight w:val="311"/>
        </w:trPr>
        <w:tc>
          <w:tcPr>
            <w:tcW w:w="3043" w:type="pct"/>
            <w:tcBorders>
              <w:top w:val="nil"/>
              <w:left w:val="nil"/>
              <w:bottom w:val="nil"/>
              <w:right w:val="nil"/>
            </w:tcBorders>
            <w:shd w:val="clear" w:color="auto" w:fill="auto"/>
            <w:vAlign w:val="center"/>
            <w:hideMark/>
          </w:tcPr>
          <w:p w14:paraId="70F9F49E" w14:textId="77777777" w:rsidR="0092411F" w:rsidRPr="003D27FE" w:rsidRDefault="0092411F" w:rsidP="00890057">
            <w:pPr>
              <w:rPr>
                <w:sz w:val="20"/>
                <w:szCs w:val="20"/>
              </w:rPr>
            </w:pPr>
            <w:r w:rsidRPr="003D27FE">
              <w:rPr>
                <w:sz w:val="20"/>
                <w:szCs w:val="20"/>
              </w:rPr>
              <w:t>Sponsorship direct costs</w:t>
            </w:r>
          </w:p>
        </w:tc>
        <w:tc>
          <w:tcPr>
            <w:tcW w:w="1041" w:type="pct"/>
            <w:tcBorders>
              <w:top w:val="nil"/>
              <w:left w:val="nil"/>
              <w:bottom w:val="nil"/>
              <w:right w:val="nil"/>
            </w:tcBorders>
          </w:tcPr>
          <w:p w14:paraId="402A4F47" w14:textId="42B0EAB7" w:rsidR="0092411F" w:rsidRPr="003D27FE" w:rsidRDefault="0092411F" w:rsidP="00890057">
            <w:pPr>
              <w:jc w:val="right"/>
              <w:rPr>
                <w:sz w:val="20"/>
                <w:szCs w:val="20"/>
              </w:rPr>
            </w:pPr>
            <w:r w:rsidRPr="003D27FE">
              <w:rPr>
                <w:sz w:val="20"/>
                <w:szCs w:val="20"/>
              </w:rPr>
              <w:t xml:space="preserve"> 171</w:t>
            </w:r>
          </w:p>
        </w:tc>
        <w:tc>
          <w:tcPr>
            <w:tcW w:w="916" w:type="pct"/>
            <w:tcBorders>
              <w:top w:val="nil"/>
              <w:left w:val="nil"/>
              <w:bottom w:val="nil"/>
              <w:right w:val="nil"/>
            </w:tcBorders>
            <w:shd w:val="clear" w:color="auto" w:fill="auto"/>
            <w:vAlign w:val="center"/>
          </w:tcPr>
          <w:p w14:paraId="7EAC7E2D" w14:textId="77777777" w:rsidR="0092411F" w:rsidRPr="003D27FE" w:rsidRDefault="0092411F" w:rsidP="00890057">
            <w:pPr>
              <w:jc w:val="right"/>
              <w:rPr>
                <w:sz w:val="20"/>
                <w:szCs w:val="20"/>
              </w:rPr>
            </w:pPr>
            <w:r w:rsidRPr="003D27FE">
              <w:rPr>
                <w:sz w:val="20"/>
                <w:szCs w:val="20"/>
              </w:rPr>
              <w:t>477</w:t>
            </w:r>
          </w:p>
        </w:tc>
      </w:tr>
      <w:tr w:rsidR="0092411F" w:rsidRPr="003D27FE" w14:paraId="156D0A11" w14:textId="77777777" w:rsidTr="0092411F">
        <w:trPr>
          <w:trHeight w:val="311"/>
        </w:trPr>
        <w:tc>
          <w:tcPr>
            <w:tcW w:w="3043" w:type="pct"/>
            <w:tcBorders>
              <w:top w:val="nil"/>
              <w:left w:val="nil"/>
              <w:bottom w:val="nil"/>
              <w:right w:val="nil"/>
            </w:tcBorders>
            <w:shd w:val="clear" w:color="auto" w:fill="auto"/>
            <w:vAlign w:val="center"/>
            <w:hideMark/>
          </w:tcPr>
          <w:p w14:paraId="2C7BCF10" w14:textId="77777777" w:rsidR="0092411F" w:rsidRPr="003D27FE" w:rsidRDefault="0092411F" w:rsidP="00D8770B">
            <w:pPr>
              <w:rPr>
                <w:sz w:val="20"/>
                <w:szCs w:val="20"/>
              </w:rPr>
            </w:pPr>
            <w:r w:rsidRPr="003D27FE">
              <w:rPr>
                <w:sz w:val="20"/>
                <w:szCs w:val="20"/>
              </w:rPr>
              <w:t>Other direct costs</w:t>
            </w:r>
          </w:p>
        </w:tc>
        <w:tc>
          <w:tcPr>
            <w:tcW w:w="1041" w:type="pct"/>
            <w:tcBorders>
              <w:top w:val="nil"/>
              <w:left w:val="nil"/>
              <w:bottom w:val="nil"/>
              <w:right w:val="nil"/>
            </w:tcBorders>
            <w:vAlign w:val="center"/>
          </w:tcPr>
          <w:p w14:paraId="24C35E59" w14:textId="68458DBD" w:rsidR="0092411F" w:rsidRPr="003D27FE" w:rsidRDefault="0092411F" w:rsidP="00D8770B">
            <w:pPr>
              <w:jc w:val="right"/>
              <w:rPr>
                <w:sz w:val="20"/>
                <w:szCs w:val="20"/>
              </w:rPr>
            </w:pPr>
            <w:r w:rsidRPr="003D27FE">
              <w:rPr>
                <w:sz w:val="20"/>
                <w:szCs w:val="20"/>
              </w:rPr>
              <w:t>760</w:t>
            </w:r>
          </w:p>
        </w:tc>
        <w:tc>
          <w:tcPr>
            <w:tcW w:w="916" w:type="pct"/>
            <w:tcBorders>
              <w:top w:val="nil"/>
              <w:left w:val="nil"/>
              <w:bottom w:val="nil"/>
              <w:right w:val="nil"/>
            </w:tcBorders>
            <w:shd w:val="clear" w:color="auto" w:fill="auto"/>
            <w:vAlign w:val="center"/>
          </w:tcPr>
          <w:p w14:paraId="0FFDC4A1" w14:textId="77777777" w:rsidR="0092411F" w:rsidRPr="003D27FE" w:rsidRDefault="0092411F" w:rsidP="00D8770B">
            <w:pPr>
              <w:jc w:val="right"/>
              <w:rPr>
                <w:sz w:val="20"/>
                <w:szCs w:val="20"/>
              </w:rPr>
            </w:pPr>
            <w:r w:rsidRPr="003D27FE">
              <w:rPr>
                <w:sz w:val="20"/>
                <w:szCs w:val="20"/>
              </w:rPr>
              <w:t>178</w:t>
            </w:r>
          </w:p>
        </w:tc>
      </w:tr>
      <w:tr w:rsidR="0092411F" w:rsidRPr="003D27FE" w14:paraId="51370A21" w14:textId="77777777" w:rsidTr="0092411F">
        <w:trPr>
          <w:trHeight w:val="337"/>
        </w:trPr>
        <w:tc>
          <w:tcPr>
            <w:tcW w:w="3043" w:type="pct"/>
            <w:tcBorders>
              <w:top w:val="nil"/>
              <w:left w:val="nil"/>
              <w:bottom w:val="single" w:sz="12" w:space="0" w:color="000000"/>
              <w:right w:val="nil"/>
            </w:tcBorders>
            <w:shd w:val="clear" w:color="auto" w:fill="auto"/>
            <w:vAlign w:val="center"/>
            <w:hideMark/>
          </w:tcPr>
          <w:p w14:paraId="1327DCC9" w14:textId="77777777" w:rsidR="0092411F" w:rsidRPr="003D27FE" w:rsidRDefault="0092411F" w:rsidP="00D8770B">
            <w:pPr>
              <w:rPr>
                <w:b/>
                <w:bCs/>
                <w:sz w:val="20"/>
                <w:szCs w:val="20"/>
              </w:rPr>
            </w:pPr>
            <w:r w:rsidRPr="003D27FE">
              <w:rPr>
                <w:b/>
                <w:bCs/>
                <w:sz w:val="20"/>
                <w:szCs w:val="20"/>
              </w:rPr>
              <w:t>Total cost of sales</w:t>
            </w:r>
          </w:p>
        </w:tc>
        <w:tc>
          <w:tcPr>
            <w:tcW w:w="1041" w:type="pct"/>
            <w:tcBorders>
              <w:top w:val="single" w:sz="12" w:space="0" w:color="auto"/>
              <w:left w:val="nil"/>
              <w:bottom w:val="single" w:sz="12" w:space="0" w:color="000000"/>
              <w:right w:val="nil"/>
            </w:tcBorders>
            <w:vAlign w:val="center"/>
          </w:tcPr>
          <w:p w14:paraId="7B4DBDBE" w14:textId="0BA7B2DF" w:rsidR="0092411F" w:rsidRPr="003D27FE" w:rsidRDefault="0092411F" w:rsidP="00D8770B">
            <w:pPr>
              <w:jc w:val="right"/>
              <w:rPr>
                <w:b/>
                <w:bCs/>
                <w:sz w:val="20"/>
                <w:szCs w:val="20"/>
              </w:rPr>
            </w:pPr>
            <w:r w:rsidRPr="003D27FE">
              <w:rPr>
                <w:b/>
                <w:bCs/>
                <w:sz w:val="20"/>
                <w:szCs w:val="20"/>
              </w:rPr>
              <w:t>1,202</w:t>
            </w:r>
          </w:p>
        </w:tc>
        <w:tc>
          <w:tcPr>
            <w:tcW w:w="916" w:type="pct"/>
            <w:tcBorders>
              <w:top w:val="single" w:sz="12" w:space="0" w:color="auto"/>
              <w:left w:val="nil"/>
              <w:bottom w:val="single" w:sz="12" w:space="0" w:color="000000"/>
              <w:right w:val="nil"/>
            </w:tcBorders>
            <w:shd w:val="clear" w:color="auto" w:fill="auto"/>
            <w:vAlign w:val="center"/>
          </w:tcPr>
          <w:p w14:paraId="5883BEAE" w14:textId="77777777" w:rsidR="0092411F" w:rsidRPr="003D27FE" w:rsidRDefault="0092411F" w:rsidP="00D8770B">
            <w:pPr>
              <w:jc w:val="right"/>
              <w:rPr>
                <w:b/>
                <w:bCs/>
                <w:sz w:val="20"/>
                <w:szCs w:val="20"/>
              </w:rPr>
            </w:pPr>
            <w:r w:rsidRPr="003D27FE">
              <w:rPr>
                <w:b/>
                <w:bCs/>
                <w:sz w:val="20"/>
                <w:szCs w:val="20"/>
              </w:rPr>
              <w:t>1,538</w:t>
            </w:r>
          </w:p>
        </w:tc>
      </w:tr>
    </w:tbl>
    <w:p w14:paraId="41A9A14E" w14:textId="77777777" w:rsidR="00226CCF" w:rsidRPr="003D27FE" w:rsidRDefault="00226CCF" w:rsidP="00226CCF">
      <w:pPr>
        <w:rPr>
          <w:sz w:val="20"/>
          <w:szCs w:val="20"/>
        </w:rPr>
      </w:pPr>
    </w:p>
    <w:p w14:paraId="239E14F7" w14:textId="77777777" w:rsidR="00226CCF" w:rsidRPr="003D27FE" w:rsidRDefault="00226CCF" w:rsidP="00226CCF">
      <w:pPr>
        <w:rPr>
          <w:sz w:val="20"/>
          <w:szCs w:val="20"/>
        </w:rPr>
      </w:pPr>
    </w:p>
    <w:p w14:paraId="0297033A" w14:textId="77777777" w:rsidR="00226CCF" w:rsidRPr="003D27FE" w:rsidRDefault="00226CCF" w:rsidP="00226CCF">
      <w:pPr>
        <w:pStyle w:val="ListParagraph"/>
        <w:widowControl w:val="0"/>
        <w:numPr>
          <w:ilvl w:val="0"/>
          <w:numId w:val="5"/>
        </w:numPr>
        <w:tabs>
          <w:tab w:val="left" w:pos="839"/>
          <w:tab w:val="left" w:pos="840"/>
        </w:tabs>
        <w:autoSpaceDE w:val="0"/>
        <w:autoSpaceDN w:val="0"/>
        <w:ind w:hanging="721"/>
        <w:contextualSpacing w:val="0"/>
        <w:rPr>
          <w:rFonts w:ascii="Arial" w:hAnsi="Arial" w:cs="Arial"/>
          <w:b/>
          <w:sz w:val="20"/>
          <w:szCs w:val="20"/>
        </w:rPr>
      </w:pPr>
      <w:r w:rsidRPr="003D27FE">
        <w:rPr>
          <w:rFonts w:ascii="Arial" w:hAnsi="Arial" w:cs="Arial"/>
          <w:b/>
          <w:sz w:val="20"/>
          <w:szCs w:val="20"/>
        </w:rPr>
        <w:t>Employees</w:t>
      </w:r>
    </w:p>
    <w:p w14:paraId="76638416" w14:textId="77777777" w:rsidR="00226CCF" w:rsidRPr="003D27FE" w:rsidRDefault="00226CCF" w:rsidP="00226CCF">
      <w:pPr>
        <w:pStyle w:val="BodyText"/>
        <w:rPr>
          <w:rFonts w:ascii="Arial" w:hAnsi="Arial" w:cs="Arial"/>
          <w:b/>
          <w:sz w:val="20"/>
          <w:szCs w:val="20"/>
        </w:rPr>
      </w:pPr>
    </w:p>
    <w:p w14:paraId="62CF2CCA" w14:textId="2B798209" w:rsidR="00226CCF" w:rsidRPr="003D27FE" w:rsidRDefault="00226CCF" w:rsidP="00226CCF">
      <w:pPr>
        <w:spacing w:after="7" w:line="256" w:lineRule="auto"/>
        <w:ind w:left="119" w:right="140"/>
        <w:jc w:val="both"/>
        <w:rPr>
          <w:sz w:val="20"/>
          <w:szCs w:val="20"/>
        </w:rPr>
      </w:pPr>
      <w:r w:rsidRPr="003D27FE">
        <w:rPr>
          <w:sz w:val="20"/>
          <w:szCs w:val="20"/>
        </w:rPr>
        <w:t>The average monthly number of persons (excluding directors) employed by the Company during the period was</w:t>
      </w:r>
      <w:r w:rsidR="007045D2">
        <w:rPr>
          <w:sz w:val="20"/>
          <w:szCs w:val="20"/>
        </w:rPr>
        <w:t xml:space="preserve"> 10</w:t>
      </w:r>
      <w:r w:rsidRPr="003D27FE">
        <w:rPr>
          <w:spacing w:val="1"/>
          <w:sz w:val="20"/>
          <w:szCs w:val="20"/>
        </w:rPr>
        <w:t xml:space="preserve"> </w:t>
      </w:r>
      <w:r w:rsidRPr="003D27FE">
        <w:rPr>
          <w:sz w:val="20"/>
          <w:szCs w:val="20"/>
        </w:rPr>
        <w:t>(</w:t>
      </w:r>
      <w:r w:rsidRPr="003D27FE">
        <w:rPr>
          <w:i/>
          <w:sz w:val="20"/>
          <w:szCs w:val="20"/>
        </w:rPr>
        <w:t>2023:</w:t>
      </w:r>
      <w:r w:rsidRPr="003D27FE">
        <w:rPr>
          <w:i/>
          <w:spacing w:val="-3"/>
          <w:sz w:val="20"/>
          <w:szCs w:val="20"/>
        </w:rPr>
        <w:t xml:space="preserve"> </w:t>
      </w:r>
      <w:r w:rsidRPr="003D27FE">
        <w:rPr>
          <w:i/>
          <w:sz w:val="20"/>
          <w:szCs w:val="20"/>
        </w:rPr>
        <w:t>45</w:t>
      </w:r>
      <w:r w:rsidRPr="003D27FE">
        <w:rPr>
          <w:sz w:val="20"/>
          <w:szCs w:val="20"/>
        </w:rPr>
        <w:t>).</w:t>
      </w:r>
    </w:p>
    <w:p w14:paraId="40F62869" w14:textId="77777777" w:rsidR="00226CCF" w:rsidRPr="003D27FE" w:rsidRDefault="00226CCF" w:rsidP="00226CCF">
      <w:pPr>
        <w:spacing w:after="7" w:line="256" w:lineRule="auto"/>
        <w:ind w:left="119" w:right="140"/>
        <w:jc w:val="both"/>
        <w:rPr>
          <w:sz w:val="20"/>
          <w:szCs w:val="20"/>
        </w:rPr>
      </w:pPr>
    </w:p>
    <w:tbl>
      <w:tblPr>
        <w:tblW w:w="5000" w:type="pct"/>
        <w:tblLook w:val="04A0" w:firstRow="1" w:lastRow="0" w:firstColumn="1" w:lastColumn="0" w:noHBand="0" w:noVBand="1"/>
      </w:tblPr>
      <w:tblGrid>
        <w:gridCol w:w="6201"/>
        <w:gridCol w:w="1720"/>
        <w:gridCol w:w="1718"/>
      </w:tblGrid>
      <w:tr w:rsidR="0092411F" w:rsidRPr="003D27FE" w14:paraId="7D3D044E" w14:textId="77777777" w:rsidTr="0092411F">
        <w:trPr>
          <w:trHeight w:val="1227"/>
        </w:trPr>
        <w:tc>
          <w:tcPr>
            <w:tcW w:w="3217" w:type="pct"/>
            <w:tcBorders>
              <w:top w:val="nil"/>
              <w:left w:val="nil"/>
              <w:bottom w:val="nil"/>
              <w:right w:val="nil"/>
            </w:tcBorders>
            <w:shd w:val="clear" w:color="auto" w:fill="auto"/>
            <w:vAlign w:val="center"/>
            <w:hideMark/>
          </w:tcPr>
          <w:p w14:paraId="3E79149E" w14:textId="77777777" w:rsidR="0092411F" w:rsidRPr="003D27FE" w:rsidRDefault="0092411F" w:rsidP="00075FBF">
            <w:pPr>
              <w:rPr>
                <w:sz w:val="20"/>
                <w:szCs w:val="20"/>
              </w:rPr>
            </w:pPr>
          </w:p>
        </w:tc>
        <w:tc>
          <w:tcPr>
            <w:tcW w:w="892" w:type="pct"/>
            <w:tcBorders>
              <w:top w:val="nil"/>
              <w:left w:val="nil"/>
              <w:bottom w:val="nil"/>
              <w:right w:val="nil"/>
            </w:tcBorders>
            <w:vAlign w:val="center"/>
          </w:tcPr>
          <w:p w14:paraId="4137B735" w14:textId="77777777" w:rsidR="0092411F" w:rsidRPr="003D27FE" w:rsidRDefault="0092411F" w:rsidP="00075FBF">
            <w:pPr>
              <w:jc w:val="right"/>
              <w:rPr>
                <w:b/>
                <w:bCs/>
                <w:color w:val="000000"/>
                <w:sz w:val="20"/>
                <w:szCs w:val="20"/>
              </w:rPr>
            </w:pPr>
            <w:r w:rsidRPr="003D27FE">
              <w:rPr>
                <w:b/>
                <w:bCs/>
                <w:color w:val="000000"/>
                <w:sz w:val="20"/>
                <w:szCs w:val="20"/>
              </w:rPr>
              <w:t xml:space="preserve">Unaudited </w:t>
            </w:r>
          </w:p>
          <w:p w14:paraId="4618CE62" w14:textId="20ED0DD0" w:rsidR="0092411F" w:rsidRPr="003D27FE" w:rsidRDefault="0092411F" w:rsidP="00075FBF">
            <w:pPr>
              <w:jc w:val="right"/>
              <w:rPr>
                <w:b/>
                <w:bCs/>
                <w:color w:val="000000"/>
                <w:sz w:val="20"/>
                <w:szCs w:val="20"/>
              </w:rPr>
            </w:pPr>
            <w:r w:rsidRPr="003D27FE">
              <w:rPr>
                <w:b/>
                <w:bCs/>
                <w:color w:val="000000"/>
                <w:sz w:val="20"/>
                <w:szCs w:val="20"/>
              </w:rPr>
              <w:t xml:space="preserve">15 Months </w:t>
            </w:r>
            <w:r w:rsidRPr="003D27FE">
              <w:rPr>
                <w:b/>
                <w:bCs/>
                <w:color w:val="000000"/>
                <w:sz w:val="20"/>
                <w:szCs w:val="20"/>
              </w:rPr>
              <w:br/>
              <w:t>ended 31 Dec 2024</w:t>
            </w:r>
          </w:p>
        </w:tc>
        <w:tc>
          <w:tcPr>
            <w:tcW w:w="892" w:type="pct"/>
            <w:tcBorders>
              <w:top w:val="nil"/>
              <w:left w:val="nil"/>
              <w:bottom w:val="nil"/>
              <w:right w:val="nil"/>
            </w:tcBorders>
            <w:shd w:val="clear" w:color="auto" w:fill="auto"/>
            <w:vAlign w:val="center"/>
            <w:hideMark/>
          </w:tcPr>
          <w:p w14:paraId="1868882E" w14:textId="77777777" w:rsidR="0092411F" w:rsidRPr="003D27FE" w:rsidRDefault="0092411F" w:rsidP="00075FBF">
            <w:pPr>
              <w:jc w:val="right"/>
              <w:rPr>
                <w:b/>
                <w:bCs/>
                <w:color w:val="000000"/>
                <w:sz w:val="20"/>
                <w:szCs w:val="20"/>
              </w:rPr>
            </w:pPr>
            <w:r w:rsidRPr="003D27FE">
              <w:rPr>
                <w:b/>
                <w:bCs/>
                <w:color w:val="000000"/>
                <w:sz w:val="20"/>
                <w:szCs w:val="20"/>
              </w:rPr>
              <w:t xml:space="preserve">Audited period </w:t>
            </w:r>
            <w:r w:rsidRPr="003D27FE">
              <w:rPr>
                <w:b/>
                <w:bCs/>
                <w:color w:val="000000"/>
                <w:sz w:val="20"/>
                <w:szCs w:val="20"/>
              </w:rPr>
              <w:br/>
              <w:t>ended 30 Sep 2023</w:t>
            </w:r>
          </w:p>
        </w:tc>
      </w:tr>
      <w:tr w:rsidR="0092411F" w:rsidRPr="003D27FE" w14:paraId="7CDD117F" w14:textId="77777777" w:rsidTr="0092411F">
        <w:trPr>
          <w:trHeight w:val="319"/>
        </w:trPr>
        <w:tc>
          <w:tcPr>
            <w:tcW w:w="3217" w:type="pct"/>
            <w:tcBorders>
              <w:top w:val="nil"/>
              <w:left w:val="nil"/>
              <w:bottom w:val="single" w:sz="12" w:space="0" w:color="000000"/>
              <w:right w:val="nil"/>
            </w:tcBorders>
            <w:shd w:val="clear" w:color="auto" w:fill="auto"/>
            <w:vAlign w:val="center"/>
            <w:hideMark/>
          </w:tcPr>
          <w:p w14:paraId="28DB1C00" w14:textId="77777777" w:rsidR="0092411F" w:rsidRPr="003D27FE" w:rsidRDefault="0092411F" w:rsidP="00075FBF">
            <w:pPr>
              <w:rPr>
                <w:color w:val="000000"/>
                <w:sz w:val="20"/>
                <w:szCs w:val="20"/>
              </w:rPr>
            </w:pPr>
            <w:r w:rsidRPr="003D27FE">
              <w:rPr>
                <w:color w:val="000000"/>
                <w:sz w:val="20"/>
                <w:szCs w:val="20"/>
              </w:rPr>
              <w:t> </w:t>
            </w:r>
          </w:p>
        </w:tc>
        <w:tc>
          <w:tcPr>
            <w:tcW w:w="892" w:type="pct"/>
            <w:tcBorders>
              <w:top w:val="nil"/>
              <w:left w:val="nil"/>
              <w:bottom w:val="single" w:sz="12" w:space="0" w:color="000000"/>
              <w:right w:val="nil"/>
            </w:tcBorders>
            <w:vAlign w:val="center"/>
          </w:tcPr>
          <w:p w14:paraId="78CDE29F" w14:textId="77777777" w:rsidR="0092411F" w:rsidRPr="003D27FE" w:rsidRDefault="0092411F" w:rsidP="00075FBF">
            <w:pPr>
              <w:jc w:val="right"/>
              <w:rPr>
                <w:b/>
                <w:bCs/>
                <w:color w:val="000000"/>
                <w:sz w:val="20"/>
                <w:szCs w:val="20"/>
              </w:rPr>
            </w:pPr>
            <w:r w:rsidRPr="003D27FE">
              <w:rPr>
                <w:b/>
                <w:bCs/>
                <w:color w:val="000000"/>
                <w:sz w:val="20"/>
                <w:szCs w:val="20"/>
              </w:rPr>
              <w:t> </w:t>
            </w:r>
          </w:p>
        </w:tc>
        <w:tc>
          <w:tcPr>
            <w:tcW w:w="892" w:type="pct"/>
            <w:tcBorders>
              <w:top w:val="nil"/>
              <w:left w:val="nil"/>
              <w:bottom w:val="single" w:sz="12" w:space="0" w:color="000000"/>
              <w:right w:val="nil"/>
            </w:tcBorders>
            <w:shd w:val="clear" w:color="auto" w:fill="auto"/>
            <w:vAlign w:val="center"/>
            <w:hideMark/>
          </w:tcPr>
          <w:p w14:paraId="63097512" w14:textId="77777777" w:rsidR="0092411F" w:rsidRPr="003D27FE" w:rsidRDefault="0092411F" w:rsidP="00075FBF">
            <w:pPr>
              <w:jc w:val="right"/>
              <w:rPr>
                <w:b/>
                <w:bCs/>
                <w:color w:val="000000"/>
                <w:sz w:val="20"/>
                <w:szCs w:val="20"/>
              </w:rPr>
            </w:pPr>
          </w:p>
        </w:tc>
      </w:tr>
      <w:tr w:rsidR="0092411F" w:rsidRPr="003D27FE" w14:paraId="160743DE" w14:textId="77777777" w:rsidTr="0092411F">
        <w:trPr>
          <w:trHeight w:val="306"/>
        </w:trPr>
        <w:tc>
          <w:tcPr>
            <w:tcW w:w="3217" w:type="pct"/>
            <w:tcBorders>
              <w:top w:val="nil"/>
              <w:left w:val="nil"/>
              <w:bottom w:val="nil"/>
              <w:right w:val="nil"/>
            </w:tcBorders>
            <w:shd w:val="clear" w:color="auto" w:fill="auto"/>
            <w:vAlign w:val="center"/>
            <w:hideMark/>
          </w:tcPr>
          <w:p w14:paraId="47F52CCC" w14:textId="77777777" w:rsidR="0092411F" w:rsidRPr="003D27FE" w:rsidRDefault="0092411F" w:rsidP="00075FBF">
            <w:pPr>
              <w:rPr>
                <w:color w:val="000000"/>
                <w:sz w:val="20"/>
                <w:szCs w:val="20"/>
              </w:rPr>
            </w:pPr>
            <w:r w:rsidRPr="003D27FE">
              <w:rPr>
                <w:color w:val="000000"/>
                <w:sz w:val="20"/>
                <w:szCs w:val="20"/>
              </w:rPr>
              <w:t>Senior management</w:t>
            </w:r>
          </w:p>
        </w:tc>
        <w:tc>
          <w:tcPr>
            <w:tcW w:w="892" w:type="pct"/>
            <w:tcBorders>
              <w:top w:val="nil"/>
              <w:left w:val="nil"/>
              <w:bottom w:val="nil"/>
              <w:right w:val="nil"/>
            </w:tcBorders>
            <w:vAlign w:val="center"/>
          </w:tcPr>
          <w:p w14:paraId="23C46B19" w14:textId="3A13E16E" w:rsidR="0092411F" w:rsidRPr="003D27FE" w:rsidRDefault="0092411F" w:rsidP="00075FBF">
            <w:pPr>
              <w:jc w:val="right"/>
              <w:rPr>
                <w:color w:val="000000"/>
                <w:sz w:val="20"/>
                <w:szCs w:val="20"/>
              </w:rPr>
            </w:pPr>
            <w:r w:rsidRPr="003D27FE">
              <w:rPr>
                <w:color w:val="000000"/>
                <w:sz w:val="20"/>
                <w:szCs w:val="20"/>
              </w:rPr>
              <w:t>2</w:t>
            </w:r>
          </w:p>
        </w:tc>
        <w:tc>
          <w:tcPr>
            <w:tcW w:w="892" w:type="pct"/>
            <w:tcBorders>
              <w:top w:val="nil"/>
              <w:left w:val="nil"/>
              <w:bottom w:val="nil"/>
              <w:right w:val="nil"/>
            </w:tcBorders>
            <w:shd w:val="clear" w:color="auto" w:fill="auto"/>
            <w:vAlign w:val="center"/>
          </w:tcPr>
          <w:p w14:paraId="50A2F113" w14:textId="77777777" w:rsidR="0092411F" w:rsidRPr="003D27FE" w:rsidRDefault="0092411F" w:rsidP="00075FBF">
            <w:pPr>
              <w:jc w:val="right"/>
              <w:rPr>
                <w:color w:val="000000"/>
                <w:sz w:val="20"/>
                <w:szCs w:val="20"/>
              </w:rPr>
            </w:pPr>
            <w:r w:rsidRPr="003D27FE">
              <w:rPr>
                <w:color w:val="000000"/>
                <w:sz w:val="20"/>
                <w:szCs w:val="20"/>
              </w:rPr>
              <w:t>4</w:t>
            </w:r>
          </w:p>
        </w:tc>
      </w:tr>
      <w:tr w:rsidR="0092411F" w:rsidRPr="003D27FE" w14:paraId="3400BFA1" w14:textId="77777777" w:rsidTr="0092411F">
        <w:trPr>
          <w:trHeight w:val="306"/>
        </w:trPr>
        <w:tc>
          <w:tcPr>
            <w:tcW w:w="3217" w:type="pct"/>
            <w:tcBorders>
              <w:top w:val="nil"/>
              <w:left w:val="nil"/>
              <w:bottom w:val="nil"/>
              <w:right w:val="nil"/>
            </w:tcBorders>
            <w:shd w:val="clear" w:color="auto" w:fill="auto"/>
            <w:vAlign w:val="center"/>
            <w:hideMark/>
          </w:tcPr>
          <w:p w14:paraId="2FC34695" w14:textId="77777777" w:rsidR="0092411F" w:rsidRPr="003D27FE" w:rsidRDefault="0092411F" w:rsidP="00075FBF">
            <w:pPr>
              <w:rPr>
                <w:color w:val="000000"/>
                <w:sz w:val="20"/>
                <w:szCs w:val="20"/>
              </w:rPr>
            </w:pPr>
            <w:r w:rsidRPr="003D27FE">
              <w:rPr>
                <w:color w:val="000000"/>
                <w:sz w:val="20"/>
                <w:szCs w:val="20"/>
              </w:rPr>
              <w:t>Operations</w:t>
            </w:r>
          </w:p>
        </w:tc>
        <w:tc>
          <w:tcPr>
            <w:tcW w:w="892" w:type="pct"/>
            <w:tcBorders>
              <w:top w:val="nil"/>
              <w:left w:val="nil"/>
              <w:bottom w:val="nil"/>
              <w:right w:val="nil"/>
            </w:tcBorders>
            <w:vAlign w:val="center"/>
          </w:tcPr>
          <w:p w14:paraId="71779F0A" w14:textId="23E28039" w:rsidR="0092411F" w:rsidRPr="003D27FE" w:rsidRDefault="007045D2" w:rsidP="00075FBF">
            <w:pPr>
              <w:jc w:val="right"/>
              <w:rPr>
                <w:color w:val="000000"/>
                <w:sz w:val="20"/>
                <w:szCs w:val="20"/>
              </w:rPr>
            </w:pPr>
            <w:r>
              <w:rPr>
                <w:color w:val="000000"/>
                <w:sz w:val="20"/>
                <w:szCs w:val="20"/>
              </w:rPr>
              <w:t>18</w:t>
            </w:r>
          </w:p>
        </w:tc>
        <w:tc>
          <w:tcPr>
            <w:tcW w:w="892" w:type="pct"/>
            <w:tcBorders>
              <w:top w:val="nil"/>
              <w:left w:val="nil"/>
              <w:bottom w:val="nil"/>
              <w:right w:val="nil"/>
            </w:tcBorders>
            <w:shd w:val="clear" w:color="auto" w:fill="auto"/>
            <w:vAlign w:val="center"/>
          </w:tcPr>
          <w:p w14:paraId="1A331030" w14:textId="77777777" w:rsidR="0092411F" w:rsidRPr="003D27FE" w:rsidRDefault="0092411F" w:rsidP="00075FBF">
            <w:pPr>
              <w:jc w:val="right"/>
              <w:rPr>
                <w:color w:val="000000"/>
                <w:sz w:val="20"/>
                <w:szCs w:val="20"/>
              </w:rPr>
            </w:pPr>
            <w:r w:rsidRPr="003D27FE">
              <w:rPr>
                <w:color w:val="000000"/>
                <w:sz w:val="20"/>
                <w:szCs w:val="20"/>
              </w:rPr>
              <w:t>27</w:t>
            </w:r>
          </w:p>
        </w:tc>
      </w:tr>
    </w:tbl>
    <w:p w14:paraId="1BC45430" w14:textId="77777777" w:rsidR="00226CCF" w:rsidRPr="003D27FE" w:rsidRDefault="00226CCF" w:rsidP="00226CCF">
      <w:pPr>
        <w:pStyle w:val="BodyText"/>
        <w:rPr>
          <w:rFonts w:ascii="Arial" w:hAnsi="Arial" w:cs="Arial"/>
          <w:sz w:val="20"/>
          <w:szCs w:val="20"/>
        </w:rPr>
      </w:pPr>
    </w:p>
    <w:p w14:paraId="507F5E21" w14:textId="77777777" w:rsidR="0092411F" w:rsidRPr="003D27FE" w:rsidRDefault="0092411F" w:rsidP="00226CCF">
      <w:pPr>
        <w:spacing w:after="8"/>
        <w:ind w:left="120"/>
        <w:jc w:val="both"/>
        <w:rPr>
          <w:sz w:val="20"/>
          <w:szCs w:val="20"/>
        </w:rPr>
      </w:pPr>
    </w:p>
    <w:p w14:paraId="55DE80F7" w14:textId="1B42107D" w:rsidR="00226CCF" w:rsidRPr="003D27FE" w:rsidRDefault="00226CCF" w:rsidP="00226CCF">
      <w:pPr>
        <w:spacing w:after="8"/>
        <w:ind w:left="120"/>
        <w:jc w:val="both"/>
        <w:rPr>
          <w:sz w:val="20"/>
          <w:szCs w:val="20"/>
        </w:rPr>
      </w:pPr>
      <w:r w:rsidRPr="003D27FE">
        <w:rPr>
          <w:sz w:val="20"/>
          <w:szCs w:val="20"/>
        </w:rPr>
        <w:t>The</w:t>
      </w:r>
      <w:r w:rsidRPr="003D27FE">
        <w:rPr>
          <w:spacing w:val="-3"/>
          <w:sz w:val="20"/>
          <w:szCs w:val="20"/>
        </w:rPr>
        <w:t xml:space="preserve"> </w:t>
      </w:r>
      <w:r w:rsidRPr="003D27FE">
        <w:rPr>
          <w:sz w:val="20"/>
          <w:szCs w:val="20"/>
        </w:rPr>
        <w:t>aggregate</w:t>
      </w:r>
      <w:r w:rsidRPr="003D27FE">
        <w:rPr>
          <w:spacing w:val="-2"/>
          <w:sz w:val="20"/>
          <w:szCs w:val="20"/>
        </w:rPr>
        <w:t xml:space="preserve"> </w:t>
      </w:r>
      <w:r w:rsidRPr="003D27FE">
        <w:rPr>
          <w:sz w:val="20"/>
          <w:szCs w:val="20"/>
        </w:rPr>
        <w:t>remuneration</w:t>
      </w:r>
      <w:r w:rsidRPr="003D27FE">
        <w:rPr>
          <w:spacing w:val="-1"/>
          <w:sz w:val="20"/>
          <w:szCs w:val="20"/>
        </w:rPr>
        <w:t xml:space="preserve"> </w:t>
      </w:r>
      <w:r w:rsidRPr="003D27FE">
        <w:rPr>
          <w:sz w:val="20"/>
          <w:szCs w:val="20"/>
        </w:rPr>
        <w:t>of</w:t>
      </w:r>
      <w:r w:rsidRPr="003D27FE">
        <w:rPr>
          <w:spacing w:val="-5"/>
          <w:sz w:val="20"/>
          <w:szCs w:val="20"/>
        </w:rPr>
        <w:t xml:space="preserve"> </w:t>
      </w:r>
      <w:r w:rsidRPr="003D27FE">
        <w:rPr>
          <w:sz w:val="20"/>
          <w:szCs w:val="20"/>
        </w:rPr>
        <w:t>employees</w:t>
      </w:r>
      <w:r w:rsidRPr="003D27FE">
        <w:rPr>
          <w:spacing w:val="-2"/>
          <w:sz w:val="20"/>
          <w:szCs w:val="20"/>
        </w:rPr>
        <w:t xml:space="preserve"> </w:t>
      </w:r>
      <w:r w:rsidRPr="003D27FE">
        <w:rPr>
          <w:sz w:val="20"/>
          <w:szCs w:val="20"/>
        </w:rPr>
        <w:t>and</w:t>
      </w:r>
      <w:r w:rsidRPr="003D27FE">
        <w:rPr>
          <w:spacing w:val="-5"/>
          <w:sz w:val="20"/>
          <w:szCs w:val="20"/>
        </w:rPr>
        <w:t xml:space="preserve"> </w:t>
      </w:r>
      <w:r w:rsidRPr="003D27FE">
        <w:rPr>
          <w:sz w:val="20"/>
          <w:szCs w:val="20"/>
        </w:rPr>
        <w:t>directors</w:t>
      </w:r>
      <w:r w:rsidRPr="003D27FE">
        <w:rPr>
          <w:spacing w:val="-2"/>
          <w:sz w:val="20"/>
          <w:szCs w:val="20"/>
        </w:rPr>
        <w:t xml:space="preserve"> </w:t>
      </w:r>
      <w:r w:rsidRPr="003D27FE">
        <w:rPr>
          <w:sz w:val="20"/>
          <w:szCs w:val="20"/>
        </w:rPr>
        <w:t>comprised:</w:t>
      </w:r>
    </w:p>
    <w:p w14:paraId="5406612A" w14:textId="77777777" w:rsidR="00226CCF" w:rsidRPr="003D27FE" w:rsidRDefault="00226CCF" w:rsidP="00226CCF">
      <w:pPr>
        <w:spacing w:after="8"/>
        <w:ind w:left="120"/>
        <w:jc w:val="both"/>
        <w:rPr>
          <w:sz w:val="20"/>
          <w:szCs w:val="20"/>
        </w:rPr>
      </w:pPr>
    </w:p>
    <w:tbl>
      <w:tblPr>
        <w:tblW w:w="5000" w:type="pct"/>
        <w:tblLook w:val="04A0" w:firstRow="1" w:lastRow="0" w:firstColumn="1" w:lastColumn="0" w:noHBand="0" w:noVBand="1"/>
      </w:tblPr>
      <w:tblGrid>
        <w:gridCol w:w="6201"/>
        <w:gridCol w:w="1720"/>
        <w:gridCol w:w="1718"/>
      </w:tblGrid>
      <w:tr w:rsidR="0092411F" w:rsidRPr="003D27FE" w14:paraId="126058AE" w14:textId="77777777" w:rsidTr="0092411F">
        <w:trPr>
          <w:trHeight w:val="1191"/>
        </w:trPr>
        <w:tc>
          <w:tcPr>
            <w:tcW w:w="3217" w:type="pct"/>
            <w:tcBorders>
              <w:top w:val="nil"/>
              <w:left w:val="nil"/>
              <w:bottom w:val="nil"/>
              <w:right w:val="nil"/>
            </w:tcBorders>
            <w:shd w:val="clear" w:color="auto" w:fill="auto"/>
            <w:vAlign w:val="center"/>
            <w:hideMark/>
          </w:tcPr>
          <w:p w14:paraId="13CA7582" w14:textId="77777777" w:rsidR="0092411F" w:rsidRPr="003D27FE" w:rsidRDefault="0092411F" w:rsidP="00075FBF">
            <w:pPr>
              <w:rPr>
                <w:sz w:val="20"/>
                <w:szCs w:val="20"/>
              </w:rPr>
            </w:pPr>
          </w:p>
        </w:tc>
        <w:tc>
          <w:tcPr>
            <w:tcW w:w="892" w:type="pct"/>
            <w:tcBorders>
              <w:top w:val="nil"/>
              <w:left w:val="nil"/>
              <w:bottom w:val="nil"/>
              <w:right w:val="nil"/>
            </w:tcBorders>
            <w:vAlign w:val="center"/>
          </w:tcPr>
          <w:p w14:paraId="4339AADB" w14:textId="77777777" w:rsidR="0092411F" w:rsidRPr="003D27FE" w:rsidRDefault="0092411F" w:rsidP="00075FBF">
            <w:pPr>
              <w:jc w:val="right"/>
              <w:rPr>
                <w:b/>
                <w:bCs/>
                <w:color w:val="000000"/>
                <w:sz w:val="20"/>
                <w:szCs w:val="20"/>
              </w:rPr>
            </w:pPr>
            <w:r w:rsidRPr="003D27FE">
              <w:rPr>
                <w:b/>
                <w:bCs/>
                <w:color w:val="000000"/>
                <w:sz w:val="20"/>
                <w:szCs w:val="20"/>
              </w:rPr>
              <w:t xml:space="preserve">Unaudited </w:t>
            </w:r>
          </w:p>
          <w:p w14:paraId="590AA942" w14:textId="46EB12B6" w:rsidR="0092411F" w:rsidRPr="003D27FE" w:rsidRDefault="0092411F" w:rsidP="00075FBF">
            <w:pPr>
              <w:jc w:val="right"/>
              <w:rPr>
                <w:b/>
                <w:bCs/>
                <w:color w:val="000000"/>
                <w:sz w:val="20"/>
                <w:szCs w:val="20"/>
              </w:rPr>
            </w:pPr>
            <w:r w:rsidRPr="003D27FE">
              <w:rPr>
                <w:b/>
                <w:bCs/>
                <w:color w:val="000000"/>
                <w:sz w:val="20"/>
                <w:szCs w:val="20"/>
              </w:rPr>
              <w:t xml:space="preserve">15 Months </w:t>
            </w:r>
            <w:r w:rsidRPr="003D27FE">
              <w:rPr>
                <w:b/>
                <w:bCs/>
                <w:color w:val="000000"/>
                <w:sz w:val="20"/>
                <w:szCs w:val="20"/>
              </w:rPr>
              <w:br/>
              <w:t>ended 31 Dec 2024</w:t>
            </w:r>
          </w:p>
        </w:tc>
        <w:tc>
          <w:tcPr>
            <w:tcW w:w="892" w:type="pct"/>
            <w:tcBorders>
              <w:top w:val="nil"/>
              <w:left w:val="nil"/>
              <w:bottom w:val="nil"/>
              <w:right w:val="nil"/>
            </w:tcBorders>
            <w:shd w:val="clear" w:color="auto" w:fill="auto"/>
            <w:vAlign w:val="center"/>
            <w:hideMark/>
          </w:tcPr>
          <w:p w14:paraId="72ACD5EC" w14:textId="77777777" w:rsidR="0092411F" w:rsidRPr="003D27FE" w:rsidRDefault="0092411F" w:rsidP="0092411F">
            <w:pPr>
              <w:jc w:val="right"/>
              <w:rPr>
                <w:b/>
                <w:bCs/>
                <w:color w:val="000000"/>
                <w:sz w:val="20"/>
                <w:szCs w:val="20"/>
              </w:rPr>
            </w:pPr>
            <w:r w:rsidRPr="003D27FE">
              <w:rPr>
                <w:b/>
                <w:bCs/>
                <w:color w:val="000000"/>
                <w:sz w:val="20"/>
                <w:szCs w:val="20"/>
              </w:rPr>
              <w:t xml:space="preserve">Audited </w:t>
            </w:r>
          </w:p>
          <w:p w14:paraId="3294D29B" w14:textId="165C6C20" w:rsidR="0092411F" w:rsidRPr="003D27FE" w:rsidRDefault="0092411F" w:rsidP="0092411F">
            <w:pPr>
              <w:jc w:val="right"/>
              <w:rPr>
                <w:b/>
                <w:bCs/>
                <w:color w:val="000000"/>
                <w:sz w:val="20"/>
                <w:szCs w:val="20"/>
              </w:rPr>
            </w:pPr>
            <w:r w:rsidRPr="003D27FE">
              <w:rPr>
                <w:b/>
                <w:bCs/>
                <w:color w:val="000000"/>
                <w:sz w:val="20"/>
                <w:szCs w:val="20"/>
              </w:rPr>
              <w:t xml:space="preserve">year </w:t>
            </w:r>
            <w:r w:rsidRPr="003D27FE">
              <w:rPr>
                <w:b/>
                <w:bCs/>
                <w:color w:val="000000"/>
                <w:sz w:val="20"/>
                <w:szCs w:val="20"/>
              </w:rPr>
              <w:br/>
              <w:t>ended 30 Sep 2023</w:t>
            </w:r>
          </w:p>
        </w:tc>
      </w:tr>
      <w:tr w:rsidR="0092411F" w:rsidRPr="003D27FE" w14:paraId="2464D1F6" w14:textId="77777777" w:rsidTr="0092411F">
        <w:trPr>
          <w:trHeight w:val="310"/>
        </w:trPr>
        <w:tc>
          <w:tcPr>
            <w:tcW w:w="3217" w:type="pct"/>
            <w:tcBorders>
              <w:top w:val="nil"/>
              <w:left w:val="nil"/>
              <w:bottom w:val="single" w:sz="12" w:space="0" w:color="000000"/>
              <w:right w:val="nil"/>
            </w:tcBorders>
            <w:shd w:val="clear" w:color="auto" w:fill="auto"/>
            <w:vAlign w:val="center"/>
            <w:hideMark/>
          </w:tcPr>
          <w:p w14:paraId="1536D2EC" w14:textId="77777777" w:rsidR="0092411F" w:rsidRPr="003D27FE" w:rsidRDefault="0092411F" w:rsidP="00075FBF">
            <w:pPr>
              <w:rPr>
                <w:color w:val="000000"/>
                <w:sz w:val="20"/>
                <w:szCs w:val="20"/>
              </w:rPr>
            </w:pPr>
            <w:r w:rsidRPr="003D27FE">
              <w:rPr>
                <w:color w:val="000000"/>
                <w:sz w:val="20"/>
                <w:szCs w:val="20"/>
              </w:rPr>
              <w:t> </w:t>
            </w:r>
          </w:p>
        </w:tc>
        <w:tc>
          <w:tcPr>
            <w:tcW w:w="892" w:type="pct"/>
            <w:tcBorders>
              <w:top w:val="nil"/>
              <w:left w:val="nil"/>
              <w:bottom w:val="single" w:sz="12" w:space="0" w:color="000000"/>
              <w:right w:val="nil"/>
            </w:tcBorders>
            <w:vAlign w:val="center"/>
          </w:tcPr>
          <w:p w14:paraId="734654B0" w14:textId="77777777" w:rsidR="0092411F" w:rsidRPr="003D27FE" w:rsidRDefault="0092411F" w:rsidP="00075FBF">
            <w:pPr>
              <w:jc w:val="right"/>
              <w:rPr>
                <w:b/>
                <w:bCs/>
                <w:color w:val="000000"/>
                <w:sz w:val="20"/>
                <w:szCs w:val="20"/>
              </w:rPr>
            </w:pPr>
            <w:r w:rsidRPr="003D27FE">
              <w:rPr>
                <w:b/>
                <w:bCs/>
                <w:color w:val="000000"/>
                <w:sz w:val="20"/>
                <w:szCs w:val="20"/>
              </w:rPr>
              <w:t>£’000</w:t>
            </w:r>
          </w:p>
        </w:tc>
        <w:tc>
          <w:tcPr>
            <w:tcW w:w="892" w:type="pct"/>
            <w:tcBorders>
              <w:top w:val="nil"/>
              <w:left w:val="nil"/>
              <w:bottom w:val="single" w:sz="12" w:space="0" w:color="000000"/>
              <w:right w:val="nil"/>
            </w:tcBorders>
            <w:shd w:val="clear" w:color="auto" w:fill="auto"/>
            <w:vAlign w:val="center"/>
            <w:hideMark/>
          </w:tcPr>
          <w:p w14:paraId="6AC50BDB" w14:textId="77777777" w:rsidR="0092411F" w:rsidRPr="003D27FE" w:rsidRDefault="0092411F" w:rsidP="00075FBF">
            <w:pPr>
              <w:jc w:val="right"/>
              <w:rPr>
                <w:b/>
                <w:bCs/>
                <w:color w:val="000000"/>
                <w:sz w:val="20"/>
                <w:szCs w:val="20"/>
              </w:rPr>
            </w:pPr>
            <w:r w:rsidRPr="003D27FE">
              <w:rPr>
                <w:b/>
                <w:bCs/>
                <w:color w:val="000000"/>
                <w:sz w:val="20"/>
                <w:szCs w:val="20"/>
              </w:rPr>
              <w:t>£’000</w:t>
            </w:r>
          </w:p>
        </w:tc>
      </w:tr>
      <w:tr w:rsidR="0092411F" w:rsidRPr="003D27FE" w14:paraId="0C8F7368" w14:textId="77777777" w:rsidTr="0092411F">
        <w:trPr>
          <w:trHeight w:val="310"/>
        </w:trPr>
        <w:tc>
          <w:tcPr>
            <w:tcW w:w="3217" w:type="pct"/>
            <w:tcBorders>
              <w:top w:val="nil"/>
              <w:left w:val="nil"/>
              <w:bottom w:val="nil"/>
              <w:right w:val="nil"/>
            </w:tcBorders>
            <w:shd w:val="clear" w:color="auto" w:fill="auto"/>
            <w:vAlign w:val="center"/>
            <w:hideMark/>
          </w:tcPr>
          <w:p w14:paraId="4AD79884" w14:textId="77777777" w:rsidR="0092411F" w:rsidRPr="003D27FE" w:rsidRDefault="0092411F" w:rsidP="003E28B7">
            <w:pPr>
              <w:rPr>
                <w:color w:val="000000"/>
                <w:sz w:val="20"/>
                <w:szCs w:val="20"/>
              </w:rPr>
            </w:pPr>
            <w:r w:rsidRPr="003D27FE">
              <w:rPr>
                <w:color w:val="000000"/>
                <w:sz w:val="20"/>
                <w:szCs w:val="20"/>
              </w:rPr>
              <w:t>Wages &amp; salaries</w:t>
            </w:r>
          </w:p>
        </w:tc>
        <w:tc>
          <w:tcPr>
            <w:tcW w:w="892" w:type="pct"/>
            <w:tcBorders>
              <w:top w:val="nil"/>
              <w:left w:val="nil"/>
              <w:bottom w:val="nil"/>
              <w:right w:val="nil"/>
            </w:tcBorders>
          </w:tcPr>
          <w:p w14:paraId="4C02EB1A" w14:textId="74E2E340" w:rsidR="0092411F" w:rsidRPr="003D27FE" w:rsidRDefault="0092411F" w:rsidP="003E28B7">
            <w:pPr>
              <w:jc w:val="right"/>
              <w:rPr>
                <w:color w:val="000000"/>
                <w:sz w:val="20"/>
                <w:szCs w:val="20"/>
              </w:rPr>
            </w:pPr>
            <w:r w:rsidRPr="003D27FE">
              <w:rPr>
                <w:sz w:val="20"/>
                <w:szCs w:val="20"/>
              </w:rPr>
              <w:t xml:space="preserve"> 1,523 </w:t>
            </w:r>
          </w:p>
        </w:tc>
        <w:tc>
          <w:tcPr>
            <w:tcW w:w="892" w:type="pct"/>
            <w:tcBorders>
              <w:top w:val="nil"/>
              <w:left w:val="nil"/>
              <w:bottom w:val="nil"/>
              <w:right w:val="nil"/>
            </w:tcBorders>
            <w:shd w:val="clear" w:color="auto" w:fill="auto"/>
            <w:vAlign w:val="center"/>
          </w:tcPr>
          <w:p w14:paraId="15DAF902" w14:textId="77777777" w:rsidR="0092411F" w:rsidRPr="003D27FE" w:rsidRDefault="0092411F" w:rsidP="003E28B7">
            <w:pPr>
              <w:jc w:val="right"/>
              <w:rPr>
                <w:color w:val="000000"/>
                <w:sz w:val="20"/>
                <w:szCs w:val="20"/>
              </w:rPr>
            </w:pPr>
            <w:r w:rsidRPr="003D27FE">
              <w:rPr>
                <w:color w:val="000000"/>
                <w:sz w:val="20"/>
                <w:szCs w:val="20"/>
              </w:rPr>
              <w:t>1,605</w:t>
            </w:r>
          </w:p>
        </w:tc>
      </w:tr>
      <w:tr w:rsidR="0092411F" w:rsidRPr="003D27FE" w14:paraId="5A45CA48" w14:textId="77777777" w:rsidTr="0092411F">
        <w:trPr>
          <w:trHeight w:val="297"/>
        </w:trPr>
        <w:tc>
          <w:tcPr>
            <w:tcW w:w="3217" w:type="pct"/>
            <w:tcBorders>
              <w:top w:val="nil"/>
              <w:left w:val="nil"/>
              <w:bottom w:val="nil"/>
              <w:right w:val="nil"/>
            </w:tcBorders>
            <w:shd w:val="clear" w:color="auto" w:fill="auto"/>
            <w:vAlign w:val="center"/>
            <w:hideMark/>
          </w:tcPr>
          <w:p w14:paraId="764B20AA" w14:textId="77777777" w:rsidR="0092411F" w:rsidRPr="003D27FE" w:rsidRDefault="0092411F" w:rsidP="003E28B7">
            <w:pPr>
              <w:rPr>
                <w:color w:val="000000"/>
                <w:sz w:val="20"/>
                <w:szCs w:val="20"/>
              </w:rPr>
            </w:pPr>
            <w:r w:rsidRPr="003D27FE">
              <w:rPr>
                <w:color w:val="000000"/>
                <w:sz w:val="20"/>
                <w:szCs w:val="20"/>
              </w:rPr>
              <w:t>Social security costs</w:t>
            </w:r>
          </w:p>
        </w:tc>
        <w:tc>
          <w:tcPr>
            <w:tcW w:w="892" w:type="pct"/>
            <w:tcBorders>
              <w:top w:val="nil"/>
              <w:left w:val="nil"/>
              <w:bottom w:val="nil"/>
              <w:right w:val="nil"/>
            </w:tcBorders>
          </w:tcPr>
          <w:p w14:paraId="3B310954" w14:textId="70085A70" w:rsidR="0092411F" w:rsidRPr="003D27FE" w:rsidRDefault="0092411F" w:rsidP="003E28B7">
            <w:pPr>
              <w:jc w:val="right"/>
              <w:rPr>
                <w:color w:val="000000"/>
                <w:sz w:val="20"/>
                <w:szCs w:val="20"/>
              </w:rPr>
            </w:pPr>
            <w:r w:rsidRPr="003D27FE">
              <w:rPr>
                <w:sz w:val="20"/>
                <w:szCs w:val="20"/>
              </w:rPr>
              <w:t xml:space="preserve"> 178 </w:t>
            </w:r>
          </w:p>
        </w:tc>
        <w:tc>
          <w:tcPr>
            <w:tcW w:w="892" w:type="pct"/>
            <w:tcBorders>
              <w:top w:val="nil"/>
              <w:left w:val="nil"/>
              <w:bottom w:val="nil"/>
              <w:right w:val="nil"/>
            </w:tcBorders>
            <w:shd w:val="clear" w:color="auto" w:fill="auto"/>
            <w:vAlign w:val="center"/>
          </w:tcPr>
          <w:p w14:paraId="1B09992B" w14:textId="77777777" w:rsidR="0092411F" w:rsidRPr="003D27FE" w:rsidRDefault="0092411F" w:rsidP="003E28B7">
            <w:pPr>
              <w:jc w:val="right"/>
              <w:rPr>
                <w:color w:val="000000"/>
                <w:sz w:val="20"/>
                <w:szCs w:val="20"/>
              </w:rPr>
            </w:pPr>
            <w:r w:rsidRPr="003D27FE">
              <w:rPr>
                <w:color w:val="000000"/>
                <w:sz w:val="20"/>
                <w:szCs w:val="20"/>
              </w:rPr>
              <w:t>185</w:t>
            </w:r>
          </w:p>
        </w:tc>
      </w:tr>
      <w:tr w:rsidR="0092411F" w:rsidRPr="003D27FE" w14:paraId="10DA0DF2" w14:textId="77777777" w:rsidTr="0092411F">
        <w:trPr>
          <w:trHeight w:val="310"/>
        </w:trPr>
        <w:tc>
          <w:tcPr>
            <w:tcW w:w="3217" w:type="pct"/>
            <w:tcBorders>
              <w:top w:val="nil"/>
              <w:left w:val="nil"/>
              <w:bottom w:val="nil"/>
              <w:right w:val="nil"/>
            </w:tcBorders>
            <w:shd w:val="clear" w:color="auto" w:fill="auto"/>
            <w:vAlign w:val="center"/>
            <w:hideMark/>
          </w:tcPr>
          <w:p w14:paraId="426E06D2" w14:textId="77777777" w:rsidR="0092411F" w:rsidRPr="003D27FE" w:rsidRDefault="0092411F" w:rsidP="003E28B7">
            <w:pPr>
              <w:rPr>
                <w:color w:val="000000"/>
                <w:sz w:val="20"/>
                <w:szCs w:val="20"/>
              </w:rPr>
            </w:pPr>
            <w:r w:rsidRPr="003D27FE">
              <w:rPr>
                <w:color w:val="000000"/>
                <w:sz w:val="20"/>
                <w:szCs w:val="20"/>
              </w:rPr>
              <w:t>Pension costs</w:t>
            </w:r>
          </w:p>
        </w:tc>
        <w:tc>
          <w:tcPr>
            <w:tcW w:w="892" w:type="pct"/>
            <w:tcBorders>
              <w:top w:val="nil"/>
              <w:left w:val="nil"/>
              <w:bottom w:val="nil"/>
              <w:right w:val="nil"/>
            </w:tcBorders>
          </w:tcPr>
          <w:p w14:paraId="120877E4" w14:textId="273B73F4" w:rsidR="0092411F" w:rsidRPr="003D27FE" w:rsidRDefault="0092411F" w:rsidP="003E28B7">
            <w:pPr>
              <w:jc w:val="right"/>
              <w:rPr>
                <w:color w:val="000000"/>
                <w:sz w:val="20"/>
                <w:szCs w:val="20"/>
              </w:rPr>
            </w:pPr>
            <w:r w:rsidRPr="003D27FE">
              <w:rPr>
                <w:sz w:val="20"/>
                <w:szCs w:val="20"/>
              </w:rPr>
              <w:t xml:space="preserve"> 25 </w:t>
            </w:r>
          </w:p>
        </w:tc>
        <w:tc>
          <w:tcPr>
            <w:tcW w:w="892" w:type="pct"/>
            <w:tcBorders>
              <w:top w:val="nil"/>
              <w:left w:val="nil"/>
              <w:bottom w:val="nil"/>
              <w:right w:val="nil"/>
            </w:tcBorders>
            <w:shd w:val="clear" w:color="auto" w:fill="auto"/>
            <w:vAlign w:val="center"/>
          </w:tcPr>
          <w:p w14:paraId="207703D0" w14:textId="77777777" w:rsidR="0092411F" w:rsidRPr="003D27FE" w:rsidRDefault="0092411F" w:rsidP="003E28B7">
            <w:pPr>
              <w:jc w:val="right"/>
              <w:rPr>
                <w:color w:val="000000"/>
                <w:sz w:val="20"/>
                <w:szCs w:val="20"/>
              </w:rPr>
            </w:pPr>
            <w:r w:rsidRPr="003D27FE">
              <w:rPr>
                <w:color w:val="000000"/>
                <w:sz w:val="20"/>
                <w:szCs w:val="20"/>
              </w:rPr>
              <w:t>24</w:t>
            </w:r>
          </w:p>
        </w:tc>
      </w:tr>
      <w:tr w:rsidR="0092411F" w:rsidRPr="003D27FE" w14:paraId="040D736C" w14:textId="77777777" w:rsidTr="0092411F">
        <w:trPr>
          <w:trHeight w:val="310"/>
        </w:trPr>
        <w:tc>
          <w:tcPr>
            <w:tcW w:w="3217" w:type="pct"/>
            <w:tcBorders>
              <w:top w:val="nil"/>
              <w:left w:val="nil"/>
              <w:bottom w:val="nil"/>
              <w:right w:val="nil"/>
            </w:tcBorders>
            <w:shd w:val="clear" w:color="auto" w:fill="auto"/>
            <w:vAlign w:val="center"/>
          </w:tcPr>
          <w:p w14:paraId="1855A60D" w14:textId="77777777" w:rsidR="0092411F" w:rsidRPr="003D27FE" w:rsidRDefault="0092411F" w:rsidP="003E28B7">
            <w:pPr>
              <w:rPr>
                <w:color w:val="000000"/>
                <w:sz w:val="20"/>
                <w:szCs w:val="20"/>
              </w:rPr>
            </w:pPr>
            <w:r w:rsidRPr="003D27FE">
              <w:rPr>
                <w:color w:val="000000"/>
                <w:sz w:val="20"/>
                <w:szCs w:val="20"/>
              </w:rPr>
              <w:t>Share Based Payments</w:t>
            </w:r>
          </w:p>
        </w:tc>
        <w:tc>
          <w:tcPr>
            <w:tcW w:w="892" w:type="pct"/>
            <w:tcBorders>
              <w:top w:val="nil"/>
              <w:left w:val="nil"/>
              <w:bottom w:val="nil"/>
              <w:right w:val="nil"/>
            </w:tcBorders>
          </w:tcPr>
          <w:p w14:paraId="28D00FD9" w14:textId="4EFBBD85" w:rsidR="0092411F" w:rsidRPr="003D27FE" w:rsidRDefault="0092411F" w:rsidP="003E28B7">
            <w:pPr>
              <w:jc w:val="right"/>
              <w:rPr>
                <w:color w:val="000000"/>
                <w:sz w:val="20"/>
                <w:szCs w:val="20"/>
              </w:rPr>
            </w:pPr>
            <w:r w:rsidRPr="003D27FE">
              <w:rPr>
                <w:sz w:val="20"/>
                <w:szCs w:val="20"/>
              </w:rPr>
              <w:t xml:space="preserve"> 61 </w:t>
            </w:r>
          </w:p>
        </w:tc>
        <w:tc>
          <w:tcPr>
            <w:tcW w:w="892" w:type="pct"/>
            <w:tcBorders>
              <w:top w:val="nil"/>
              <w:left w:val="nil"/>
              <w:bottom w:val="nil"/>
              <w:right w:val="nil"/>
            </w:tcBorders>
            <w:shd w:val="clear" w:color="auto" w:fill="auto"/>
            <w:vAlign w:val="center"/>
          </w:tcPr>
          <w:p w14:paraId="0CF09193" w14:textId="77777777" w:rsidR="0092411F" w:rsidRPr="003D27FE" w:rsidRDefault="0092411F" w:rsidP="003E28B7">
            <w:pPr>
              <w:jc w:val="right"/>
              <w:rPr>
                <w:color w:val="000000"/>
                <w:sz w:val="20"/>
                <w:szCs w:val="20"/>
              </w:rPr>
            </w:pPr>
            <w:r w:rsidRPr="003D27FE">
              <w:rPr>
                <w:color w:val="000000"/>
                <w:sz w:val="20"/>
                <w:szCs w:val="20"/>
              </w:rPr>
              <w:t>188</w:t>
            </w:r>
          </w:p>
        </w:tc>
      </w:tr>
      <w:tr w:rsidR="0092411F" w:rsidRPr="003D27FE" w14:paraId="3F809BE6" w14:textId="77777777" w:rsidTr="0092411F">
        <w:trPr>
          <w:trHeight w:val="322"/>
        </w:trPr>
        <w:tc>
          <w:tcPr>
            <w:tcW w:w="3217" w:type="pct"/>
            <w:tcBorders>
              <w:top w:val="nil"/>
              <w:left w:val="nil"/>
              <w:bottom w:val="nil"/>
              <w:right w:val="nil"/>
            </w:tcBorders>
            <w:shd w:val="clear" w:color="auto" w:fill="auto"/>
            <w:vAlign w:val="center"/>
            <w:hideMark/>
          </w:tcPr>
          <w:p w14:paraId="1311A07F" w14:textId="77777777" w:rsidR="0092411F" w:rsidRPr="003D27FE" w:rsidRDefault="0092411F" w:rsidP="00D8770B">
            <w:pPr>
              <w:jc w:val="right"/>
              <w:rPr>
                <w:color w:val="000000"/>
                <w:sz w:val="20"/>
                <w:szCs w:val="20"/>
              </w:rPr>
            </w:pPr>
          </w:p>
        </w:tc>
        <w:tc>
          <w:tcPr>
            <w:tcW w:w="892" w:type="pct"/>
            <w:tcBorders>
              <w:top w:val="single" w:sz="12" w:space="0" w:color="auto"/>
              <w:left w:val="nil"/>
              <w:bottom w:val="single" w:sz="12" w:space="0" w:color="000000"/>
              <w:right w:val="nil"/>
            </w:tcBorders>
            <w:vAlign w:val="center"/>
          </w:tcPr>
          <w:p w14:paraId="2646ECB3" w14:textId="710499FE" w:rsidR="0092411F" w:rsidRPr="003D27FE" w:rsidRDefault="0092411F" w:rsidP="00D8770B">
            <w:pPr>
              <w:jc w:val="right"/>
              <w:rPr>
                <w:b/>
                <w:bCs/>
                <w:color w:val="000000"/>
                <w:sz w:val="20"/>
                <w:szCs w:val="20"/>
              </w:rPr>
            </w:pPr>
            <w:r w:rsidRPr="003D27FE">
              <w:rPr>
                <w:b/>
                <w:bCs/>
                <w:color w:val="000000"/>
                <w:sz w:val="20"/>
                <w:szCs w:val="20"/>
              </w:rPr>
              <w:t>1,787</w:t>
            </w:r>
          </w:p>
        </w:tc>
        <w:tc>
          <w:tcPr>
            <w:tcW w:w="892" w:type="pct"/>
            <w:tcBorders>
              <w:top w:val="single" w:sz="12" w:space="0" w:color="auto"/>
              <w:left w:val="nil"/>
              <w:bottom w:val="single" w:sz="12" w:space="0" w:color="000000"/>
              <w:right w:val="nil"/>
            </w:tcBorders>
            <w:shd w:val="clear" w:color="auto" w:fill="auto"/>
            <w:vAlign w:val="center"/>
          </w:tcPr>
          <w:p w14:paraId="55733337" w14:textId="77777777" w:rsidR="0092411F" w:rsidRPr="003D27FE" w:rsidRDefault="0092411F" w:rsidP="00D8770B">
            <w:pPr>
              <w:jc w:val="right"/>
              <w:rPr>
                <w:b/>
                <w:bCs/>
                <w:color w:val="000000"/>
                <w:sz w:val="20"/>
                <w:szCs w:val="20"/>
              </w:rPr>
            </w:pPr>
            <w:r w:rsidRPr="003D27FE">
              <w:rPr>
                <w:b/>
                <w:bCs/>
                <w:color w:val="000000"/>
                <w:sz w:val="20"/>
                <w:szCs w:val="20"/>
              </w:rPr>
              <w:t>2,002</w:t>
            </w:r>
          </w:p>
        </w:tc>
      </w:tr>
    </w:tbl>
    <w:p w14:paraId="5B3BD5BF" w14:textId="77777777" w:rsidR="007045D2" w:rsidRDefault="007045D2" w:rsidP="007045D2">
      <w:pPr>
        <w:pStyle w:val="ListParagraph"/>
        <w:widowControl w:val="0"/>
        <w:tabs>
          <w:tab w:val="left" w:pos="839"/>
          <w:tab w:val="left" w:pos="840"/>
        </w:tabs>
        <w:autoSpaceDE w:val="0"/>
        <w:autoSpaceDN w:val="0"/>
        <w:ind w:left="839"/>
        <w:contextualSpacing w:val="0"/>
        <w:rPr>
          <w:rFonts w:ascii="Arial" w:hAnsi="Arial" w:cs="Arial"/>
          <w:b/>
          <w:sz w:val="20"/>
          <w:szCs w:val="20"/>
        </w:rPr>
      </w:pPr>
    </w:p>
    <w:p w14:paraId="4E3A2DCB" w14:textId="2183E41E" w:rsidR="00226CCF" w:rsidRPr="003D27FE" w:rsidRDefault="00226CCF" w:rsidP="00226CCF">
      <w:pPr>
        <w:pStyle w:val="ListParagraph"/>
        <w:widowControl w:val="0"/>
        <w:numPr>
          <w:ilvl w:val="0"/>
          <w:numId w:val="5"/>
        </w:numPr>
        <w:tabs>
          <w:tab w:val="left" w:pos="839"/>
          <w:tab w:val="left" w:pos="840"/>
        </w:tabs>
        <w:autoSpaceDE w:val="0"/>
        <w:autoSpaceDN w:val="0"/>
        <w:contextualSpacing w:val="0"/>
        <w:rPr>
          <w:rFonts w:ascii="Arial" w:hAnsi="Arial" w:cs="Arial"/>
          <w:b/>
          <w:sz w:val="20"/>
          <w:szCs w:val="20"/>
        </w:rPr>
      </w:pPr>
      <w:r w:rsidRPr="003D27FE">
        <w:rPr>
          <w:rFonts w:ascii="Arial" w:hAnsi="Arial" w:cs="Arial"/>
          <w:b/>
          <w:sz w:val="20"/>
          <w:szCs w:val="20"/>
        </w:rPr>
        <w:t>Earnings</w:t>
      </w:r>
      <w:r w:rsidRPr="003D27FE">
        <w:rPr>
          <w:rFonts w:ascii="Arial" w:hAnsi="Arial" w:cs="Arial"/>
          <w:b/>
          <w:spacing w:val="-2"/>
          <w:sz w:val="20"/>
          <w:szCs w:val="20"/>
        </w:rPr>
        <w:t xml:space="preserve"> </w:t>
      </w:r>
      <w:r w:rsidRPr="003D27FE">
        <w:rPr>
          <w:rFonts w:ascii="Arial" w:hAnsi="Arial" w:cs="Arial"/>
          <w:b/>
          <w:sz w:val="20"/>
          <w:szCs w:val="20"/>
        </w:rPr>
        <w:t>per</w:t>
      </w:r>
      <w:r w:rsidRPr="003D27FE">
        <w:rPr>
          <w:rFonts w:ascii="Arial" w:hAnsi="Arial" w:cs="Arial"/>
          <w:b/>
          <w:spacing w:val="-2"/>
          <w:sz w:val="20"/>
          <w:szCs w:val="20"/>
        </w:rPr>
        <w:t xml:space="preserve"> </w:t>
      </w:r>
      <w:r w:rsidRPr="003D27FE">
        <w:rPr>
          <w:rFonts w:ascii="Arial" w:hAnsi="Arial" w:cs="Arial"/>
          <w:b/>
          <w:sz w:val="20"/>
          <w:szCs w:val="20"/>
        </w:rPr>
        <w:t>share</w:t>
      </w:r>
    </w:p>
    <w:p w14:paraId="28FBA6D4" w14:textId="77777777" w:rsidR="00226CCF" w:rsidRPr="003D27FE" w:rsidRDefault="00226CCF" w:rsidP="00226CCF">
      <w:pPr>
        <w:pStyle w:val="BodyText"/>
        <w:spacing w:before="2"/>
        <w:rPr>
          <w:rFonts w:ascii="Arial" w:hAnsi="Arial" w:cs="Arial"/>
          <w:b/>
          <w:sz w:val="20"/>
          <w:szCs w:val="20"/>
        </w:rPr>
      </w:pPr>
    </w:p>
    <w:p w14:paraId="593BE3F0" w14:textId="77777777" w:rsidR="00226CCF" w:rsidRPr="003D27FE" w:rsidRDefault="00226CCF" w:rsidP="00226CCF">
      <w:pPr>
        <w:spacing w:before="1" w:line="256" w:lineRule="auto"/>
        <w:ind w:left="119" w:right="135"/>
        <w:jc w:val="both"/>
        <w:rPr>
          <w:sz w:val="20"/>
          <w:szCs w:val="20"/>
        </w:rPr>
      </w:pPr>
      <w:r w:rsidRPr="003D27FE">
        <w:rPr>
          <w:sz w:val="20"/>
          <w:szCs w:val="20"/>
        </w:rPr>
        <w:t>The</w:t>
      </w:r>
      <w:r w:rsidRPr="003D27FE">
        <w:rPr>
          <w:spacing w:val="-7"/>
          <w:sz w:val="20"/>
          <w:szCs w:val="20"/>
        </w:rPr>
        <w:t xml:space="preserve"> </w:t>
      </w:r>
      <w:r w:rsidRPr="003D27FE">
        <w:rPr>
          <w:sz w:val="20"/>
          <w:szCs w:val="20"/>
        </w:rPr>
        <w:t>basic</w:t>
      </w:r>
      <w:r w:rsidRPr="003D27FE">
        <w:rPr>
          <w:spacing w:val="-7"/>
          <w:sz w:val="20"/>
          <w:szCs w:val="20"/>
        </w:rPr>
        <w:t xml:space="preserve"> </w:t>
      </w:r>
      <w:r w:rsidRPr="003D27FE">
        <w:rPr>
          <w:sz w:val="20"/>
          <w:szCs w:val="20"/>
        </w:rPr>
        <w:t>earnings</w:t>
      </w:r>
      <w:r w:rsidRPr="003D27FE">
        <w:rPr>
          <w:spacing w:val="-9"/>
          <w:sz w:val="20"/>
          <w:szCs w:val="20"/>
        </w:rPr>
        <w:t xml:space="preserve"> </w:t>
      </w:r>
      <w:r w:rsidRPr="003D27FE">
        <w:rPr>
          <w:sz w:val="20"/>
          <w:szCs w:val="20"/>
        </w:rPr>
        <w:t>per</w:t>
      </w:r>
      <w:r w:rsidRPr="003D27FE">
        <w:rPr>
          <w:spacing w:val="-8"/>
          <w:sz w:val="20"/>
          <w:szCs w:val="20"/>
        </w:rPr>
        <w:t xml:space="preserve"> </w:t>
      </w:r>
      <w:r w:rsidRPr="003D27FE">
        <w:rPr>
          <w:sz w:val="20"/>
          <w:szCs w:val="20"/>
        </w:rPr>
        <w:t>share</w:t>
      </w:r>
      <w:r w:rsidRPr="003D27FE">
        <w:rPr>
          <w:spacing w:val="-7"/>
          <w:sz w:val="20"/>
          <w:szCs w:val="20"/>
        </w:rPr>
        <w:t xml:space="preserve"> </w:t>
      </w:r>
      <w:r w:rsidRPr="003D27FE">
        <w:rPr>
          <w:sz w:val="20"/>
          <w:szCs w:val="20"/>
        </w:rPr>
        <w:t>is</w:t>
      </w:r>
      <w:r w:rsidRPr="003D27FE">
        <w:rPr>
          <w:spacing w:val="-6"/>
          <w:sz w:val="20"/>
          <w:szCs w:val="20"/>
        </w:rPr>
        <w:t xml:space="preserve"> </w:t>
      </w:r>
      <w:r w:rsidRPr="003D27FE">
        <w:rPr>
          <w:sz w:val="20"/>
          <w:szCs w:val="20"/>
        </w:rPr>
        <w:t>calculated</w:t>
      </w:r>
      <w:r w:rsidRPr="003D27FE">
        <w:rPr>
          <w:spacing w:val="-6"/>
          <w:sz w:val="20"/>
          <w:szCs w:val="20"/>
        </w:rPr>
        <w:t xml:space="preserve"> </w:t>
      </w:r>
      <w:r w:rsidRPr="003D27FE">
        <w:rPr>
          <w:sz w:val="20"/>
          <w:szCs w:val="20"/>
        </w:rPr>
        <w:t>by</w:t>
      </w:r>
      <w:r w:rsidRPr="003D27FE">
        <w:rPr>
          <w:spacing w:val="-7"/>
          <w:sz w:val="20"/>
          <w:szCs w:val="20"/>
        </w:rPr>
        <w:t xml:space="preserve"> </w:t>
      </w:r>
      <w:r w:rsidRPr="003D27FE">
        <w:rPr>
          <w:sz w:val="20"/>
          <w:szCs w:val="20"/>
        </w:rPr>
        <w:t>dividing</w:t>
      </w:r>
      <w:r w:rsidRPr="003D27FE">
        <w:rPr>
          <w:spacing w:val="-6"/>
          <w:sz w:val="20"/>
          <w:szCs w:val="20"/>
        </w:rPr>
        <w:t xml:space="preserve"> </w:t>
      </w:r>
      <w:r w:rsidRPr="003D27FE">
        <w:rPr>
          <w:sz w:val="20"/>
          <w:szCs w:val="20"/>
        </w:rPr>
        <w:t>the</w:t>
      </w:r>
      <w:r w:rsidRPr="003D27FE">
        <w:rPr>
          <w:spacing w:val="-9"/>
          <w:sz w:val="20"/>
          <w:szCs w:val="20"/>
        </w:rPr>
        <w:t xml:space="preserve"> </w:t>
      </w:r>
      <w:r w:rsidRPr="003D27FE">
        <w:rPr>
          <w:sz w:val="20"/>
          <w:szCs w:val="20"/>
        </w:rPr>
        <w:t>profit/(loss)</w:t>
      </w:r>
      <w:r w:rsidRPr="003D27FE">
        <w:rPr>
          <w:spacing w:val="-8"/>
          <w:sz w:val="20"/>
          <w:szCs w:val="20"/>
        </w:rPr>
        <w:t xml:space="preserve"> </w:t>
      </w:r>
      <w:r w:rsidRPr="003D27FE">
        <w:rPr>
          <w:sz w:val="20"/>
          <w:szCs w:val="20"/>
        </w:rPr>
        <w:t>attributable</w:t>
      </w:r>
      <w:r w:rsidRPr="003D27FE">
        <w:rPr>
          <w:spacing w:val="-7"/>
          <w:sz w:val="20"/>
          <w:szCs w:val="20"/>
        </w:rPr>
        <w:t xml:space="preserve"> </w:t>
      </w:r>
      <w:r w:rsidRPr="003D27FE">
        <w:rPr>
          <w:sz w:val="20"/>
          <w:szCs w:val="20"/>
        </w:rPr>
        <w:t>to</w:t>
      </w:r>
      <w:r w:rsidRPr="003D27FE">
        <w:rPr>
          <w:spacing w:val="-6"/>
          <w:sz w:val="20"/>
          <w:szCs w:val="20"/>
        </w:rPr>
        <w:t xml:space="preserve"> </w:t>
      </w:r>
      <w:r w:rsidRPr="003D27FE">
        <w:rPr>
          <w:sz w:val="20"/>
          <w:szCs w:val="20"/>
        </w:rPr>
        <w:t>equity</w:t>
      </w:r>
      <w:r w:rsidRPr="003D27FE">
        <w:rPr>
          <w:spacing w:val="-6"/>
          <w:sz w:val="20"/>
          <w:szCs w:val="20"/>
        </w:rPr>
        <w:t xml:space="preserve"> </w:t>
      </w:r>
      <w:r w:rsidRPr="003D27FE">
        <w:rPr>
          <w:sz w:val="20"/>
          <w:szCs w:val="20"/>
        </w:rPr>
        <w:t>shareholders</w:t>
      </w:r>
      <w:r w:rsidRPr="003D27FE">
        <w:rPr>
          <w:spacing w:val="-9"/>
          <w:sz w:val="20"/>
          <w:szCs w:val="20"/>
        </w:rPr>
        <w:t xml:space="preserve"> </w:t>
      </w:r>
      <w:r w:rsidRPr="003D27FE">
        <w:rPr>
          <w:sz w:val="20"/>
          <w:szCs w:val="20"/>
        </w:rPr>
        <w:t>by</w:t>
      </w:r>
      <w:r w:rsidRPr="003D27FE">
        <w:rPr>
          <w:spacing w:val="-5"/>
          <w:sz w:val="20"/>
          <w:szCs w:val="20"/>
        </w:rPr>
        <w:t xml:space="preserve"> </w:t>
      </w:r>
      <w:r w:rsidRPr="003D27FE">
        <w:rPr>
          <w:sz w:val="20"/>
          <w:szCs w:val="20"/>
        </w:rPr>
        <w:t>the</w:t>
      </w:r>
      <w:r w:rsidRPr="003D27FE">
        <w:rPr>
          <w:spacing w:val="-7"/>
          <w:sz w:val="20"/>
          <w:szCs w:val="20"/>
        </w:rPr>
        <w:t xml:space="preserve"> </w:t>
      </w:r>
      <w:r w:rsidRPr="003D27FE">
        <w:rPr>
          <w:sz w:val="20"/>
          <w:szCs w:val="20"/>
        </w:rPr>
        <w:t>weighted</w:t>
      </w:r>
      <w:r w:rsidRPr="003D27FE">
        <w:rPr>
          <w:spacing w:val="-8"/>
          <w:sz w:val="20"/>
          <w:szCs w:val="20"/>
        </w:rPr>
        <w:t xml:space="preserve"> </w:t>
      </w:r>
      <w:r w:rsidRPr="003D27FE">
        <w:rPr>
          <w:sz w:val="20"/>
          <w:szCs w:val="20"/>
        </w:rPr>
        <w:t>average</w:t>
      </w:r>
      <w:r w:rsidRPr="003D27FE">
        <w:rPr>
          <w:spacing w:val="1"/>
          <w:sz w:val="20"/>
          <w:szCs w:val="20"/>
        </w:rPr>
        <w:t xml:space="preserve"> </w:t>
      </w:r>
      <w:r w:rsidRPr="003D27FE">
        <w:rPr>
          <w:sz w:val="20"/>
          <w:szCs w:val="20"/>
        </w:rPr>
        <w:t>number</w:t>
      </w:r>
      <w:r w:rsidRPr="003D27FE">
        <w:rPr>
          <w:spacing w:val="-2"/>
          <w:sz w:val="20"/>
          <w:szCs w:val="20"/>
        </w:rPr>
        <w:t xml:space="preserve"> </w:t>
      </w:r>
      <w:r w:rsidRPr="003D27FE">
        <w:rPr>
          <w:sz w:val="20"/>
          <w:szCs w:val="20"/>
        </w:rPr>
        <w:t>of</w:t>
      </w:r>
      <w:r w:rsidRPr="003D27FE">
        <w:rPr>
          <w:spacing w:val="-1"/>
          <w:sz w:val="20"/>
          <w:szCs w:val="20"/>
        </w:rPr>
        <w:t xml:space="preserve"> </w:t>
      </w:r>
      <w:r w:rsidRPr="003D27FE">
        <w:rPr>
          <w:sz w:val="20"/>
          <w:szCs w:val="20"/>
        </w:rPr>
        <w:t>shares</w:t>
      </w:r>
      <w:r w:rsidRPr="003D27FE">
        <w:rPr>
          <w:spacing w:val="1"/>
          <w:sz w:val="20"/>
          <w:szCs w:val="20"/>
        </w:rPr>
        <w:t xml:space="preserve"> </w:t>
      </w:r>
      <w:r w:rsidRPr="003D27FE">
        <w:rPr>
          <w:sz w:val="20"/>
          <w:szCs w:val="20"/>
        </w:rPr>
        <w:t>in</w:t>
      </w:r>
      <w:r w:rsidRPr="003D27FE">
        <w:rPr>
          <w:spacing w:val="-1"/>
          <w:sz w:val="20"/>
          <w:szCs w:val="20"/>
        </w:rPr>
        <w:t xml:space="preserve"> </w:t>
      </w:r>
      <w:r w:rsidRPr="003D27FE">
        <w:rPr>
          <w:sz w:val="20"/>
          <w:szCs w:val="20"/>
        </w:rPr>
        <w:t>issue.</w:t>
      </w:r>
    </w:p>
    <w:p w14:paraId="69A44E9E" w14:textId="77777777" w:rsidR="00226CCF" w:rsidRPr="003D27FE" w:rsidRDefault="00226CCF" w:rsidP="00226CCF">
      <w:pPr>
        <w:spacing w:before="1" w:line="256" w:lineRule="auto"/>
        <w:ind w:right="133"/>
        <w:jc w:val="both"/>
        <w:rPr>
          <w:sz w:val="20"/>
          <w:szCs w:val="20"/>
        </w:rPr>
      </w:pPr>
    </w:p>
    <w:tbl>
      <w:tblPr>
        <w:tblW w:w="5256" w:type="pct"/>
        <w:tblLook w:val="04A0" w:firstRow="1" w:lastRow="0" w:firstColumn="1" w:lastColumn="0" w:noHBand="0" w:noVBand="1"/>
      </w:tblPr>
      <w:tblGrid>
        <w:gridCol w:w="6439"/>
        <w:gridCol w:w="1848"/>
        <w:gridCol w:w="1846"/>
      </w:tblGrid>
      <w:tr w:rsidR="0092411F" w:rsidRPr="003D27FE" w14:paraId="6E40C740" w14:textId="77777777" w:rsidTr="0092411F">
        <w:trPr>
          <w:trHeight w:val="945"/>
        </w:trPr>
        <w:tc>
          <w:tcPr>
            <w:tcW w:w="3176" w:type="pct"/>
            <w:tcBorders>
              <w:top w:val="nil"/>
              <w:left w:val="nil"/>
              <w:bottom w:val="nil"/>
              <w:right w:val="nil"/>
            </w:tcBorders>
            <w:vAlign w:val="center"/>
            <w:hideMark/>
          </w:tcPr>
          <w:p w14:paraId="5F68FAD5" w14:textId="77777777" w:rsidR="0092411F" w:rsidRPr="003D27FE" w:rsidRDefault="0092411F" w:rsidP="00075FBF">
            <w:pPr>
              <w:rPr>
                <w:sz w:val="20"/>
                <w:szCs w:val="20"/>
              </w:rPr>
            </w:pPr>
          </w:p>
        </w:tc>
        <w:tc>
          <w:tcPr>
            <w:tcW w:w="912" w:type="pct"/>
            <w:tcBorders>
              <w:top w:val="nil"/>
              <w:left w:val="nil"/>
              <w:bottom w:val="nil"/>
              <w:right w:val="nil"/>
            </w:tcBorders>
            <w:vAlign w:val="bottom"/>
          </w:tcPr>
          <w:p w14:paraId="596BABBF" w14:textId="24087558" w:rsidR="0092411F" w:rsidRPr="003D27FE" w:rsidRDefault="0092411F" w:rsidP="00075FBF">
            <w:pPr>
              <w:jc w:val="right"/>
              <w:rPr>
                <w:b/>
                <w:bCs/>
                <w:sz w:val="20"/>
                <w:szCs w:val="20"/>
              </w:rPr>
            </w:pPr>
            <w:r w:rsidRPr="003D27FE">
              <w:rPr>
                <w:b/>
                <w:bCs/>
                <w:sz w:val="20"/>
                <w:szCs w:val="20"/>
              </w:rPr>
              <w:t xml:space="preserve">Unaudited </w:t>
            </w:r>
            <w:r w:rsidRPr="003D27FE">
              <w:rPr>
                <w:b/>
                <w:bCs/>
                <w:sz w:val="20"/>
                <w:szCs w:val="20"/>
              </w:rPr>
              <w:br/>
            </w:r>
            <w:proofErr w:type="gramStart"/>
            <w:r w:rsidRPr="003D27FE">
              <w:rPr>
                <w:b/>
                <w:bCs/>
                <w:sz w:val="20"/>
                <w:szCs w:val="20"/>
              </w:rPr>
              <w:t>At</w:t>
            </w:r>
            <w:proofErr w:type="gramEnd"/>
            <w:r w:rsidRPr="003D27FE">
              <w:rPr>
                <w:b/>
                <w:bCs/>
                <w:sz w:val="20"/>
                <w:szCs w:val="20"/>
              </w:rPr>
              <w:t xml:space="preserve"> 31 Dec </w:t>
            </w:r>
            <w:r w:rsidRPr="003D27FE">
              <w:rPr>
                <w:b/>
                <w:bCs/>
                <w:sz w:val="20"/>
                <w:szCs w:val="20"/>
              </w:rPr>
              <w:br/>
              <w:t>2024</w:t>
            </w:r>
          </w:p>
        </w:tc>
        <w:tc>
          <w:tcPr>
            <w:tcW w:w="911" w:type="pct"/>
            <w:tcBorders>
              <w:top w:val="nil"/>
              <w:left w:val="nil"/>
              <w:bottom w:val="nil"/>
              <w:right w:val="nil"/>
            </w:tcBorders>
            <w:shd w:val="clear" w:color="auto" w:fill="auto"/>
            <w:vAlign w:val="bottom"/>
            <w:hideMark/>
          </w:tcPr>
          <w:p w14:paraId="6C17F5E2" w14:textId="77777777" w:rsidR="0092411F" w:rsidRPr="003D27FE" w:rsidRDefault="0092411F" w:rsidP="00075FBF">
            <w:pPr>
              <w:jc w:val="right"/>
              <w:rPr>
                <w:b/>
                <w:bCs/>
                <w:sz w:val="20"/>
                <w:szCs w:val="20"/>
              </w:rPr>
            </w:pPr>
            <w:r w:rsidRPr="003D27FE">
              <w:rPr>
                <w:b/>
                <w:bCs/>
                <w:sz w:val="20"/>
                <w:szCs w:val="20"/>
              </w:rPr>
              <w:t xml:space="preserve">Audited </w:t>
            </w:r>
            <w:r w:rsidRPr="003D27FE">
              <w:rPr>
                <w:b/>
                <w:bCs/>
                <w:sz w:val="20"/>
                <w:szCs w:val="20"/>
              </w:rPr>
              <w:br/>
            </w:r>
            <w:proofErr w:type="gramStart"/>
            <w:r w:rsidRPr="003D27FE">
              <w:rPr>
                <w:b/>
                <w:bCs/>
                <w:sz w:val="20"/>
                <w:szCs w:val="20"/>
              </w:rPr>
              <w:t>At</w:t>
            </w:r>
            <w:proofErr w:type="gramEnd"/>
            <w:r w:rsidRPr="003D27FE">
              <w:rPr>
                <w:b/>
                <w:bCs/>
                <w:sz w:val="20"/>
                <w:szCs w:val="20"/>
              </w:rPr>
              <w:t xml:space="preserve"> 30 Sep </w:t>
            </w:r>
            <w:r w:rsidRPr="003D27FE">
              <w:rPr>
                <w:b/>
                <w:bCs/>
                <w:sz w:val="20"/>
                <w:szCs w:val="20"/>
              </w:rPr>
              <w:br/>
              <w:t>2023</w:t>
            </w:r>
          </w:p>
        </w:tc>
      </w:tr>
      <w:tr w:rsidR="0092411F" w:rsidRPr="003D27FE" w14:paraId="70C01230" w14:textId="77777777" w:rsidTr="0092411F">
        <w:trPr>
          <w:trHeight w:val="534"/>
        </w:trPr>
        <w:tc>
          <w:tcPr>
            <w:tcW w:w="3176" w:type="pct"/>
            <w:tcBorders>
              <w:top w:val="single" w:sz="12" w:space="0" w:color="auto"/>
              <w:left w:val="nil"/>
              <w:bottom w:val="nil"/>
              <w:right w:val="nil"/>
            </w:tcBorders>
            <w:shd w:val="clear" w:color="auto" w:fill="auto"/>
            <w:vAlign w:val="center"/>
            <w:hideMark/>
          </w:tcPr>
          <w:p w14:paraId="4628CEAC" w14:textId="77777777" w:rsidR="0092411F" w:rsidRPr="003D27FE" w:rsidRDefault="0092411F" w:rsidP="00D8770B">
            <w:pPr>
              <w:rPr>
                <w:sz w:val="20"/>
                <w:szCs w:val="20"/>
              </w:rPr>
            </w:pPr>
            <w:r w:rsidRPr="003D27FE">
              <w:rPr>
                <w:sz w:val="20"/>
                <w:szCs w:val="20"/>
              </w:rPr>
              <w:t>Loss for the year from continuing operations (£’000)</w:t>
            </w:r>
          </w:p>
        </w:tc>
        <w:tc>
          <w:tcPr>
            <w:tcW w:w="912" w:type="pct"/>
            <w:tcBorders>
              <w:top w:val="single" w:sz="12" w:space="0" w:color="auto"/>
              <w:left w:val="nil"/>
              <w:bottom w:val="nil"/>
              <w:right w:val="nil"/>
            </w:tcBorders>
            <w:vAlign w:val="center"/>
          </w:tcPr>
          <w:p w14:paraId="268D7008" w14:textId="636FC034" w:rsidR="0092411F" w:rsidRPr="003D27FE" w:rsidRDefault="0092411F" w:rsidP="00D8770B">
            <w:pPr>
              <w:jc w:val="right"/>
              <w:rPr>
                <w:sz w:val="20"/>
                <w:szCs w:val="20"/>
              </w:rPr>
            </w:pPr>
            <w:r w:rsidRPr="003D27FE">
              <w:rPr>
                <w:sz w:val="20"/>
                <w:szCs w:val="20"/>
              </w:rPr>
              <w:t>(1,</w:t>
            </w:r>
            <w:r w:rsidR="002F6E52">
              <w:rPr>
                <w:sz w:val="20"/>
                <w:szCs w:val="20"/>
              </w:rPr>
              <w:t>245</w:t>
            </w:r>
            <w:r w:rsidRPr="003D27FE">
              <w:rPr>
                <w:sz w:val="20"/>
                <w:szCs w:val="20"/>
              </w:rPr>
              <w:t>)</w:t>
            </w:r>
          </w:p>
        </w:tc>
        <w:tc>
          <w:tcPr>
            <w:tcW w:w="911" w:type="pct"/>
            <w:tcBorders>
              <w:top w:val="single" w:sz="12" w:space="0" w:color="auto"/>
              <w:left w:val="nil"/>
              <w:bottom w:val="nil"/>
              <w:right w:val="nil"/>
            </w:tcBorders>
            <w:shd w:val="clear" w:color="auto" w:fill="auto"/>
            <w:vAlign w:val="center"/>
          </w:tcPr>
          <w:p w14:paraId="4313FC3A" w14:textId="77777777" w:rsidR="0092411F" w:rsidRPr="003D27FE" w:rsidRDefault="0092411F" w:rsidP="00D8770B">
            <w:pPr>
              <w:jc w:val="right"/>
              <w:rPr>
                <w:sz w:val="20"/>
                <w:szCs w:val="20"/>
              </w:rPr>
            </w:pPr>
            <w:r w:rsidRPr="003D27FE">
              <w:rPr>
                <w:sz w:val="20"/>
                <w:szCs w:val="20"/>
              </w:rPr>
              <w:t>(4,497)</w:t>
            </w:r>
          </w:p>
        </w:tc>
      </w:tr>
      <w:tr w:rsidR="0092411F" w:rsidRPr="003D27FE" w14:paraId="3D841FCF" w14:textId="77777777" w:rsidTr="0092411F">
        <w:trPr>
          <w:trHeight w:val="310"/>
        </w:trPr>
        <w:tc>
          <w:tcPr>
            <w:tcW w:w="3176" w:type="pct"/>
            <w:tcBorders>
              <w:top w:val="nil"/>
              <w:left w:val="nil"/>
              <w:bottom w:val="single" w:sz="8" w:space="0" w:color="000000"/>
              <w:right w:val="nil"/>
            </w:tcBorders>
            <w:shd w:val="clear" w:color="auto" w:fill="auto"/>
            <w:vAlign w:val="center"/>
            <w:hideMark/>
          </w:tcPr>
          <w:p w14:paraId="1386A278" w14:textId="77777777" w:rsidR="0092411F" w:rsidRPr="003D27FE" w:rsidRDefault="0092411F" w:rsidP="00D8770B">
            <w:pPr>
              <w:rPr>
                <w:sz w:val="20"/>
                <w:szCs w:val="20"/>
              </w:rPr>
            </w:pPr>
            <w:r w:rsidRPr="003D27FE">
              <w:rPr>
                <w:sz w:val="20"/>
                <w:szCs w:val="20"/>
              </w:rPr>
              <w:t>Weighted average number of ordinary shares in issue</w:t>
            </w:r>
          </w:p>
        </w:tc>
        <w:tc>
          <w:tcPr>
            <w:tcW w:w="912" w:type="pct"/>
            <w:tcBorders>
              <w:top w:val="nil"/>
              <w:left w:val="nil"/>
              <w:bottom w:val="single" w:sz="8" w:space="0" w:color="000000"/>
              <w:right w:val="nil"/>
            </w:tcBorders>
            <w:vAlign w:val="center"/>
          </w:tcPr>
          <w:p w14:paraId="2F137FC8" w14:textId="1C34EADC" w:rsidR="0092411F" w:rsidRPr="003D27FE" w:rsidRDefault="0092411F" w:rsidP="00D8770B">
            <w:pPr>
              <w:jc w:val="right"/>
              <w:rPr>
                <w:sz w:val="20"/>
                <w:szCs w:val="20"/>
              </w:rPr>
            </w:pPr>
            <w:r w:rsidRPr="003D27FE">
              <w:rPr>
                <w:sz w:val="20"/>
                <w:szCs w:val="20"/>
              </w:rPr>
              <w:t>755,953,461</w:t>
            </w:r>
          </w:p>
        </w:tc>
        <w:tc>
          <w:tcPr>
            <w:tcW w:w="911" w:type="pct"/>
            <w:tcBorders>
              <w:top w:val="nil"/>
              <w:left w:val="nil"/>
              <w:bottom w:val="single" w:sz="8" w:space="0" w:color="000000"/>
              <w:right w:val="nil"/>
            </w:tcBorders>
            <w:shd w:val="clear" w:color="auto" w:fill="auto"/>
            <w:vAlign w:val="center"/>
          </w:tcPr>
          <w:p w14:paraId="6CB02B90" w14:textId="77777777" w:rsidR="0092411F" w:rsidRPr="003D27FE" w:rsidRDefault="0092411F" w:rsidP="00D8770B">
            <w:pPr>
              <w:jc w:val="right"/>
              <w:rPr>
                <w:sz w:val="20"/>
                <w:szCs w:val="20"/>
              </w:rPr>
            </w:pPr>
            <w:r w:rsidRPr="003D27FE">
              <w:rPr>
                <w:sz w:val="20"/>
                <w:szCs w:val="20"/>
              </w:rPr>
              <w:t>547,596,540</w:t>
            </w:r>
          </w:p>
        </w:tc>
      </w:tr>
      <w:tr w:rsidR="0092411F" w:rsidRPr="003D27FE" w14:paraId="0D40B9B0" w14:textId="77777777" w:rsidTr="0092411F">
        <w:trPr>
          <w:trHeight w:val="310"/>
        </w:trPr>
        <w:tc>
          <w:tcPr>
            <w:tcW w:w="3176" w:type="pct"/>
            <w:tcBorders>
              <w:top w:val="nil"/>
              <w:left w:val="nil"/>
              <w:bottom w:val="single" w:sz="12" w:space="0" w:color="000000"/>
              <w:right w:val="nil"/>
            </w:tcBorders>
            <w:shd w:val="clear" w:color="auto" w:fill="auto"/>
            <w:vAlign w:val="center"/>
            <w:hideMark/>
          </w:tcPr>
          <w:p w14:paraId="10C522A4" w14:textId="77777777" w:rsidR="0092411F" w:rsidRPr="003D27FE" w:rsidRDefault="0092411F" w:rsidP="00D8770B">
            <w:pPr>
              <w:rPr>
                <w:b/>
                <w:bCs/>
                <w:sz w:val="20"/>
                <w:szCs w:val="20"/>
              </w:rPr>
            </w:pPr>
            <w:r w:rsidRPr="003D27FE">
              <w:rPr>
                <w:b/>
                <w:bCs/>
                <w:sz w:val="20"/>
                <w:szCs w:val="20"/>
              </w:rPr>
              <w:lastRenderedPageBreak/>
              <w:t>Basic and diluted earnings per share for continuing operations (pence)</w:t>
            </w:r>
          </w:p>
        </w:tc>
        <w:tc>
          <w:tcPr>
            <w:tcW w:w="912" w:type="pct"/>
            <w:tcBorders>
              <w:top w:val="nil"/>
              <w:left w:val="nil"/>
              <w:bottom w:val="single" w:sz="12" w:space="0" w:color="000000"/>
              <w:right w:val="nil"/>
            </w:tcBorders>
            <w:vAlign w:val="center"/>
          </w:tcPr>
          <w:p w14:paraId="75CEAA44" w14:textId="5772551A" w:rsidR="0092411F" w:rsidRPr="003D27FE" w:rsidRDefault="0092411F" w:rsidP="00D8770B">
            <w:pPr>
              <w:jc w:val="right"/>
              <w:rPr>
                <w:b/>
                <w:bCs/>
                <w:sz w:val="20"/>
                <w:szCs w:val="20"/>
              </w:rPr>
            </w:pPr>
            <w:r w:rsidRPr="003D27FE">
              <w:rPr>
                <w:b/>
                <w:bCs/>
                <w:sz w:val="20"/>
                <w:szCs w:val="20"/>
              </w:rPr>
              <w:t>(0.1</w:t>
            </w:r>
            <w:r w:rsidR="002F6E52">
              <w:rPr>
                <w:b/>
                <w:bCs/>
                <w:sz w:val="20"/>
                <w:szCs w:val="20"/>
              </w:rPr>
              <w:t>6</w:t>
            </w:r>
            <w:r w:rsidRPr="003D27FE">
              <w:rPr>
                <w:b/>
                <w:bCs/>
                <w:sz w:val="20"/>
                <w:szCs w:val="20"/>
              </w:rPr>
              <w:t>)</w:t>
            </w:r>
          </w:p>
        </w:tc>
        <w:tc>
          <w:tcPr>
            <w:tcW w:w="911" w:type="pct"/>
            <w:tcBorders>
              <w:top w:val="nil"/>
              <w:left w:val="nil"/>
              <w:bottom w:val="single" w:sz="12" w:space="0" w:color="000000"/>
              <w:right w:val="nil"/>
            </w:tcBorders>
            <w:shd w:val="clear" w:color="auto" w:fill="auto"/>
            <w:vAlign w:val="center"/>
          </w:tcPr>
          <w:p w14:paraId="4D3F377E" w14:textId="77777777" w:rsidR="0092411F" w:rsidRPr="003D27FE" w:rsidRDefault="0092411F" w:rsidP="00D8770B">
            <w:pPr>
              <w:jc w:val="right"/>
              <w:rPr>
                <w:b/>
                <w:bCs/>
                <w:sz w:val="20"/>
                <w:szCs w:val="20"/>
              </w:rPr>
            </w:pPr>
            <w:r w:rsidRPr="003D27FE">
              <w:rPr>
                <w:b/>
                <w:bCs/>
                <w:sz w:val="20"/>
                <w:szCs w:val="20"/>
              </w:rPr>
              <w:t>(0.82)</w:t>
            </w:r>
          </w:p>
        </w:tc>
      </w:tr>
    </w:tbl>
    <w:p w14:paraId="07205169" w14:textId="77777777" w:rsidR="00226CCF" w:rsidRPr="003D27FE" w:rsidRDefault="00226CCF" w:rsidP="00226CCF">
      <w:pPr>
        <w:spacing w:before="1" w:line="256" w:lineRule="auto"/>
        <w:ind w:left="120" w:right="133" w:hanging="1"/>
        <w:jc w:val="both"/>
        <w:rPr>
          <w:sz w:val="20"/>
          <w:szCs w:val="20"/>
        </w:rPr>
      </w:pPr>
    </w:p>
    <w:p w14:paraId="0DBB4CFC" w14:textId="3866F61C" w:rsidR="00226CCF" w:rsidRPr="003D27FE" w:rsidRDefault="002011F3" w:rsidP="00226CCF">
      <w:pPr>
        <w:pStyle w:val="BodyText"/>
        <w:spacing w:before="9"/>
        <w:jc w:val="both"/>
        <w:rPr>
          <w:rFonts w:ascii="Arial" w:hAnsi="Arial" w:cs="Arial"/>
          <w:sz w:val="20"/>
          <w:szCs w:val="20"/>
        </w:rPr>
      </w:pPr>
      <w:r w:rsidRPr="003D27FE">
        <w:rPr>
          <w:rFonts w:ascii="Arial" w:hAnsi="Arial" w:cs="Arial"/>
          <w:spacing w:val="-1"/>
          <w:sz w:val="20"/>
          <w:szCs w:val="20"/>
        </w:rPr>
        <w:t xml:space="preserve">There is no difference between the diluted loss per share and the basic loss per share presented due to the loss position of the Company. Share options and warrants could potentially dilute basic earnings per share in the </w:t>
      </w:r>
      <w:proofErr w:type="gramStart"/>
      <w:r w:rsidRPr="003D27FE">
        <w:rPr>
          <w:rFonts w:ascii="Arial" w:hAnsi="Arial" w:cs="Arial"/>
          <w:spacing w:val="-1"/>
          <w:sz w:val="20"/>
          <w:szCs w:val="20"/>
        </w:rPr>
        <w:t>future, but</w:t>
      </w:r>
      <w:proofErr w:type="gramEnd"/>
      <w:r w:rsidRPr="003D27FE">
        <w:rPr>
          <w:rFonts w:ascii="Arial" w:hAnsi="Arial" w:cs="Arial"/>
          <w:spacing w:val="-1"/>
          <w:sz w:val="20"/>
          <w:szCs w:val="20"/>
        </w:rPr>
        <w:t xml:space="preserve"> were not included in the calculation of diluted earnings per share as they are anti-dilutive for the year presented.</w:t>
      </w:r>
    </w:p>
    <w:p w14:paraId="65850E13" w14:textId="77777777" w:rsidR="00226CCF" w:rsidRPr="003D27FE" w:rsidRDefault="00226CCF" w:rsidP="00226CCF">
      <w:pPr>
        <w:pStyle w:val="BodyText"/>
        <w:spacing w:before="9"/>
        <w:jc w:val="both"/>
        <w:rPr>
          <w:rFonts w:ascii="Arial" w:hAnsi="Arial" w:cs="Arial"/>
          <w:sz w:val="20"/>
          <w:szCs w:val="20"/>
        </w:rPr>
      </w:pPr>
    </w:p>
    <w:p w14:paraId="3C79E763" w14:textId="77777777" w:rsidR="00226CCF" w:rsidRPr="003D27FE" w:rsidRDefault="00226CCF" w:rsidP="00226CCF">
      <w:pPr>
        <w:pStyle w:val="ListParagraph"/>
        <w:widowControl w:val="0"/>
        <w:numPr>
          <w:ilvl w:val="0"/>
          <w:numId w:val="5"/>
        </w:numPr>
        <w:tabs>
          <w:tab w:val="left" w:pos="839"/>
          <w:tab w:val="left" w:pos="840"/>
        </w:tabs>
        <w:autoSpaceDE w:val="0"/>
        <w:autoSpaceDN w:val="0"/>
        <w:spacing w:before="80"/>
        <w:contextualSpacing w:val="0"/>
        <w:rPr>
          <w:rFonts w:ascii="Arial" w:hAnsi="Arial" w:cs="Arial"/>
          <w:b/>
          <w:sz w:val="20"/>
          <w:szCs w:val="20"/>
        </w:rPr>
      </w:pPr>
      <w:r w:rsidRPr="003D27FE">
        <w:rPr>
          <w:rFonts w:ascii="Arial" w:hAnsi="Arial" w:cs="Arial"/>
          <w:b/>
          <w:sz w:val="20"/>
          <w:szCs w:val="20"/>
        </w:rPr>
        <w:t>Trade</w:t>
      </w:r>
      <w:r w:rsidRPr="003D27FE">
        <w:rPr>
          <w:rFonts w:ascii="Arial" w:hAnsi="Arial" w:cs="Arial"/>
          <w:b/>
          <w:spacing w:val="-2"/>
          <w:sz w:val="20"/>
          <w:szCs w:val="20"/>
        </w:rPr>
        <w:t xml:space="preserve"> </w:t>
      </w:r>
      <w:r w:rsidRPr="003D27FE">
        <w:rPr>
          <w:rFonts w:ascii="Arial" w:hAnsi="Arial" w:cs="Arial"/>
          <w:b/>
          <w:sz w:val="20"/>
          <w:szCs w:val="20"/>
        </w:rPr>
        <w:t>and</w:t>
      </w:r>
      <w:r w:rsidRPr="003D27FE">
        <w:rPr>
          <w:rFonts w:ascii="Arial" w:hAnsi="Arial" w:cs="Arial"/>
          <w:b/>
          <w:spacing w:val="-2"/>
          <w:sz w:val="20"/>
          <w:szCs w:val="20"/>
        </w:rPr>
        <w:t xml:space="preserve"> </w:t>
      </w:r>
      <w:r w:rsidRPr="003D27FE">
        <w:rPr>
          <w:rFonts w:ascii="Arial" w:hAnsi="Arial" w:cs="Arial"/>
          <w:b/>
          <w:sz w:val="20"/>
          <w:szCs w:val="20"/>
        </w:rPr>
        <w:t>other</w:t>
      </w:r>
      <w:r w:rsidRPr="003D27FE">
        <w:rPr>
          <w:rFonts w:ascii="Arial" w:hAnsi="Arial" w:cs="Arial"/>
          <w:b/>
          <w:spacing w:val="-2"/>
          <w:sz w:val="20"/>
          <w:szCs w:val="20"/>
        </w:rPr>
        <w:t xml:space="preserve"> </w:t>
      </w:r>
      <w:r w:rsidRPr="003D27FE">
        <w:rPr>
          <w:rFonts w:ascii="Arial" w:hAnsi="Arial" w:cs="Arial"/>
          <w:b/>
          <w:sz w:val="20"/>
          <w:szCs w:val="20"/>
        </w:rPr>
        <w:t>receivables</w:t>
      </w:r>
    </w:p>
    <w:p w14:paraId="2BAE9DCD" w14:textId="77777777" w:rsidR="00226CCF" w:rsidRPr="003D27FE" w:rsidRDefault="00226CCF" w:rsidP="00226CCF">
      <w:pPr>
        <w:pStyle w:val="BodyText"/>
        <w:spacing w:before="8"/>
        <w:rPr>
          <w:rFonts w:ascii="Arial" w:hAnsi="Arial" w:cs="Arial"/>
          <w:b/>
          <w:sz w:val="20"/>
          <w:szCs w:val="20"/>
        </w:rPr>
      </w:pPr>
    </w:p>
    <w:tbl>
      <w:tblPr>
        <w:tblW w:w="5000" w:type="pct"/>
        <w:tblLook w:val="04A0" w:firstRow="1" w:lastRow="0" w:firstColumn="1" w:lastColumn="0" w:noHBand="0" w:noVBand="1"/>
      </w:tblPr>
      <w:tblGrid>
        <w:gridCol w:w="5986"/>
        <w:gridCol w:w="1829"/>
        <w:gridCol w:w="1824"/>
      </w:tblGrid>
      <w:tr w:rsidR="0092411F" w:rsidRPr="003D27FE" w14:paraId="5DAF01F9" w14:textId="77777777" w:rsidTr="002F6E52">
        <w:trPr>
          <w:trHeight w:val="840"/>
        </w:trPr>
        <w:tc>
          <w:tcPr>
            <w:tcW w:w="3105" w:type="pct"/>
            <w:tcBorders>
              <w:top w:val="nil"/>
              <w:left w:val="nil"/>
              <w:bottom w:val="nil"/>
              <w:right w:val="nil"/>
            </w:tcBorders>
            <w:shd w:val="clear" w:color="auto" w:fill="auto"/>
            <w:vAlign w:val="center"/>
            <w:hideMark/>
          </w:tcPr>
          <w:p w14:paraId="64E89D55" w14:textId="77777777" w:rsidR="0092411F" w:rsidRPr="003D27FE" w:rsidRDefault="0092411F" w:rsidP="00075FBF">
            <w:pPr>
              <w:rPr>
                <w:sz w:val="20"/>
                <w:szCs w:val="20"/>
              </w:rPr>
            </w:pPr>
          </w:p>
        </w:tc>
        <w:tc>
          <w:tcPr>
            <w:tcW w:w="949" w:type="pct"/>
            <w:tcBorders>
              <w:top w:val="nil"/>
              <w:left w:val="nil"/>
              <w:bottom w:val="nil"/>
              <w:right w:val="nil"/>
            </w:tcBorders>
            <w:vAlign w:val="center"/>
          </w:tcPr>
          <w:p w14:paraId="4209CEE0" w14:textId="77777777" w:rsidR="0092411F" w:rsidRPr="003D27FE" w:rsidRDefault="0092411F" w:rsidP="00075FBF">
            <w:pPr>
              <w:jc w:val="right"/>
              <w:rPr>
                <w:b/>
                <w:bCs/>
                <w:color w:val="000000"/>
                <w:sz w:val="20"/>
                <w:szCs w:val="20"/>
              </w:rPr>
            </w:pPr>
            <w:r w:rsidRPr="003D27FE">
              <w:rPr>
                <w:b/>
                <w:bCs/>
                <w:color w:val="000000"/>
                <w:sz w:val="20"/>
                <w:szCs w:val="20"/>
              </w:rPr>
              <w:t xml:space="preserve">Unaudited </w:t>
            </w:r>
          </w:p>
          <w:p w14:paraId="4AE8BA3E" w14:textId="3AE0181C" w:rsidR="0092411F" w:rsidRPr="003D27FE" w:rsidRDefault="0092411F" w:rsidP="00075FBF">
            <w:pPr>
              <w:jc w:val="right"/>
              <w:rPr>
                <w:b/>
                <w:bCs/>
                <w:color w:val="000000"/>
                <w:sz w:val="20"/>
                <w:szCs w:val="20"/>
              </w:rPr>
            </w:pPr>
            <w:r w:rsidRPr="003D27FE">
              <w:rPr>
                <w:b/>
                <w:bCs/>
                <w:color w:val="000000"/>
                <w:sz w:val="20"/>
                <w:szCs w:val="20"/>
              </w:rPr>
              <w:t xml:space="preserve">15 Months </w:t>
            </w:r>
            <w:r w:rsidRPr="003D27FE">
              <w:rPr>
                <w:b/>
                <w:bCs/>
                <w:color w:val="000000"/>
                <w:sz w:val="20"/>
                <w:szCs w:val="20"/>
              </w:rPr>
              <w:br/>
              <w:t>ended 31 Dec 2024</w:t>
            </w:r>
          </w:p>
        </w:tc>
        <w:tc>
          <w:tcPr>
            <w:tcW w:w="946" w:type="pct"/>
            <w:tcBorders>
              <w:top w:val="nil"/>
              <w:left w:val="nil"/>
              <w:bottom w:val="nil"/>
              <w:right w:val="nil"/>
            </w:tcBorders>
            <w:shd w:val="clear" w:color="auto" w:fill="auto"/>
            <w:vAlign w:val="center"/>
            <w:hideMark/>
          </w:tcPr>
          <w:p w14:paraId="2F6675E2" w14:textId="77777777" w:rsidR="0092411F" w:rsidRPr="003D27FE" w:rsidRDefault="0092411F" w:rsidP="00075FBF">
            <w:pPr>
              <w:jc w:val="right"/>
              <w:rPr>
                <w:b/>
                <w:bCs/>
                <w:color w:val="000000"/>
                <w:sz w:val="20"/>
                <w:szCs w:val="20"/>
              </w:rPr>
            </w:pPr>
            <w:r w:rsidRPr="003D27FE">
              <w:rPr>
                <w:b/>
                <w:bCs/>
                <w:color w:val="000000"/>
                <w:sz w:val="20"/>
                <w:szCs w:val="20"/>
              </w:rPr>
              <w:t xml:space="preserve">Audited </w:t>
            </w:r>
          </w:p>
          <w:p w14:paraId="240B39A4" w14:textId="30A7C612" w:rsidR="0092411F" w:rsidRPr="003D27FE" w:rsidRDefault="0092411F" w:rsidP="00075FBF">
            <w:pPr>
              <w:jc w:val="right"/>
              <w:rPr>
                <w:b/>
                <w:bCs/>
                <w:color w:val="000000"/>
                <w:sz w:val="20"/>
                <w:szCs w:val="20"/>
              </w:rPr>
            </w:pPr>
            <w:r w:rsidRPr="003D27FE">
              <w:rPr>
                <w:b/>
                <w:bCs/>
                <w:color w:val="000000"/>
                <w:sz w:val="20"/>
                <w:szCs w:val="20"/>
              </w:rPr>
              <w:t xml:space="preserve">year </w:t>
            </w:r>
            <w:r w:rsidRPr="003D27FE">
              <w:rPr>
                <w:b/>
                <w:bCs/>
                <w:color w:val="000000"/>
                <w:sz w:val="20"/>
                <w:szCs w:val="20"/>
              </w:rPr>
              <w:br/>
              <w:t>ended 30 Sep 2023</w:t>
            </w:r>
          </w:p>
        </w:tc>
      </w:tr>
      <w:tr w:rsidR="0092411F" w:rsidRPr="003D27FE" w14:paraId="508B1B72" w14:textId="77777777" w:rsidTr="002F6E52">
        <w:trPr>
          <w:trHeight w:val="295"/>
        </w:trPr>
        <w:tc>
          <w:tcPr>
            <w:tcW w:w="3105" w:type="pct"/>
            <w:tcBorders>
              <w:top w:val="nil"/>
              <w:left w:val="nil"/>
              <w:bottom w:val="single" w:sz="12" w:space="0" w:color="000000"/>
              <w:right w:val="nil"/>
            </w:tcBorders>
            <w:shd w:val="clear" w:color="auto" w:fill="auto"/>
            <w:vAlign w:val="center"/>
            <w:hideMark/>
          </w:tcPr>
          <w:p w14:paraId="1DEB8C8B" w14:textId="77777777" w:rsidR="0092411F" w:rsidRPr="003D27FE" w:rsidRDefault="0092411F" w:rsidP="00075FBF">
            <w:pPr>
              <w:rPr>
                <w:color w:val="000000"/>
                <w:sz w:val="20"/>
                <w:szCs w:val="20"/>
              </w:rPr>
            </w:pPr>
            <w:r w:rsidRPr="003D27FE">
              <w:rPr>
                <w:color w:val="000000"/>
                <w:sz w:val="20"/>
                <w:szCs w:val="20"/>
              </w:rPr>
              <w:t> </w:t>
            </w:r>
          </w:p>
        </w:tc>
        <w:tc>
          <w:tcPr>
            <w:tcW w:w="949" w:type="pct"/>
            <w:tcBorders>
              <w:top w:val="nil"/>
              <w:left w:val="nil"/>
              <w:bottom w:val="single" w:sz="12" w:space="0" w:color="000000"/>
              <w:right w:val="nil"/>
            </w:tcBorders>
            <w:vAlign w:val="center"/>
          </w:tcPr>
          <w:p w14:paraId="707B773A" w14:textId="77777777" w:rsidR="0092411F" w:rsidRPr="003D27FE" w:rsidRDefault="0092411F" w:rsidP="00075FBF">
            <w:pPr>
              <w:jc w:val="right"/>
              <w:rPr>
                <w:b/>
                <w:bCs/>
                <w:color w:val="000000"/>
                <w:sz w:val="20"/>
                <w:szCs w:val="20"/>
              </w:rPr>
            </w:pPr>
            <w:r w:rsidRPr="003D27FE">
              <w:rPr>
                <w:b/>
                <w:bCs/>
                <w:color w:val="000000"/>
                <w:sz w:val="20"/>
                <w:szCs w:val="20"/>
              </w:rPr>
              <w:t>£’000</w:t>
            </w:r>
          </w:p>
        </w:tc>
        <w:tc>
          <w:tcPr>
            <w:tcW w:w="946" w:type="pct"/>
            <w:tcBorders>
              <w:top w:val="nil"/>
              <w:left w:val="nil"/>
              <w:bottom w:val="single" w:sz="12" w:space="0" w:color="000000"/>
              <w:right w:val="nil"/>
            </w:tcBorders>
            <w:shd w:val="clear" w:color="auto" w:fill="auto"/>
            <w:vAlign w:val="center"/>
            <w:hideMark/>
          </w:tcPr>
          <w:p w14:paraId="67FC2E5A" w14:textId="77777777" w:rsidR="0092411F" w:rsidRPr="003D27FE" w:rsidRDefault="0092411F" w:rsidP="00075FBF">
            <w:pPr>
              <w:jc w:val="right"/>
              <w:rPr>
                <w:b/>
                <w:bCs/>
                <w:color w:val="000000"/>
                <w:sz w:val="20"/>
                <w:szCs w:val="20"/>
              </w:rPr>
            </w:pPr>
            <w:r w:rsidRPr="003D27FE">
              <w:rPr>
                <w:b/>
                <w:bCs/>
                <w:color w:val="000000"/>
                <w:sz w:val="20"/>
                <w:szCs w:val="20"/>
              </w:rPr>
              <w:t>£’000</w:t>
            </w:r>
          </w:p>
        </w:tc>
      </w:tr>
      <w:tr w:rsidR="0092411F" w:rsidRPr="003D27FE" w14:paraId="20EA0E17" w14:textId="77777777" w:rsidTr="002F6E52">
        <w:trPr>
          <w:trHeight w:val="295"/>
        </w:trPr>
        <w:tc>
          <w:tcPr>
            <w:tcW w:w="3105" w:type="pct"/>
            <w:tcBorders>
              <w:top w:val="nil"/>
              <w:left w:val="nil"/>
              <w:bottom w:val="nil"/>
              <w:right w:val="nil"/>
            </w:tcBorders>
            <w:shd w:val="clear" w:color="auto" w:fill="auto"/>
            <w:vAlign w:val="center"/>
            <w:hideMark/>
          </w:tcPr>
          <w:p w14:paraId="03A8BBB6" w14:textId="7DB753B2" w:rsidR="0092411F" w:rsidRPr="003D27FE" w:rsidRDefault="006C7EB6" w:rsidP="00D8770B">
            <w:pPr>
              <w:rPr>
                <w:color w:val="000000"/>
                <w:sz w:val="20"/>
                <w:szCs w:val="20"/>
              </w:rPr>
            </w:pPr>
            <w:r w:rsidRPr="003D27FE">
              <w:rPr>
                <w:color w:val="000000"/>
                <w:sz w:val="20"/>
                <w:szCs w:val="20"/>
              </w:rPr>
              <w:t>Trade receivables</w:t>
            </w:r>
          </w:p>
        </w:tc>
        <w:tc>
          <w:tcPr>
            <w:tcW w:w="949" w:type="pct"/>
            <w:tcBorders>
              <w:top w:val="nil"/>
              <w:left w:val="nil"/>
              <w:bottom w:val="nil"/>
              <w:right w:val="nil"/>
            </w:tcBorders>
            <w:vAlign w:val="center"/>
          </w:tcPr>
          <w:p w14:paraId="7B35D9AE" w14:textId="44C15EBD" w:rsidR="0092411F" w:rsidRPr="003D27FE" w:rsidRDefault="0092411F" w:rsidP="00D8770B">
            <w:pPr>
              <w:jc w:val="right"/>
              <w:rPr>
                <w:color w:val="000000"/>
                <w:sz w:val="20"/>
                <w:szCs w:val="20"/>
              </w:rPr>
            </w:pPr>
            <w:r w:rsidRPr="003D27FE">
              <w:rPr>
                <w:color w:val="000000"/>
                <w:sz w:val="20"/>
                <w:szCs w:val="20"/>
              </w:rPr>
              <w:t>-</w:t>
            </w:r>
          </w:p>
        </w:tc>
        <w:tc>
          <w:tcPr>
            <w:tcW w:w="946" w:type="pct"/>
            <w:tcBorders>
              <w:top w:val="nil"/>
              <w:left w:val="nil"/>
              <w:bottom w:val="nil"/>
              <w:right w:val="nil"/>
            </w:tcBorders>
            <w:shd w:val="clear" w:color="auto" w:fill="auto"/>
            <w:vAlign w:val="center"/>
          </w:tcPr>
          <w:p w14:paraId="288C140D" w14:textId="77777777" w:rsidR="0092411F" w:rsidRPr="003D27FE" w:rsidRDefault="0092411F" w:rsidP="00D8770B">
            <w:pPr>
              <w:jc w:val="right"/>
              <w:rPr>
                <w:color w:val="000000"/>
                <w:sz w:val="20"/>
                <w:szCs w:val="20"/>
              </w:rPr>
            </w:pPr>
            <w:r w:rsidRPr="003D27FE">
              <w:rPr>
                <w:color w:val="000000"/>
                <w:sz w:val="20"/>
                <w:szCs w:val="20"/>
              </w:rPr>
              <w:t>187</w:t>
            </w:r>
          </w:p>
        </w:tc>
      </w:tr>
      <w:tr w:rsidR="0092411F" w:rsidRPr="003D27FE" w14:paraId="36EB4A47" w14:textId="77777777" w:rsidTr="002F6E52">
        <w:trPr>
          <w:trHeight w:val="284"/>
        </w:trPr>
        <w:tc>
          <w:tcPr>
            <w:tcW w:w="3105" w:type="pct"/>
            <w:tcBorders>
              <w:top w:val="nil"/>
              <w:left w:val="nil"/>
              <w:bottom w:val="nil"/>
              <w:right w:val="nil"/>
            </w:tcBorders>
            <w:shd w:val="clear" w:color="auto" w:fill="auto"/>
            <w:vAlign w:val="center"/>
            <w:hideMark/>
          </w:tcPr>
          <w:p w14:paraId="4E2B5A40" w14:textId="77777777" w:rsidR="0092411F" w:rsidRPr="003D27FE" w:rsidRDefault="0092411F" w:rsidP="00D8770B">
            <w:pPr>
              <w:rPr>
                <w:color w:val="000000"/>
                <w:sz w:val="20"/>
                <w:szCs w:val="20"/>
              </w:rPr>
            </w:pPr>
            <w:r w:rsidRPr="003D27FE">
              <w:rPr>
                <w:color w:val="000000"/>
                <w:sz w:val="20"/>
                <w:szCs w:val="20"/>
              </w:rPr>
              <w:t>Accrued revenue</w:t>
            </w:r>
          </w:p>
        </w:tc>
        <w:tc>
          <w:tcPr>
            <w:tcW w:w="949" w:type="pct"/>
            <w:tcBorders>
              <w:top w:val="nil"/>
              <w:left w:val="nil"/>
              <w:bottom w:val="nil"/>
              <w:right w:val="nil"/>
            </w:tcBorders>
            <w:vAlign w:val="center"/>
          </w:tcPr>
          <w:p w14:paraId="7032378B" w14:textId="5CEC96DF" w:rsidR="0092411F" w:rsidRPr="003D27FE" w:rsidRDefault="0092411F" w:rsidP="00D8770B">
            <w:pPr>
              <w:jc w:val="right"/>
              <w:rPr>
                <w:color w:val="000000"/>
                <w:sz w:val="20"/>
                <w:szCs w:val="20"/>
              </w:rPr>
            </w:pPr>
            <w:r w:rsidRPr="003D27FE">
              <w:rPr>
                <w:color w:val="000000"/>
                <w:sz w:val="20"/>
                <w:szCs w:val="20"/>
              </w:rPr>
              <w:t>-</w:t>
            </w:r>
          </w:p>
        </w:tc>
        <w:tc>
          <w:tcPr>
            <w:tcW w:w="946" w:type="pct"/>
            <w:tcBorders>
              <w:top w:val="nil"/>
              <w:left w:val="nil"/>
              <w:bottom w:val="nil"/>
              <w:right w:val="nil"/>
            </w:tcBorders>
            <w:shd w:val="clear" w:color="auto" w:fill="auto"/>
            <w:vAlign w:val="center"/>
          </w:tcPr>
          <w:p w14:paraId="2B5A0129" w14:textId="77777777" w:rsidR="0092411F" w:rsidRPr="003D27FE" w:rsidRDefault="0092411F" w:rsidP="00D8770B">
            <w:pPr>
              <w:jc w:val="right"/>
              <w:rPr>
                <w:color w:val="000000"/>
                <w:sz w:val="20"/>
                <w:szCs w:val="20"/>
              </w:rPr>
            </w:pPr>
            <w:r w:rsidRPr="003D27FE">
              <w:rPr>
                <w:color w:val="000000"/>
                <w:sz w:val="20"/>
                <w:szCs w:val="20"/>
              </w:rPr>
              <w:t>25</w:t>
            </w:r>
          </w:p>
        </w:tc>
      </w:tr>
      <w:tr w:rsidR="0092411F" w:rsidRPr="003D27FE" w14:paraId="3D55ECB9" w14:textId="77777777" w:rsidTr="002F6E52">
        <w:trPr>
          <w:trHeight w:val="284"/>
        </w:trPr>
        <w:tc>
          <w:tcPr>
            <w:tcW w:w="3105" w:type="pct"/>
            <w:tcBorders>
              <w:top w:val="nil"/>
              <w:left w:val="nil"/>
              <w:bottom w:val="nil"/>
              <w:right w:val="nil"/>
            </w:tcBorders>
            <w:shd w:val="clear" w:color="auto" w:fill="auto"/>
            <w:vAlign w:val="center"/>
            <w:hideMark/>
          </w:tcPr>
          <w:p w14:paraId="7B8D4B19" w14:textId="77777777" w:rsidR="0092411F" w:rsidRPr="003D27FE" w:rsidRDefault="0092411F" w:rsidP="00D8770B">
            <w:pPr>
              <w:rPr>
                <w:color w:val="000000"/>
                <w:sz w:val="20"/>
                <w:szCs w:val="20"/>
              </w:rPr>
            </w:pPr>
            <w:r w:rsidRPr="003D27FE">
              <w:rPr>
                <w:color w:val="000000"/>
                <w:sz w:val="20"/>
                <w:szCs w:val="20"/>
              </w:rPr>
              <w:t>Other receivables</w:t>
            </w:r>
          </w:p>
        </w:tc>
        <w:tc>
          <w:tcPr>
            <w:tcW w:w="949" w:type="pct"/>
            <w:tcBorders>
              <w:top w:val="nil"/>
              <w:left w:val="nil"/>
              <w:bottom w:val="nil"/>
              <w:right w:val="nil"/>
            </w:tcBorders>
            <w:vAlign w:val="center"/>
          </w:tcPr>
          <w:p w14:paraId="7686FEF5" w14:textId="65CD1D42" w:rsidR="0092411F" w:rsidRPr="003D27FE" w:rsidRDefault="0092411F" w:rsidP="00D8770B">
            <w:pPr>
              <w:jc w:val="right"/>
              <w:rPr>
                <w:color w:val="000000"/>
                <w:sz w:val="20"/>
                <w:szCs w:val="20"/>
              </w:rPr>
            </w:pPr>
            <w:r w:rsidRPr="003D27FE">
              <w:rPr>
                <w:color w:val="000000"/>
                <w:sz w:val="20"/>
                <w:szCs w:val="20"/>
              </w:rPr>
              <w:t>100</w:t>
            </w:r>
          </w:p>
        </w:tc>
        <w:tc>
          <w:tcPr>
            <w:tcW w:w="946" w:type="pct"/>
            <w:tcBorders>
              <w:top w:val="nil"/>
              <w:left w:val="nil"/>
              <w:bottom w:val="nil"/>
              <w:right w:val="nil"/>
            </w:tcBorders>
            <w:shd w:val="clear" w:color="auto" w:fill="auto"/>
            <w:vAlign w:val="center"/>
          </w:tcPr>
          <w:p w14:paraId="157ED249" w14:textId="77777777" w:rsidR="0092411F" w:rsidRPr="003D27FE" w:rsidRDefault="0092411F" w:rsidP="00D8770B">
            <w:pPr>
              <w:jc w:val="right"/>
              <w:rPr>
                <w:color w:val="000000"/>
                <w:sz w:val="20"/>
                <w:szCs w:val="20"/>
              </w:rPr>
            </w:pPr>
            <w:r w:rsidRPr="003D27FE">
              <w:rPr>
                <w:color w:val="000000"/>
                <w:sz w:val="20"/>
                <w:szCs w:val="20"/>
              </w:rPr>
              <w:t>1</w:t>
            </w:r>
          </w:p>
        </w:tc>
      </w:tr>
      <w:tr w:rsidR="0092411F" w:rsidRPr="003D27FE" w14:paraId="74381CAB" w14:textId="77777777" w:rsidTr="002F6E52">
        <w:trPr>
          <w:trHeight w:val="284"/>
        </w:trPr>
        <w:tc>
          <w:tcPr>
            <w:tcW w:w="3105" w:type="pct"/>
            <w:tcBorders>
              <w:top w:val="nil"/>
              <w:left w:val="nil"/>
              <w:bottom w:val="nil"/>
              <w:right w:val="nil"/>
            </w:tcBorders>
            <w:shd w:val="clear" w:color="auto" w:fill="auto"/>
            <w:vAlign w:val="center"/>
            <w:hideMark/>
          </w:tcPr>
          <w:p w14:paraId="24674382" w14:textId="77777777" w:rsidR="0092411F" w:rsidRPr="003D27FE" w:rsidRDefault="0092411F" w:rsidP="00D8770B">
            <w:pPr>
              <w:rPr>
                <w:color w:val="000000"/>
                <w:sz w:val="20"/>
                <w:szCs w:val="20"/>
              </w:rPr>
            </w:pPr>
            <w:r w:rsidRPr="003D27FE">
              <w:rPr>
                <w:color w:val="000000"/>
                <w:sz w:val="20"/>
                <w:szCs w:val="20"/>
              </w:rPr>
              <w:t>Prepayments</w:t>
            </w:r>
          </w:p>
        </w:tc>
        <w:tc>
          <w:tcPr>
            <w:tcW w:w="949" w:type="pct"/>
            <w:tcBorders>
              <w:top w:val="nil"/>
              <w:left w:val="nil"/>
              <w:bottom w:val="nil"/>
              <w:right w:val="nil"/>
            </w:tcBorders>
            <w:vAlign w:val="center"/>
          </w:tcPr>
          <w:p w14:paraId="2895A4F3" w14:textId="6200304C" w:rsidR="0092411F" w:rsidRPr="003D27FE" w:rsidRDefault="0092411F" w:rsidP="00D8770B">
            <w:pPr>
              <w:jc w:val="right"/>
              <w:rPr>
                <w:color w:val="000000"/>
                <w:sz w:val="20"/>
                <w:szCs w:val="20"/>
              </w:rPr>
            </w:pPr>
            <w:r w:rsidRPr="003D27FE">
              <w:rPr>
                <w:color w:val="000000"/>
                <w:sz w:val="20"/>
                <w:szCs w:val="20"/>
              </w:rPr>
              <w:t>6</w:t>
            </w:r>
          </w:p>
        </w:tc>
        <w:tc>
          <w:tcPr>
            <w:tcW w:w="946" w:type="pct"/>
            <w:tcBorders>
              <w:top w:val="nil"/>
              <w:left w:val="nil"/>
              <w:bottom w:val="nil"/>
              <w:right w:val="nil"/>
            </w:tcBorders>
            <w:shd w:val="clear" w:color="auto" w:fill="auto"/>
            <w:vAlign w:val="center"/>
          </w:tcPr>
          <w:p w14:paraId="7CEEE79B" w14:textId="77777777" w:rsidR="0092411F" w:rsidRPr="003D27FE" w:rsidRDefault="0092411F" w:rsidP="00D8770B">
            <w:pPr>
              <w:jc w:val="right"/>
              <w:rPr>
                <w:color w:val="000000"/>
                <w:sz w:val="20"/>
                <w:szCs w:val="20"/>
              </w:rPr>
            </w:pPr>
            <w:r w:rsidRPr="003D27FE">
              <w:rPr>
                <w:color w:val="000000"/>
                <w:sz w:val="20"/>
                <w:szCs w:val="20"/>
              </w:rPr>
              <w:t>107</w:t>
            </w:r>
          </w:p>
        </w:tc>
      </w:tr>
      <w:tr w:rsidR="0092411F" w:rsidRPr="003D27FE" w14:paraId="3101F506" w14:textId="77777777" w:rsidTr="002F6E52">
        <w:trPr>
          <w:trHeight w:val="307"/>
        </w:trPr>
        <w:tc>
          <w:tcPr>
            <w:tcW w:w="3105" w:type="pct"/>
            <w:tcBorders>
              <w:top w:val="single" w:sz="12" w:space="0" w:color="auto"/>
              <w:left w:val="nil"/>
              <w:bottom w:val="single" w:sz="12" w:space="0" w:color="000000"/>
              <w:right w:val="nil"/>
            </w:tcBorders>
            <w:shd w:val="clear" w:color="auto" w:fill="auto"/>
            <w:vAlign w:val="center"/>
            <w:hideMark/>
          </w:tcPr>
          <w:p w14:paraId="185189F6" w14:textId="77777777" w:rsidR="0092411F" w:rsidRPr="003D27FE" w:rsidRDefault="0092411F" w:rsidP="00D8770B">
            <w:pPr>
              <w:rPr>
                <w:b/>
                <w:bCs/>
                <w:color w:val="000000"/>
                <w:sz w:val="20"/>
                <w:szCs w:val="20"/>
              </w:rPr>
            </w:pPr>
            <w:r w:rsidRPr="003D27FE">
              <w:rPr>
                <w:b/>
                <w:bCs/>
                <w:color w:val="000000"/>
                <w:sz w:val="20"/>
                <w:szCs w:val="20"/>
              </w:rPr>
              <w:t>Total trade &amp; other receivables</w:t>
            </w:r>
          </w:p>
        </w:tc>
        <w:tc>
          <w:tcPr>
            <w:tcW w:w="949" w:type="pct"/>
            <w:tcBorders>
              <w:top w:val="single" w:sz="12" w:space="0" w:color="auto"/>
              <w:left w:val="nil"/>
              <w:bottom w:val="single" w:sz="12" w:space="0" w:color="000000"/>
              <w:right w:val="nil"/>
            </w:tcBorders>
            <w:vAlign w:val="center"/>
          </w:tcPr>
          <w:p w14:paraId="0B26662E" w14:textId="01F703DA" w:rsidR="0092411F" w:rsidRPr="003D27FE" w:rsidRDefault="0092411F" w:rsidP="00D8770B">
            <w:pPr>
              <w:jc w:val="right"/>
              <w:rPr>
                <w:b/>
                <w:bCs/>
                <w:color w:val="000000"/>
                <w:sz w:val="20"/>
                <w:szCs w:val="20"/>
              </w:rPr>
            </w:pPr>
            <w:r w:rsidRPr="003D27FE">
              <w:rPr>
                <w:b/>
                <w:bCs/>
                <w:color w:val="000000"/>
                <w:sz w:val="20"/>
                <w:szCs w:val="20"/>
              </w:rPr>
              <w:t>1</w:t>
            </w:r>
            <w:r w:rsidR="002F6E52">
              <w:rPr>
                <w:b/>
                <w:bCs/>
                <w:color w:val="000000"/>
                <w:sz w:val="20"/>
                <w:szCs w:val="20"/>
              </w:rPr>
              <w:t>06</w:t>
            </w:r>
          </w:p>
        </w:tc>
        <w:tc>
          <w:tcPr>
            <w:tcW w:w="946" w:type="pct"/>
            <w:tcBorders>
              <w:top w:val="single" w:sz="12" w:space="0" w:color="auto"/>
              <w:left w:val="nil"/>
              <w:bottom w:val="single" w:sz="12" w:space="0" w:color="000000"/>
              <w:right w:val="nil"/>
            </w:tcBorders>
            <w:shd w:val="clear" w:color="auto" w:fill="auto"/>
            <w:vAlign w:val="center"/>
          </w:tcPr>
          <w:p w14:paraId="106C97A3" w14:textId="77777777" w:rsidR="0092411F" w:rsidRPr="003D27FE" w:rsidRDefault="0092411F" w:rsidP="00D8770B">
            <w:pPr>
              <w:jc w:val="right"/>
              <w:rPr>
                <w:b/>
                <w:bCs/>
                <w:color w:val="000000"/>
                <w:sz w:val="20"/>
                <w:szCs w:val="20"/>
              </w:rPr>
            </w:pPr>
            <w:r w:rsidRPr="003D27FE">
              <w:rPr>
                <w:b/>
                <w:bCs/>
                <w:color w:val="000000"/>
                <w:sz w:val="20"/>
                <w:szCs w:val="20"/>
              </w:rPr>
              <w:t>320</w:t>
            </w:r>
          </w:p>
        </w:tc>
      </w:tr>
    </w:tbl>
    <w:p w14:paraId="3321B27C" w14:textId="77777777" w:rsidR="00226CCF" w:rsidRPr="003D27FE" w:rsidRDefault="00226CCF" w:rsidP="00226CCF">
      <w:pPr>
        <w:pStyle w:val="BodyText"/>
        <w:spacing w:before="3"/>
        <w:rPr>
          <w:rFonts w:ascii="Arial" w:hAnsi="Arial" w:cs="Arial"/>
          <w:b/>
          <w:sz w:val="20"/>
          <w:szCs w:val="20"/>
        </w:rPr>
      </w:pPr>
    </w:p>
    <w:p w14:paraId="2EC90794" w14:textId="77777777" w:rsidR="00226CCF" w:rsidRPr="003D27FE" w:rsidRDefault="00226CCF" w:rsidP="00226CCF">
      <w:pPr>
        <w:pStyle w:val="BodyText"/>
        <w:spacing w:before="3"/>
        <w:rPr>
          <w:rFonts w:ascii="Arial" w:hAnsi="Arial" w:cs="Arial"/>
          <w:b/>
          <w:sz w:val="20"/>
          <w:szCs w:val="20"/>
        </w:rPr>
      </w:pPr>
    </w:p>
    <w:p w14:paraId="71348C02" w14:textId="77777777" w:rsidR="00226CCF" w:rsidRPr="003D27FE" w:rsidRDefault="00226CCF" w:rsidP="00226CCF">
      <w:pPr>
        <w:ind w:left="120"/>
        <w:rPr>
          <w:sz w:val="20"/>
          <w:szCs w:val="20"/>
        </w:rPr>
      </w:pPr>
      <w:r w:rsidRPr="003D27FE">
        <w:rPr>
          <w:sz w:val="20"/>
          <w:szCs w:val="20"/>
        </w:rPr>
        <w:t>The</w:t>
      </w:r>
      <w:r w:rsidRPr="003D27FE">
        <w:rPr>
          <w:spacing w:val="-2"/>
          <w:sz w:val="20"/>
          <w:szCs w:val="20"/>
        </w:rPr>
        <w:t xml:space="preserve"> </w:t>
      </w:r>
      <w:r w:rsidRPr="003D27FE">
        <w:rPr>
          <w:sz w:val="20"/>
          <w:szCs w:val="20"/>
        </w:rPr>
        <w:t>directors</w:t>
      </w:r>
      <w:r w:rsidRPr="003D27FE">
        <w:rPr>
          <w:spacing w:val="-2"/>
          <w:sz w:val="20"/>
          <w:szCs w:val="20"/>
        </w:rPr>
        <w:t xml:space="preserve"> </w:t>
      </w:r>
      <w:r w:rsidRPr="003D27FE">
        <w:rPr>
          <w:sz w:val="20"/>
          <w:szCs w:val="20"/>
        </w:rPr>
        <w:t>consider</w:t>
      </w:r>
      <w:r w:rsidRPr="003D27FE">
        <w:rPr>
          <w:spacing w:val="-2"/>
          <w:sz w:val="20"/>
          <w:szCs w:val="20"/>
        </w:rPr>
        <w:t xml:space="preserve"> </w:t>
      </w:r>
      <w:r w:rsidRPr="003D27FE">
        <w:rPr>
          <w:sz w:val="20"/>
          <w:szCs w:val="20"/>
        </w:rPr>
        <w:t>that</w:t>
      </w:r>
      <w:r w:rsidRPr="003D27FE">
        <w:rPr>
          <w:spacing w:val="-2"/>
          <w:sz w:val="20"/>
          <w:szCs w:val="20"/>
        </w:rPr>
        <w:t xml:space="preserve"> </w:t>
      </w:r>
      <w:r w:rsidRPr="003D27FE">
        <w:rPr>
          <w:sz w:val="20"/>
          <w:szCs w:val="20"/>
        </w:rPr>
        <w:t>the</w:t>
      </w:r>
      <w:r w:rsidRPr="003D27FE">
        <w:rPr>
          <w:spacing w:val="-2"/>
          <w:sz w:val="20"/>
          <w:szCs w:val="20"/>
        </w:rPr>
        <w:t xml:space="preserve"> </w:t>
      </w:r>
      <w:r w:rsidRPr="003D27FE">
        <w:rPr>
          <w:sz w:val="20"/>
          <w:szCs w:val="20"/>
        </w:rPr>
        <w:t>carrying</w:t>
      </w:r>
      <w:r w:rsidRPr="003D27FE">
        <w:rPr>
          <w:spacing w:val="-1"/>
          <w:sz w:val="20"/>
          <w:szCs w:val="20"/>
        </w:rPr>
        <w:t xml:space="preserve"> </w:t>
      </w:r>
      <w:r w:rsidRPr="003D27FE">
        <w:rPr>
          <w:sz w:val="20"/>
          <w:szCs w:val="20"/>
        </w:rPr>
        <w:t>amount</w:t>
      </w:r>
      <w:r w:rsidRPr="003D27FE">
        <w:rPr>
          <w:spacing w:val="-4"/>
          <w:sz w:val="20"/>
          <w:szCs w:val="20"/>
        </w:rPr>
        <w:t xml:space="preserve"> </w:t>
      </w:r>
      <w:r w:rsidRPr="003D27FE">
        <w:rPr>
          <w:sz w:val="20"/>
          <w:szCs w:val="20"/>
        </w:rPr>
        <w:t>of</w:t>
      </w:r>
      <w:r w:rsidRPr="003D27FE">
        <w:rPr>
          <w:spacing w:val="-3"/>
          <w:sz w:val="20"/>
          <w:szCs w:val="20"/>
        </w:rPr>
        <w:t xml:space="preserve"> </w:t>
      </w:r>
      <w:r w:rsidRPr="003D27FE">
        <w:rPr>
          <w:sz w:val="20"/>
          <w:szCs w:val="20"/>
        </w:rPr>
        <w:t>trade</w:t>
      </w:r>
      <w:r w:rsidRPr="003D27FE">
        <w:rPr>
          <w:spacing w:val="-2"/>
          <w:sz w:val="20"/>
          <w:szCs w:val="20"/>
        </w:rPr>
        <w:t xml:space="preserve"> </w:t>
      </w:r>
      <w:r w:rsidRPr="003D27FE">
        <w:rPr>
          <w:sz w:val="20"/>
          <w:szCs w:val="20"/>
        </w:rPr>
        <w:t>and</w:t>
      </w:r>
      <w:r w:rsidRPr="003D27FE">
        <w:rPr>
          <w:spacing w:val="-3"/>
          <w:sz w:val="20"/>
          <w:szCs w:val="20"/>
        </w:rPr>
        <w:t xml:space="preserve"> </w:t>
      </w:r>
      <w:r w:rsidRPr="003D27FE">
        <w:rPr>
          <w:sz w:val="20"/>
          <w:szCs w:val="20"/>
        </w:rPr>
        <w:t>other</w:t>
      </w:r>
      <w:r w:rsidRPr="003D27FE">
        <w:rPr>
          <w:spacing w:val="-3"/>
          <w:sz w:val="20"/>
          <w:szCs w:val="20"/>
        </w:rPr>
        <w:t xml:space="preserve"> </w:t>
      </w:r>
      <w:r w:rsidRPr="003D27FE">
        <w:rPr>
          <w:sz w:val="20"/>
          <w:szCs w:val="20"/>
        </w:rPr>
        <w:t>receivables</w:t>
      </w:r>
      <w:r w:rsidRPr="003D27FE">
        <w:rPr>
          <w:spacing w:val="-1"/>
          <w:sz w:val="20"/>
          <w:szCs w:val="20"/>
        </w:rPr>
        <w:t xml:space="preserve"> </w:t>
      </w:r>
      <w:r w:rsidRPr="003D27FE">
        <w:rPr>
          <w:sz w:val="20"/>
          <w:szCs w:val="20"/>
        </w:rPr>
        <w:t>is</w:t>
      </w:r>
      <w:r w:rsidRPr="003D27FE">
        <w:rPr>
          <w:spacing w:val="-1"/>
          <w:sz w:val="20"/>
          <w:szCs w:val="20"/>
        </w:rPr>
        <w:t xml:space="preserve"> </w:t>
      </w:r>
      <w:r w:rsidRPr="003D27FE">
        <w:rPr>
          <w:sz w:val="20"/>
          <w:szCs w:val="20"/>
        </w:rPr>
        <w:t>approximately</w:t>
      </w:r>
      <w:r w:rsidRPr="003D27FE">
        <w:rPr>
          <w:spacing w:val="-3"/>
          <w:sz w:val="20"/>
          <w:szCs w:val="20"/>
        </w:rPr>
        <w:t xml:space="preserve"> </w:t>
      </w:r>
      <w:r w:rsidRPr="003D27FE">
        <w:rPr>
          <w:sz w:val="20"/>
          <w:szCs w:val="20"/>
        </w:rPr>
        <w:t>equal</w:t>
      </w:r>
      <w:r w:rsidRPr="003D27FE">
        <w:rPr>
          <w:spacing w:val="-2"/>
          <w:sz w:val="20"/>
          <w:szCs w:val="20"/>
        </w:rPr>
        <w:t xml:space="preserve"> </w:t>
      </w:r>
      <w:r w:rsidRPr="003D27FE">
        <w:rPr>
          <w:sz w:val="20"/>
          <w:szCs w:val="20"/>
        </w:rPr>
        <w:t>to</w:t>
      </w:r>
      <w:r w:rsidRPr="003D27FE">
        <w:rPr>
          <w:spacing w:val="-1"/>
          <w:sz w:val="20"/>
          <w:szCs w:val="20"/>
        </w:rPr>
        <w:t xml:space="preserve"> </w:t>
      </w:r>
      <w:r w:rsidRPr="003D27FE">
        <w:rPr>
          <w:sz w:val="20"/>
          <w:szCs w:val="20"/>
        </w:rPr>
        <w:t>their</w:t>
      </w:r>
      <w:r w:rsidRPr="003D27FE">
        <w:rPr>
          <w:spacing w:val="-3"/>
          <w:sz w:val="20"/>
          <w:szCs w:val="20"/>
        </w:rPr>
        <w:t xml:space="preserve"> </w:t>
      </w:r>
      <w:r w:rsidRPr="003D27FE">
        <w:rPr>
          <w:sz w:val="20"/>
          <w:szCs w:val="20"/>
        </w:rPr>
        <w:t>fair</w:t>
      </w:r>
      <w:r w:rsidRPr="003D27FE">
        <w:rPr>
          <w:spacing w:val="-3"/>
          <w:sz w:val="20"/>
          <w:szCs w:val="20"/>
        </w:rPr>
        <w:t xml:space="preserve"> </w:t>
      </w:r>
      <w:r w:rsidRPr="003D27FE">
        <w:rPr>
          <w:sz w:val="20"/>
          <w:szCs w:val="20"/>
        </w:rPr>
        <w:t>value</w:t>
      </w:r>
    </w:p>
    <w:p w14:paraId="07EC215D" w14:textId="77777777" w:rsidR="00226CCF" w:rsidRPr="003D27FE" w:rsidRDefault="00226CCF" w:rsidP="00226CCF">
      <w:pPr>
        <w:pStyle w:val="BodyText"/>
        <w:spacing w:before="2"/>
        <w:rPr>
          <w:rFonts w:ascii="Arial" w:hAnsi="Arial" w:cs="Arial"/>
          <w:sz w:val="20"/>
          <w:szCs w:val="20"/>
        </w:rPr>
      </w:pPr>
    </w:p>
    <w:p w14:paraId="08C8B159" w14:textId="77777777" w:rsidR="00226CCF" w:rsidRPr="003D27FE" w:rsidRDefault="00226CCF" w:rsidP="00226CCF">
      <w:pPr>
        <w:pStyle w:val="BodyText"/>
        <w:spacing w:before="2"/>
        <w:rPr>
          <w:rFonts w:ascii="Arial" w:hAnsi="Arial" w:cs="Arial"/>
          <w:sz w:val="20"/>
          <w:szCs w:val="20"/>
        </w:rPr>
      </w:pPr>
    </w:p>
    <w:p w14:paraId="16485E87" w14:textId="77777777" w:rsidR="00226CCF" w:rsidRPr="003D27FE" w:rsidRDefault="00226CCF" w:rsidP="00226CCF">
      <w:pPr>
        <w:pStyle w:val="ListParagraph"/>
        <w:widowControl w:val="0"/>
        <w:numPr>
          <w:ilvl w:val="0"/>
          <w:numId w:val="5"/>
        </w:numPr>
        <w:tabs>
          <w:tab w:val="left" w:pos="839"/>
          <w:tab w:val="left" w:pos="840"/>
        </w:tabs>
        <w:autoSpaceDE w:val="0"/>
        <w:autoSpaceDN w:val="0"/>
        <w:contextualSpacing w:val="0"/>
        <w:rPr>
          <w:rFonts w:ascii="Arial" w:hAnsi="Arial" w:cs="Arial"/>
          <w:b/>
          <w:sz w:val="20"/>
          <w:szCs w:val="20"/>
        </w:rPr>
      </w:pPr>
      <w:r w:rsidRPr="003D27FE">
        <w:rPr>
          <w:rFonts w:ascii="Arial" w:hAnsi="Arial" w:cs="Arial"/>
          <w:b/>
          <w:sz w:val="20"/>
          <w:szCs w:val="20"/>
        </w:rPr>
        <w:t>Trade</w:t>
      </w:r>
      <w:r w:rsidRPr="003D27FE">
        <w:rPr>
          <w:rFonts w:ascii="Arial" w:hAnsi="Arial" w:cs="Arial"/>
          <w:b/>
          <w:spacing w:val="-2"/>
          <w:sz w:val="20"/>
          <w:szCs w:val="20"/>
        </w:rPr>
        <w:t xml:space="preserve"> </w:t>
      </w:r>
      <w:r w:rsidRPr="003D27FE">
        <w:rPr>
          <w:rFonts w:ascii="Arial" w:hAnsi="Arial" w:cs="Arial"/>
          <w:b/>
          <w:sz w:val="20"/>
          <w:szCs w:val="20"/>
        </w:rPr>
        <w:t>and</w:t>
      </w:r>
      <w:r w:rsidRPr="003D27FE">
        <w:rPr>
          <w:rFonts w:ascii="Arial" w:hAnsi="Arial" w:cs="Arial"/>
          <w:b/>
          <w:spacing w:val="-1"/>
          <w:sz w:val="20"/>
          <w:szCs w:val="20"/>
        </w:rPr>
        <w:t xml:space="preserve"> </w:t>
      </w:r>
      <w:r w:rsidRPr="003D27FE">
        <w:rPr>
          <w:rFonts w:ascii="Arial" w:hAnsi="Arial" w:cs="Arial"/>
          <w:b/>
          <w:sz w:val="20"/>
          <w:szCs w:val="20"/>
        </w:rPr>
        <w:t>other</w:t>
      </w:r>
      <w:r w:rsidRPr="003D27FE">
        <w:rPr>
          <w:rFonts w:ascii="Arial" w:hAnsi="Arial" w:cs="Arial"/>
          <w:b/>
          <w:spacing w:val="-1"/>
          <w:sz w:val="20"/>
          <w:szCs w:val="20"/>
        </w:rPr>
        <w:t xml:space="preserve"> </w:t>
      </w:r>
      <w:r w:rsidRPr="003D27FE">
        <w:rPr>
          <w:rFonts w:ascii="Arial" w:hAnsi="Arial" w:cs="Arial"/>
          <w:b/>
          <w:sz w:val="20"/>
          <w:szCs w:val="20"/>
        </w:rPr>
        <w:t>payables</w:t>
      </w:r>
    </w:p>
    <w:p w14:paraId="715F278C" w14:textId="77777777" w:rsidR="00226CCF" w:rsidRPr="003D27FE" w:rsidRDefault="00226CCF" w:rsidP="00226CCF">
      <w:pPr>
        <w:pStyle w:val="BodyText"/>
        <w:rPr>
          <w:rFonts w:ascii="Arial" w:hAnsi="Arial" w:cs="Arial"/>
          <w:b/>
          <w:sz w:val="20"/>
          <w:szCs w:val="20"/>
        </w:rPr>
      </w:pPr>
    </w:p>
    <w:tbl>
      <w:tblPr>
        <w:tblW w:w="5344" w:type="pct"/>
        <w:tblLook w:val="04A0" w:firstRow="1" w:lastRow="0" w:firstColumn="1" w:lastColumn="0" w:noHBand="0" w:noVBand="1"/>
      </w:tblPr>
      <w:tblGrid>
        <w:gridCol w:w="6396"/>
        <w:gridCol w:w="1955"/>
        <w:gridCol w:w="1951"/>
      </w:tblGrid>
      <w:tr w:rsidR="0092411F" w:rsidRPr="003D27FE" w14:paraId="3250025F" w14:textId="77777777" w:rsidTr="0092411F">
        <w:trPr>
          <w:trHeight w:val="1065"/>
        </w:trPr>
        <w:tc>
          <w:tcPr>
            <w:tcW w:w="3104" w:type="pct"/>
            <w:tcBorders>
              <w:top w:val="nil"/>
              <w:left w:val="nil"/>
              <w:bottom w:val="nil"/>
              <w:right w:val="nil"/>
            </w:tcBorders>
            <w:shd w:val="clear" w:color="auto" w:fill="auto"/>
            <w:vAlign w:val="center"/>
            <w:hideMark/>
          </w:tcPr>
          <w:p w14:paraId="6A7D2323" w14:textId="77777777" w:rsidR="0092411F" w:rsidRPr="003D27FE" w:rsidRDefault="0092411F" w:rsidP="00075FBF">
            <w:pPr>
              <w:rPr>
                <w:sz w:val="20"/>
                <w:szCs w:val="20"/>
              </w:rPr>
            </w:pPr>
          </w:p>
        </w:tc>
        <w:tc>
          <w:tcPr>
            <w:tcW w:w="949" w:type="pct"/>
            <w:tcBorders>
              <w:top w:val="nil"/>
              <w:left w:val="nil"/>
              <w:bottom w:val="nil"/>
              <w:right w:val="nil"/>
            </w:tcBorders>
            <w:vAlign w:val="center"/>
          </w:tcPr>
          <w:p w14:paraId="036962B0" w14:textId="77777777" w:rsidR="0092411F" w:rsidRPr="003D27FE" w:rsidRDefault="0092411F" w:rsidP="00075FBF">
            <w:pPr>
              <w:jc w:val="right"/>
              <w:rPr>
                <w:b/>
                <w:bCs/>
                <w:color w:val="000000"/>
                <w:sz w:val="20"/>
                <w:szCs w:val="20"/>
              </w:rPr>
            </w:pPr>
            <w:r w:rsidRPr="003D27FE">
              <w:rPr>
                <w:b/>
                <w:bCs/>
                <w:color w:val="000000"/>
                <w:sz w:val="20"/>
                <w:szCs w:val="20"/>
              </w:rPr>
              <w:t xml:space="preserve">Unaudited </w:t>
            </w:r>
          </w:p>
          <w:p w14:paraId="5DB9EA87" w14:textId="2C603F4E" w:rsidR="0092411F" w:rsidRPr="003D27FE" w:rsidRDefault="0092411F" w:rsidP="00075FBF">
            <w:pPr>
              <w:jc w:val="right"/>
              <w:rPr>
                <w:b/>
                <w:bCs/>
                <w:color w:val="000000"/>
                <w:sz w:val="20"/>
                <w:szCs w:val="20"/>
              </w:rPr>
            </w:pPr>
            <w:r w:rsidRPr="003D27FE">
              <w:rPr>
                <w:b/>
                <w:bCs/>
                <w:color w:val="000000"/>
                <w:sz w:val="20"/>
                <w:szCs w:val="20"/>
              </w:rPr>
              <w:t xml:space="preserve">15 Months </w:t>
            </w:r>
            <w:r w:rsidRPr="003D27FE">
              <w:rPr>
                <w:b/>
                <w:bCs/>
                <w:color w:val="000000"/>
                <w:sz w:val="20"/>
                <w:szCs w:val="20"/>
              </w:rPr>
              <w:br/>
              <w:t>ended 31 Dec 2024</w:t>
            </w:r>
          </w:p>
        </w:tc>
        <w:tc>
          <w:tcPr>
            <w:tcW w:w="947" w:type="pct"/>
            <w:tcBorders>
              <w:top w:val="nil"/>
              <w:left w:val="nil"/>
              <w:bottom w:val="nil"/>
              <w:right w:val="nil"/>
            </w:tcBorders>
            <w:shd w:val="clear" w:color="auto" w:fill="auto"/>
            <w:vAlign w:val="center"/>
            <w:hideMark/>
          </w:tcPr>
          <w:p w14:paraId="4EEB4201" w14:textId="6A12E6A7" w:rsidR="0092411F" w:rsidRPr="003D27FE" w:rsidRDefault="0092411F" w:rsidP="00075FBF">
            <w:pPr>
              <w:jc w:val="right"/>
              <w:rPr>
                <w:b/>
                <w:bCs/>
                <w:color w:val="000000"/>
                <w:sz w:val="20"/>
                <w:szCs w:val="20"/>
              </w:rPr>
            </w:pPr>
            <w:r w:rsidRPr="003D27FE">
              <w:rPr>
                <w:b/>
                <w:bCs/>
                <w:color w:val="000000"/>
                <w:sz w:val="20"/>
                <w:szCs w:val="20"/>
              </w:rPr>
              <w:t xml:space="preserve">Audited </w:t>
            </w:r>
            <w:r w:rsidRPr="003D27FE">
              <w:rPr>
                <w:b/>
                <w:bCs/>
                <w:color w:val="000000"/>
                <w:sz w:val="20"/>
                <w:szCs w:val="20"/>
              </w:rPr>
              <w:br/>
              <w:t>year</w:t>
            </w:r>
            <w:r w:rsidRPr="003D27FE">
              <w:rPr>
                <w:b/>
                <w:bCs/>
                <w:color w:val="000000"/>
                <w:sz w:val="20"/>
                <w:szCs w:val="20"/>
              </w:rPr>
              <w:br/>
              <w:t>ended 30 Sep 2023</w:t>
            </w:r>
          </w:p>
        </w:tc>
      </w:tr>
      <w:tr w:rsidR="0092411F" w:rsidRPr="003D27FE" w14:paraId="440743F3" w14:textId="77777777" w:rsidTr="0092411F">
        <w:trPr>
          <w:trHeight w:val="277"/>
        </w:trPr>
        <w:tc>
          <w:tcPr>
            <w:tcW w:w="3104" w:type="pct"/>
            <w:tcBorders>
              <w:top w:val="nil"/>
              <w:left w:val="nil"/>
              <w:bottom w:val="single" w:sz="12" w:space="0" w:color="000000"/>
              <w:right w:val="nil"/>
            </w:tcBorders>
            <w:shd w:val="clear" w:color="auto" w:fill="auto"/>
            <w:vAlign w:val="center"/>
            <w:hideMark/>
          </w:tcPr>
          <w:p w14:paraId="4277C077" w14:textId="77777777" w:rsidR="0092411F" w:rsidRPr="003D27FE" w:rsidRDefault="0092411F" w:rsidP="00075FBF">
            <w:pPr>
              <w:rPr>
                <w:color w:val="000000"/>
                <w:sz w:val="20"/>
                <w:szCs w:val="20"/>
              </w:rPr>
            </w:pPr>
            <w:r w:rsidRPr="003D27FE">
              <w:rPr>
                <w:color w:val="000000"/>
                <w:sz w:val="20"/>
                <w:szCs w:val="20"/>
              </w:rPr>
              <w:t> </w:t>
            </w:r>
          </w:p>
        </w:tc>
        <w:tc>
          <w:tcPr>
            <w:tcW w:w="949" w:type="pct"/>
            <w:tcBorders>
              <w:top w:val="nil"/>
              <w:left w:val="nil"/>
              <w:bottom w:val="single" w:sz="12" w:space="0" w:color="000000"/>
              <w:right w:val="nil"/>
            </w:tcBorders>
            <w:vAlign w:val="center"/>
          </w:tcPr>
          <w:p w14:paraId="071F79CA" w14:textId="77777777" w:rsidR="0092411F" w:rsidRPr="003D27FE" w:rsidRDefault="0092411F" w:rsidP="00075FBF">
            <w:pPr>
              <w:jc w:val="right"/>
              <w:rPr>
                <w:b/>
                <w:bCs/>
                <w:color w:val="000000"/>
                <w:sz w:val="20"/>
                <w:szCs w:val="20"/>
              </w:rPr>
            </w:pPr>
            <w:r w:rsidRPr="003D27FE">
              <w:rPr>
                <w:b/>
                <w:bCs/>
                <w:color w:val="000000"/>
                <w:sz w:val="20"/>
                <w:szCs w:val="20"/>
              </w:rPr>
              <w:t>£’000</w:t>
            </w:r>
          </w:p>
        </w:tc>
        <w:tc>
          <w:tcPr>
            <w:tcW w:w="947" w:type="pct"/>
            <w:tcBorders>
              <w:top w:val="nil"/>
              <w:left w:val="nil"/>
              <w:bottom w:val="single" w:sz="12" w:space="0" w:color="000000"/>
              <w:right w:val="nil"/>
            </w:tcBorders>
            <w:shd w:val="clear" w:color="auto" w:fill="auto"/>
            <w:vAlign w:val="center"/>
            <w:hideMark/>
          </w:tcPr>
          <w:p w14:paraId="7446325E" w14:textId="77777777" w:rsidR="0092411F" w:rsidRPr="003D27FE" w:rsidRDefault="0092411F" w:rsidP="00075FBF">
            <w:pPr>
              <w:jc w:val="right"/>
              <w:rPr>
                <w:b/>
                <w:bCs/>
                <w:color w:val="000000"/>
                <w:sz w:val="20"/>
                <w:szCs w:val="20"/>
              </w:rPr>
            </w:pPr>
            <w:r w:rsidRPr="003D27FE">
              <w:rPr>
                <w:b/>
                <w:bCs/>
                <w:color w:val="000000"/>
                <w:sz w:val="20"/>
                <w:szCs w:val="20"/>
              </w:rPr>
              <w:t>£’000</w:t>
            </w:r>
          </w:p>
        </w:tc>
      </w:tr>
      <w:tr w:rsidR="0092411F" w:rsidRPr="003D27FE" w14:paraId="5C4E0334" w14:textId="77777777" w:rsidTr="0092411F">
        <w:trPr>
          <w:trHeight w:val="277"/>
        </w:trPr>
        <w:tc>
          <w:tcPr>
            <w:tcW w:w="3104" w:type="pct"/>
            <w:tcBorders>
              <w:top w:val="nil"/>
              <w:left w:val="nil"/>
              <w:bottom w:val="nil"/>
              <w:right w:val="nil"/>
            </w:tcBorders>
            <w:shd w:val="clear" w:color="auto" w:fill="auto"/>
            <w:vAlign w:val="center"/>
            <w:hideMark/>
          </w:tcPr>
          <w:p w14:paraId="65C6883C" w14:textId="6D44F77D" w:rsidR="0092411F" w:rsidRPr="003D27FE" w:rsidRDefault="006C7EB6" w:rsidP="00D8770B">
            <w:pPr>
              <w:rPr>
                <w:color w:val="000000"/>
                <w:sz w:val="20"/>
                <w:szCs w:val="20"/>
              </w:rPr>
            </w:pPr>
            <w:r w:rsidRPr="003D27FE">
              <w:rPr>
                <w:color w:val="000000"/>
                <w:sz w:val="20"/>
                <w:szCs w:val="20"/>
              </w:rPr>
              <w:t>Trade payables</w:t>
            </w:r>
          </w:p>
        </w:tc>
        <w:tc>
          <w:tcPr>
            <w:tcW w:w="949" w:type="pct"/>
            <w:tcBorders>
              <w:top w:val="nil"/>
              <w:left w:val="nil"/>
              <w:bottom w:val="nil"/>
              <w:right w:val="nil"/>
            </w:tcBorders>
            <w:vAlign w:val="center"/>
          </w:tcPr>
          <w:p w14:paraId="0C65402A" w14:textId="2D26962A" w:rsidR="0092411F" w:rsidRPr="003D27FE" w:rsidRDefault="0092411F" w:rsidP="00D8770B">
            <w:pPr>
              <w:jc w:val="right"/>
              <w:rPr>
                <w:color w:val="000000"/>
                <w:sz w:val="20"/>
                <w:szCs w:val="20"/>
              </w:rPr>
            </w:pPr>
            <w:r w:rsidRPr="003D27FE">
              <w:rPr>
                <w:color w:val="000000"/>
                <w:sz w:val="20"/>
                <w:szCs w:val="20"/>
              </w:rPr>
              <w:t>82</w:t>
            </w:r>
          </w:p>
        </w:tc>
        <w:tc>
          <w:tcPr>
            <w:tcW w:w="947" w:type="pct"/>
            <w:tcBorders>
              <w:top w:val="nil"/>
              <w:left w:val="nil"/>
              <w:bottom w:val="nil"/>
              <w:right w:val="nil"/>
            </w:tcBorders>
            <w:shd w:val="clear" w:color="auto" w:fill="auto"/>
            <w:vAlign w:val="center"/>
          </w:tcPr>
          <w:p w14:paraId="7ED8C016" w14:textId="77777777" w:rsidR="0092411F" w:rsidRPr="003D27FE" w:rsidRDefault="0092411F" w:rsidP="00D8770B">
            <w:pPr>
              <w:jc w:val="right"/>
              <w:rPr>
                <w:color w:val="000000"/>
                <w:sz w:val="20"/>
                <w:szCs w:val="20"/>
              </w:rPr>
            </w:pPr>
            <w:r w:rsidRPr="003D27FE">
              <w:rPr>
                <w:color w:val="000000"/>
                <w:sz w:val="20"/>
                <w:szCs w:val="20"/>
              </w:rPr>
              <w:t>1,102</w:t>
            </w:r>
          </w:p>
        </w:tc>
      </w:tr>
      <w:tr w:rsidR="0092411F" w:rsidRPr="003D27FE" w14:paraId="353F71E4" w14:textId="77777777" w:rsidTr="0092411F">
        <w:trPr>
          <w:trHeight w:val="266"/>
        </w:trPr>
        <w:tc>
          <w:tcPr>
            <w:tcW w:w="3104" w:type="pct"/>
            <w:tcBorders>
              <w:top w:val="nil"/>
              <w:left w:val="nil"/>
              <w:bottom w:val="nil"/>
              <w:right w:val="nil"/>
            </w:tcBorders>
            <w:shd w:val="clear" w:color="auto" w:fill="auto"/>
            <w:vAlign w:val="center"/>
            <w:hideMark/>
          </w:tcPr>
          <w:p w14:paraId="37DDBB6E" w14:textId="77777777" w:rsidR="0092411F" w:rsidRPr="003D27FE" w:rsidRDefault="0092411F" w:rsidP="00D8770B">
            <w:pPr>
              <w:rPr>
                <w:color w:val="000000"/>
                <w:sz w:val="20"/>
                <w:szCs w:val="20"/>
              </w:rPr>
            </w:pPr>
            <w:r w:rsidRPr="003D27FE">
              <w:rPr>
                <w:color w:val="000000"/>
                <w:sz w:val="20"/>
                <w:szCs w:val="20"/>
              </w:rPr>
              <w:t>Accruals</w:t>
            </w:r>
          </w:p>
        </w:tc>
        <w:tc>
          <w:tcPr>
            <w:tcW w:w="949" w:type="pct"/>
            <w:tcBorders>
              <w:top w:val="nil"/>
              <w:left w:val="nil"/>
              <w:bottom w:val="nil"/>
              <w:right w:val="nil"/>
            </w:tcBorders>
            <w:vAlign w:val="center"/>
          </w:tcPr>
          <w:p w14:paraId="506C471F" w14:textId="61E9E61C" w:rsidR="0092411F" w:rsidRPr="003D27FE" w:rsidRDefault="0092411F" w:rsidP="00D8770B">
            <w:pPr>
              <w:jc w:val="right"/>
              <w:rPr>
                <w:color w:val="000000"/>
                <w:sz w:val="20"/>
                <w:szCs w:val="20"/>
              </w:rPr>
            </w:pPr>
            <w:r w:rsidRPr="003D27FE">
              <w:rPr>
                <w:color w:val="000000"/>
                <w:sz w:val="20"/>
                <w:szCs w:val="20"/>
              </w:rPr>
              <w:t>295</w:t>
            </w:r>
          </w:p>
        </w:tc>
        <w:tc>
          <w:tcPr>
            <w:tcW w:w="947" w:type="pct"/>
            <w:tcBorders>
              <w:top w:val="nil"/>
              <w:left w:val="nil"/>
              <w:bottom w:val="nil"/>
              <w:right w:val="nil"/>
            </w:tcBorders>
            <w:shd w:val="clear" w:color="auto" w:fill="auto"/>
            <w:vAlign w:val="center"/>
          </w:tcPr>
          <w:p w14:paraId="1A1BBD72" w14:textId="77777777" w:rsidR="0092411F" w:rsidRPr="003D27FE" w:rsidRDefault="0092411F" w:rsidP="00D8770B">
            <w:pPr>
              <w:jc w:val="right"/>
              <w:rPr>
                <w:color w:val="000000"/>
                <w:sz w:val="20"/>
                <w:szCs w:val="20"/>
              </w:rPr>
            </w:pPr>
            <w:r w:rsidRPr="003D27FE">
              <w:rPr>
                <w:color w:val="000000"/>
                <w:sz w:val="20"/>
                <w:szCs w:val="20"/>
              </w:rPr>
              <w:t>337</w:t>
            </w:r>
          </w:p>
        </w:tc>
      </w:tr>
      <w:tr w:rsidR="0092411F" w:rsidRPr="003D27FE" w14:paraId="0DB3D516" w14:textId="77777777" w:rsidTr="0092411F">
        <w:trPr>
          <w:trHeight w:val="266"/>
        </w:trPr>
        <w:tc>
          <w:tcPr>
            <w:tcW w:w="3104" w:type="pct"/>
            <w:tcBorders>
              <w:top w:val="nil"/>
              <w:left w:val="nil"/>
              <w:bottom w:val="nil"/>
              <w:right w:val="nil"/>
            </w:tcBorders>
            <w:shd w:val="clear" w:color="auto" w:fill="auto"/>
            <w:vAlign w:val="center"/>
          </w:tcPr>
          <w:p w14:paraId="5E010980" w14:textId="77777777" w:rsidR="0092411F" w:rsidRPr="003D27FE" w:rsidRDefault="0092411F" w:rsidP="00D8770B">
            <w:pPr>
              <w:rPr>
                <w:color w:val="000000"/>
                <w:sz w:val="20"/>
                <w:szCs w:val="20"/>
              </w:rPr>
            </w:pPr>
            <w:r w:rsidRPr="003D27FE">
              <w:rPr>
                <w:color w:val="000000"/>
                <w:sz w:val="20"/>
                <w:szCs w:val="20"/>
              </w:rPr>
              <w:t>VAT Payable</w:t>
            </w:r>
          </w:p>
        </w:tc>
        <w:tc>
          <w:tcPr>
            <w:tcW w:w="949" w:type="pct"/>
            <w:tcBorders>
              <w:top w:val="nil"/>
              <w:left w:val="nil"/>
              <w:bottom w:val="nil"/>
              <w:right w:val="nil"/>
            </w:tcBorders>
            <w:vAlign w:val="center"/>
          </w:tcPr>
          <w:p w14:paraId="68D64CE3" w14:textId="01BC2DEF" w:rsidR="0092411F" w:rsidRPr="003D27FE" w:rsidRDefault="002F6E52" w:rsidP="00D8770B">
            <w:pPr>
              <w:jc w:val="right"/>
              <w:rPr>
                <w:color w:val="000000"/>
                <w:sz w:val="20"/>
                <w:szCs w:val="20"/>
              </w:rPr>
            </w:pPr>
            <w:r>
              <w:rPr>
                <w:color w:val="000000"/>
                <w:sz w:val="20"/>
                <w:szCs w:val="20"/>
              </w:rPr>
              <w:t>99</w:t>
            </w:r>
          </w:p>
        </w:tc>
        <w:tc>
          <w:tcPr>
            <w:tcW w:w="947" w:type="pct"/>
            <w:tcBorders>
              <w:top w:val="nil"/>
              <w:left w:val="nil"/>
              <w:bottom w:val="nil"/>
              <w:right w:val="nil"/>
            </w:tcBorders>
            <w:shd w:val="clear" w:color="auto" w:fill="auto"/>
            <w:vAlign w:val="center"/>
          </w:tcPr>
          <w:p w14:paraId="2E7305D7" w14:textId="77777777" w:rsidR="0092411F" w:rsidRPr="003D27FE" w:rsidRDefault="0092411F" w:rsidP="00D8770B">
            <w:pPr>
              <w:jc w:val="right"/>
              <w:rPr>
                <w:color w:val="000000"/>
                <w:sz w:val="20"/>
                <w:szCs w:val="20"/>
              </w:rPr>
            </w:pPr>
            <w:r w:rsidRPr="003D27FE">
              <w:rPr>
                <w:color w:val="000000"/>
                <w:sz w:val="20"/>
                <w:szCs w:val="20"/>
              </w:rPr>
              <w:t>-</w:t>
            </w:r>
          </w:p>
        </w:tc>
      </w:tr>
      <w:tr w:rsidR="0092411F" w:rsidRPr="003D27FE" w14:paraId="2C670858" w14:textId="77777777" w:rsidTr="0092411F">
        <w:trPr>
          <w:trHeight w:val="266"/>
        </w:trPr>
        <w:tc>
          <w:tcPr>
            <w:tcW w:w="3104" w:type="pct"/>
            <w:tcBorders>
              <w:top w:val="nil"/>
              <w:left w:val="nil"/>
              <w:bottom w:val="nil"/>
              <w:right w:val="nil"/>
            </w:tcBorders>
            <w:shd w:val="clear" w:color="auto" w:fill="auto"/>
            <w:vAlign w:val="center"/>
          </w:tcPr>
          <w:p w14:paraId="2056DFA0" w14:textId="0AA9F82B" w:rsidR="0092411F" w:rsidRPr="003D27FE" w:rsidRDefault="0092411F" w:rsidP="00D8770B">
            <w:pPr>
              <w:rPr>
                <w:color w:val="000000"/>
                <w:sz w:val="20"/>
                <w:szCs w:val="20"/>
              </w:rPr>
            </w:pPr>
            <w:r w:rsidRPr="003D27FE">
              <w:rPr>
                <w:color w:val="000000"/>
                <w:sz w:val="20"/>
                <w:szCs w:val="20"/>
              </w:rPr>
              <w:t>Directors' loan</w:t>
            </w:r>
          </w:p>
        </w:tc>
        <w:tc>
          <w:tcPr>
            <w:tcW w:w="949" w:type="pct"/>
            <w:tcBorders>
              <w:top w:val="nil"/>
              <w:left w:val="nil"/>
              <w:bottom w:val="nil"/>
              <w:right w:val="nil"/>
            </w:tcBorders>
            <w:vAlign w:val="center"/>
          </w:tcPr>
          <w:p w14:paraId="3FCDB433" w14:textId="2D33FA38" w:rsidR="0092411F" w:rsidRPr="003D27FE" w:rsidRDefault="0092411F" w:rsidP="00D8770B">
            <w:pPr>
              <w:jc w:val="right"/>
              <w:rPr>
                <w:color w:val="000000"/>
                <w:sz w:val="20"/>
                <w:szCs w:val="20"/>
              </w:rPr>
            </w:pPr>
            <w:r w:rsidRPr="003D27FE">
              <w:rPr>
                <w:color w:val="000000"/>
                <w:sz w:val="20"/>
                <w:szCs w:val="20"/>
              </w:rPr>
              <w:t>30</w:t>
            </w:r>
          </w:p>
        </w:tc>
        <w:tc>
          <w:tcPr>
            <w:tcW w:w="947" w:type="pct"/>
            <w:tcBorders>
              <w:top w:val="nil"/>
              <w:left w:val="nil"/>
              <w:bottom w:val="nil"/>
              <w:right w:val="nil"/>
            </w:tcBorders>
            <w:shd w:val="clear" w:color="auto" w:fill="auto"/>
            <w:vAlign w:val="center"/>
          </w:tcPr>
          <w:p w14:paraId="3BCFC28A" w14:textId="7BB7145F" w:rsidR="0092411F" w:rsidRPr="003D27FE" w:rsidRDefault="0092411F" w:rsidP="00D8770B">
            <w:pPr>
              <w:jc w:val="right"/>
              <w:rPr>
                <w:color w:val="000000"/>
                <w:sz w:val="20"/>
                <w:szCs w:val="20"/>
              </w:rPr>
            </w:pPr>
            <w:r w:rsidRPr="003D27FE">
              <w:rPr>
                <w:color w:val="000000"/>
                <w:sz w:val="20"/>
                <w:szCs w:val="20"/>
              </w:rPr>
              <w:t>-</w:t>
            </w:r>
          </w:p>
        </w:tc>
      </w:tr>
      <w:tr w:rsidR="0092411F" w:rsidRPr="003D27FE" w14:paraId="00C5F434" w14:textId="77777777" w:rsidTr="0092411F">
        <w:trPr>
          <w:trHeight w:val="266"/>
        </w:trPr>
        <w:tc>
          <w:tcPr>
            <w:tcW w:w="3104" w:type="pct"/>
            <w:tcBorders>
              <w:top w:val="nil"/>
              <w:left w:val="nil"/>
              <w:bottom w:val="nil"/>
              <w:right w:val="nil"/>
            </w:tcBorders>
            <w:shd w:val="clear" w:color="auto" w:fill="auto"/>
            <w:vAlign w:val="center"/>
            <w:hideMark/>
          </w:tcPr>
          <w:p w14:paraId="470275E6" w14:textId="77777777" w:rsidR="0092411F" w:rsidRPr="003D27FE" w:rsidRDefault="0092411F" w:rsidP="00D8770B">
            <w:pPr>
              <w:rPr>
                <w:color w:val="000000"/>
                <w:sz w:val="20"/>
                <w:szCs w:val="20"/>
              </w:rPr>
            </w:pPr>
            <w:r w:rsidRPr="003D27FE">
              <w:rPr>
                <w:color w:val="000000"/>
                <w:sz w:val="20"/>
                <w:szCs w:val="20"/>
              </w:rPr>
              <w:t>Other payables</w:t>
            </w:r>
          </w:p>
        </w:tc>
        <w:tc>
          <w:tcPr>
            <w:tcW w:w="949" w:type="pct"/>
            <w:tcBorders>
              <w:top w:val="nil"/>
              <w:left w:val="nil"/>
              <w:bottom w:val="nil"/>
              <w:right w:val="nil"/>
            </w:tcBorders>
            <w:vAlign w:val="center"/>
          </w:tcPr>
          <w:p w14:paraId="4471C847" w14:textId="7E93B174" w:rsidR="0092411F" w:rsidRPr="003D27FE" w:rsidRDefault="0092411F" w:rsidP="00D8770B">
            <w:pPr>
              <w:jc w:val="right"/>
              <w:rPr>
                <w:color w:val="000000"/>
                <w:sz w:val="20"/>
                <w:szCs w:val="20"/>
              </w:rPr>
            </w:pPr>
            <w:r w:rsidRPr="003D27FE">
              <w:rPr>
                <w:color w:val="000000"/>
                <w:sz w:val="20"/>
                <w:szCs w:val="20"/>
              </w:rPr>
              <w:t>-</w:t>
            </w:r>
          </w:p>
        </w:tc>
        <w:tc>
          <w:tcPr>
            <w:tcW w:w="947" w:type="pct"/>
            <w:tcBorders>
              <w:top w:val="nil"/>
              <w:left w:val="nil"/>
              <w:bottom w:val="nil"/>
              <w:right w:val="nil"/>
            </w:tcBorders>
            <w:shd w:val="clear" w:color="auto" w:fill="auto"/>
            <w:vAlign w:val="center"/>
          </w:tcPr>
          <w:p w14:paraId="66C077EF" w14:textId="77777777" w:rsidR="0092411F" w:rsidRPr="003D27FE" w:rsidRDefault="0092411F" w:rsidP="00D8770B">
            <w:pPr>
              <w:jc w:val="right"/>
              <w:rPr>
                <w:color w:val="000000"/>
                <w:sz w:val="20"/>
                <w:szCs w:val="20"/>
              </w:rPr>
            </w:pPr>
            <w:r w:rsidRPr="003D27FE">
              <w:rPr>
                <w:color w:val="000000"/>
                <w:sz w:val="20"/>
                <w:szCs w:val="20"/>
              </w:rPr>
              <w:t>6</w:t>
            </w:r>
          </w:p>
        </w:tc>
      </w:tr>
      <w:tr w:rsidR="0092411F" w:rsidRPr="003D27FE" w14:paraId="725A6881" w14:textId="77777777" w:rsidTr="0092411F">
        <w:trPr>
          <w:trHeight w:val="277"/>
        </w:trPr>
        <w:tc>
          <w:tcPr>
            <w:tcW w:w="3104" w:type="pct"/>
            <w:tcBorders>
              <w:top w:val="nil"/>
              <w:left w:val="nil"/>
              <w:bottom w:val="nil"/>
              <w:right w:val="nil"/>
            </w:tcBorders>
            <w:shd w:val="clear" w:color="auto" w:fill="auto"/>
            <w:vAlign w:val="center"/>
            <w:hideMark/>
          </w:tcPr>
          <w:p w14:paraId="45362357" w14:textId="77777777" w:rsidR="0092411F" w:rsidRPr="003D27FE" w:rsidRDefault="0092411F" w:rsidP="00D8770B">
            <w:pPr>
              <w:rPr>
                <w:color w:val="000000"/>
                <w:sz w:val="20"/>
                <w:szCs w:val="20"/>
              </w:rPr>
            </w:pPr>
            <w:r w:rsidRPr="003D27FE">
              <w:rPr>
                <w:color w:val="000000"/>
                <w:sz w:val="20"/>
                <w:szCs w:val="20"/>
              </w:rPr>
              <w:t>Other taxation and social security</w:t>
            </w:r>
          </w:p>
        </w:tc>
        <w:tc>
          <w:tcPr>
            <w:tcW w:w="949" w:type="pct"/>
            <w:tcBorders>
              <w:top w:val="nil"/>
              <w:left w:val="nil"/>
              <w:bottom w:val="nil"/>
              <w:right w:val="nil"/>
            </w:tcBorders>
            <w:vAlign w:val="center"/>
          </w:tcPr>
          <w:p w14:paraId="48F6A024" w14:textId="71A05CBB" w:rsidR="0092411F" w:rsidRPr="003D27FE" w:rsidRDefault="0092411F" w:rsidP="00D8770B">
            <w:pPr>
              <w:jc w:val="right"/>
              <w:rPr>
                <w:color w:val="000000"/>
                <w:sz w:val="20"/>
                <w:szCs w:val="20"/>
              </w:rPr>
            </w:pPr>
            <w:r w:rsidRPr="003D27FE">
              <w:rPr>
                <w:color w:val="000000"/>
                <w:sz w:val="20"/>
                <w:szCs w:val="20"/>
              </w:rPr>
              <w:t>-</w:t>
            </w:r>
          </w:p>
        </w:tc>
        <w:tc>
          <w:tcPr>
            <w:tcW w:w="947" w:type="pct"/>
            <w:tcBorders>
              <w:top w:val="nil"/>
              <w:left w:val="nil"/>
              <w:bottom w:val="nil"/>
              <w:right w:val="nil"/>
            </w:tcBorders>
            <w:shd w:val="clear" w:color="auto" w:fill="auto"/>
            <w:vAlign w:val="center"/>
          </w:tcPr>
          <w:p w14:paraId="63273649" w14:textId="77777777" w:rsidR="0092411F" w:rsidRPr="003D27FE" w:rsidRDefault="0092411F" w:rsidP="00D8770B">
            <w:pPr>
              <w:jc w:val="right"/>
              <w:rPr>
                <w:color w:val="000000"/>
                <w:sz w:val="20"/>
                <w:szCs w:val="20"/>
              </w:rPr>
            </w:pPr>
            <w:r w:rsidRPr="003D27FE">
              <w:rPr>
                <w:color w:val="000000"/>
                <w:sz w:val="20"/>
                <w:szCs w:val="20"/>
              </w:rPr>
              <w:t>81</w:t>
            </w:r>
          </w:p>
        </w:tc>
      </w:tr>
      <w:tr w:rsidR="0092411F" w:rsidRPr="003D27FE" w14:paraId="7B06A7FC" w14:textId="77777777" w:rsidTr="0092411F">
        <w:trPr>
          <w:trHeight w:val="288"/>
        </w:trPr>
        <w:tc>
          <w:tcPr>
            <w:tcW w:w="3104" w:type="pct"/>
            <w:tcBorders>
              <w:top w:val="single" w:sz="12" w:space="0" w:color="auto"/>
              <w:left w:val="nil"/>
              <w:bottom w:val="single" w:sz="12" w:space="0" w:color="000000"/>
              <w:right w:val="nil"/>
            </w:tcBorders>
            <w:shd w:val="clear" w:color="auto" w:fill="auto"/>
            <w:vAlign w:val="center"/>
            <w:hideMark/>
          </w:tcPr>
          <w:p w14:paraId="116822D7" w14:textId="77777777" w:rsidR="0092411F" w:rsidRPr="003D27FE" w:rsidRDefault="0092411F" w:rsidP="00D8770B">
            <w:pPr>
              <w:rPr>
                <w:b/>
                <w:bCs/>
                <w:color w:val="000000"/>
                <w:sz w:val="20"/>
                <w:szCs w:val="20"/>
              </w:rPr>
            </w:pPr>
            <w:r w:rsidRPr="003D27FE">
              <w:rPr>
                <w:b/>
                <w:bCs/>
                <w:color w:val="000000"/>
                <w:sz w:val="20"/>
                <w:szCs w:val="20"/>
              </w:rPr>
              <w:t>Total trade and other payables</w:t>
            </w:r>
          </w:p>
        </w:tc>
        <w:tc>
          <w:tcPr>
            <w:tcW w:w="949" w:type="pct"/>
            <w:tcBorders>
              <w:top w:val="single" w:sz="12" w:space="0" w:color="auto"/>
              <w:left w:val="nil"/>
              <w:bottom w:val="single" w:sz="12" w:space="0" w:color="000000"/>
              <w:right w:val="nil"/>
            </w:tcBorders>
            <w:vAlign w:val="center"/>
          </w:tcPr>
          <w:p w14:paraId="630D3CE3" w14:textId="799D0CA5" w:rsidR="0092411F" w:rsidRPr="003D27FE" w:rsidRDefault="002F6E52" w:rsidP="00D8770B">
            <w:pPr>
              <w:jc w:val="right"/>
              <w:rPr>
                <w:b/>
                <w:bCs/>
                <w:color w:val="000000"/>
                <w:sz w:val="20"/>
                <w:szCs w:val="20"/>
              </w:rPr>
            </w:pPr>
            <w:r>
              <w:rPr>
                <w:b/>
                <w:bCs/>
                <w:color w:val="000000"/>
                <w:sz w:val="20"/>
                <w:szCs w:val="20"/>
              </w:rPr>
              <w:t>506</w:t>
            </w:r>
          </w:p>
        </w:tc>
        <w:tc>
          <w:tcPr>
            <w:tcW w:w="947" w:type="pct"/>
            <w:tcBorders>
              <w:top w:val="single" w:sz="12" w:space="0" w:color="auto"/>
              <w:left w:val="nil"/>
              <w:bottom w:val="single" w:sz="12" w:space="0" w:color="000000"/>
              <w:right w:val="nil"/>
            </w:tcBorders>
            <w:shd w:val="clear" w:color="auto" w:fill="auto"/>
            <w:vAlign w:val="center"/>
          </w:tcPr>
          <w:p w14:paraId="42E2348C" w14:textId="77777777" w:rsidR="0092411F" w:rsidRPr="003D27FE" w:rsidRDefault="0092411F" w:rsidP="00D8770B">
            <w:pPr>
              <w:jc w:val="right"/>
              <w:rPr>
                <w:b/>
                <w:bCs/>
                <w:color w:val="000000"/>
                <w:sz w:val="20"/>
                <w:szCs w:val="20"/>
              </w:rPr>
            </w:pPr>
            <w:r w:rsidRPr="003D27FE">
              <w:rPr>
                <w:b/>
                <w:bCs/>
                <w:color w:val="000000"/>
                <w:sz w:val="20"/>
                <w:szCs w:val="20"/>
              </w:rPr>
              <w:t>1,526</w:t>
            </w:r>
          </w:p>
        </w:tc>
      </w:tr>
    </w:tbl>
    <w:p w14:paraId="4967798A" w14:textId="77777777" w:rsidR="00226CCF" w:rsidRPr="003D27FE" w:rsidRDefault="00226CCF" w:rsidP="00226CCF">
      <w:pPr>
        <w:pStyle w:val="BodyText"/>
        <w:spacing w:before="3"/>
        <w:rPr>
          <w:rFonts w:ascii="Arial" w:hAnsi="Arial" w:cs="Arial"/>
          <w:b/>
          <w:sz w:val="20"/>
          <w:szCs w:val="20"/>
        </w:rPr>
      </w:pPr>
    </w:p>
    <w:p w14:paraId="21AE7AE0" w14:textId="77777777" w:rsidR="00226CCF" w:rsidRPr="003D27FE" w:rsidRDefault="00226CCF" w:rsidP="00226CCF">
      <w:pPr>
        <w:spacing w:before="92"/>
        <w:ind w:left="120"/>
        <w:rPr>
          <w:sz w:val="20"/>
          <w:szCs w:val="20"/>
        </w:rPr>
      </w:pPr>
      <w:r w:rsidRPr="003D27FE">
        <w:rPr>
          <w:sz w:val="20"/>
          <w:szCs w:val="20"/>
        </w:rPr>
        <w:t>The</w:t>
      </w:r>
      <w:r w:rsidRPr="003D27FE">
        <w:rPr>
          <w:spacing w:val="-2"/>
          <w:sz w:val="20"/>
          <w:szCs w:val="20"/>
        </w:rPr>
        <w:t xml:space="preserve"> </w:t>
      </w:r>
      <w:r w:rsidRPr="003D27FE">
        <w:rPr>
          <w:sz w:val="20"/>
          <w:szCs w:val="20"/>
        </w:rPr>
        <w:t>directors</w:t>
      </w:r>
      <w:r w:rsidRPr="003D27FE">
        <w:rPr>
          <w:spacing w:val="-1"/>
          <w:sz w:val="20"/>
          <w:szCs w:val="20"/>
        </w:rPr>
        <w:t xml:space="preserve"> </w:t>
      </w:r>
      <w:r w:rsidRPr="003D27FE">
        <w:rPr>
          <w:sz w:val="20"/>
          <w:szCs w:val="20"/>
        </w:rPr>
        <w:t>consider</w:t>
      </w:r>
      <w:r w:rsidRPr="003D27FE">
        <w:rPr>
          <w:spacing w:val="-2"/>
          <w:sz w:val="20"/>
          <w:szCs w:val="20"/>
        </w:rPr>
        <w:t xml:space="preserve"> </w:t>
      </w:r>
      <w:r w:rsidRPr="003D27FE">
        <w:rPr>
          <w:sz w:val="20"/>
          <w:szCs w:val="20"/>
        </w:rPr>
        <w:t>that</w:t>
      </w:r>
      <w:r w:rsidRPr="003D27FE">
        <w:rPr>
          <w:spacing w:val="-1"/>
          <w:sz w:val="20"/>
          <w:szCs w:val="20"/>
        </w:rPr>
        <w:t xml:space="preserve"> </w:t>
      </w:r>
      <w:r w:rsidRPr="003D27FE">
        <w:rPr>
          <w:sz w:val="20"/>
          <w:szCs w:val="20"/>
        </w:rPr>
        <w:t>the</w:t>
      </w:r>
      <w:r w:rsidRPr="003D27FE">
        <w:rPr>
          <w:spacing w:val="-2"/>
          <w:sz w:val="20"/>
          <w:szCs w:val="20"/>
        </w:rPr>
        <w:t xml:space="preserve"> </w:t>
      </w:r>
      <w:r w:rsidRPr="003D27FE">
        <w:rPr>
          <w:sz w:val="20"/>
          <w:szCs w:val="20"/>
        </w:rPr>
        <w:t>carrying</w:t>
      </w:r>
      <w:r w:rsidRPr="003D27FE">
        <w:rPr>
          <w:spacing w:val="-1"/>
          <w:sz w:val="20"/>
          <w:szCs w:val="20"/>
        </w:rPr>
        <w:t xml:space="preserve"> </w:t>
      </w:r>
      <w:r w:rsidRPr="003D27FE">
        <w:rPr>
          <w:sz w:val="20"/>
          <w:szCs w:val="20"/>
        </w:rPr>
        <w:t>value</w:t>
      </w:r>
      <w:r w:rsidRPr="003D27FE">
        <w:rPr>
          <w:spacing w:val="-4"/>
          <w:sz w:val="20"/>
          <w:szCs w:val="20"/>
        </w:rPr>
        <w:t xml:space="preserve"> </w:t>
      </w:r>
      <w:r w:rsidRPr="003D27FE">
        <w:rPr>
          <w:sz w:val="20"/>
          <w:szCs w:val="20"/>
        </w:rPr>
        <w:t>of</w:t>
      </w:r>
      <w:r w:rsidRPr="003D27FE">
        <w:rPr>
          <w:spacing w:val="-2"/>
          <w:sz w:val="20"/>
          <w:szCs w:val="20"/>
        </w:rPr>
        <w:t xml:space="preserve"> </w:t>
      </w:r>
      <w:r w:rsidRPr="003D27FE">
        <w:rPr>
          <w:sz w:val="20"/>
          <w:szCs w:val="20"/>
        </w:rPr>
        <w:t>trade</w:t>
      </w:r>
      <w:r w:rsidRPr="003D27FE">
        <w:rPr>
          <w:spacing w:val="-2"/>
          <w:sz w:val="20"/>
          <w:szCs w:val="20"/>
        </w:rPr>
        <w:t xml:space="preserve"> </w:t>
      </w:r>
      <w:r w:rsidRPr="003D27FE">
        <w:rPr>
          <w:sz w:val="20"/>
          <w:szCs w:val="20"/>
        </w:rPr>
        <w:t>and</w:t>
      </w:r>
      <w:r w:rsidRPr="003D27FE">
        <w:rPr>
          <w:spacing w:val="-2"/>
          <w:sz w:val="20"/>
          <w:szCs w:val="20"/>
        </w:rPr>
        <w:t xml:space="preserve"> </w:t>
      </w:r>
      <w:r w:rsidRPr="003D27FE">
        <w:rPr>
          <w:sz w:val="20"/>
          <w:szCs w:val="20"/>
        </w:rPr>
        <w:t>other</w:t>
      </w:r>
      <w:r w:rsidRPr="003D27FE">
        <w:rPr>
          <w:spacing w:val="-5"/>
          <w:sz w:val="20"/>
          <w:szCs w:val="20"/>
        </w:rPr>
        <w:t xml:space="preserve"> </w:t>
      </w:r>
      <w:r w:rsidRPr="003D27FE">
        <w:rPr>
          <w:sz w:val="20"/>
          <w:szCs w:val="20"/>
        </w:rPr>
        <w:t>payables is</w:t>
      </w:r>
      <w:r w:rsidRPr="003D27FE">
        <w:rPr>
          <w:spacing w:val="-4"/>
          <w:sz w:val="20"/>
          <w:szCs w:val="20"/>
        </w:rPr>
        <w:t xml:space="preserve"> </w:t>
      </w:r>
      <w:r w:rsidRPr="003D27FE">
        <w:rPr>
          <w:sz w:val="20"/>
          <w:szCs w:val="20"/>
        </w:rPr>
        <w:t>approximately equal</w:t>
      </w:r>
      <w:r w:rsidRPr="003D27FE">
        <w:rPr>
          <w:spacing w:val="-4"/>
          <w:sz w:val="20"/>
          <w:szCs w:val="20"/>
        </w:rPr>
        <w:t xml:space="preserve"> </w:t>
      </w:r>
      <w:r w:rsidRPr="003D27FE">
        <w:rPr>
          <w:sz w:val="20"/>
          <w:szCs w:val="20"/>
        </w:rPr>
        <w:t>to their</w:t>
      </w:r>
      <w:r w:rsidRPr="003D27FE">
        <w:rPr>
          <w:spacing w:val="-3"/>
          <w:sz w:val="20"/>
          <w:szCs w:val="20"/>
        </w:rPr>
        <w:t xml:space="preserve"> </w:t>
      </w:r>
      <w:r w:rsidRPr="003D27FE">
        <w:rPr>
          <w:sz w:val="20"/>
          <w:szCs w:val="20"/>
        </w:rPr>
        <w:t>fair</w:t>
      </w:r>
      <w:r w:rsidRPr="003D27FE">
        <w:rPr>
          <w:spacing w:val="-2"/>
          <w:sz w:val="20"/>
          <w:szCs w:val="20"/>
        </w:rPr>
        <w:t xml:space="preserve"> </w:t>
      </w:r>
      <w:r w:rsidRPr="003D27FE">
        <w:rPr>
          <w:sz w:val="20"/>
          <w:szCs w:val="20"/>
        </w:rPr>
        <w:t>value.</w:t>
      </w:r>
    </w:p>
    <w:p w14:paraId="3DACB1C0" w14:textId="77777777" w:rsidR="00226CCF" w:rsidRPr="003D27FE" w:rsidRDefault="00226CCF" w:rsidP="00226CCF">
      <w:pPr>
        <w:pStyle w:val="ListParagraph"/>
        <w:tabs>
          <w:tab w:val="left" w:pos="839"/>
          <w:tab w:val="left" w:pos="840"/>
        </w:tabs>
        <w:rPr>
          <w:rFonts w:ascii="Arial" w:hAnsi="Arial" w:cs="Arial"/>
          <w:b/>
          <w:sz w:val="20"/>
          <w:szCs w:val="20"/>
        </w:rPr>
      </w:pPr>
    </w:p>
    <w:p w14:paraId="252BEC71" w14:textId="77777777" w:rsidR="00226CCF" w:rsidRPr="003D27FE" w:rsidRDefault="00226CCF" w:rsidP="00226CCF">
      <w:pPr>
        <w:pStyle w:val="ListParagraph"/>
        <w:tabs>
          <w:tab w:val="left" w:pos="839"/>
          <w:tab w:val="left" w:pos="840"/>
        </w:tabs>
        <w:rPr>
          <w:rFonts w:ascii="Arial" w:hAnsi="Arial" w:cs="Arial"/>
          <w:b/>
          <w:sz w:val="20"/>
          <w:szCs w:val="20"/>
        </w:rPr>
      </w:pPr>
    </w:p>
    <w:p w14:paraId="211A6ECA" w14:textId="77777777" w:rsidR="00226CCF" w:rsidRPr="003D27FE" w:rsidRDefault="00226CCF" w:rsidP="00226CCF">
      <w:pPr>
        <w:pStyle w:val="ListParagraph"/>
        <w:widowControl w:val="0"/>
        <w:numPr>
          <w:ilvl w:val="0"/>
          <w:numId w:val="5"/>
        </w:numPr>
        <w:tabs>
          <w:tab w:val="left" w:pos="839"/>
          <w:tab w:val="left" w:pos="840"/>
        </w:tabs>
        <w:autoSpaceDE w:val="0"/>
        <w:autoSpaceDN w:val="0"/>
        <w:spacing w:before="80"/>
        <w:contextualSpacing w:val="0"/>
        <w:rPr>
          <w:rFonts w:ascii="Arial" w:hAnsi="Arial" w:cs="Arial"/>
          <w:b/>
          <w:sz w:val="20"/>
          <w:szCs w:val="20"/>
        </w:rPr>
      </w:pPr>
      <w:r w:rsidRPr="003D27FE">
        <w:rPr>
          <w:rFonts w:ascii="Arial" w:hAnsi="Arial" w:cs="Arial"/>
          <w:b/>
          <w:sz w:val="20"/>
          <w:szCs w:val="20"/>
        </w:rPr>
        <w:t>Share-based</w:t>
      </w:r>
      <w:r w:rsidRPr="003D27FE">
        <w:rPr>
          <w:rFonts w:ascii="Arial" w:hAnsi="Arial" w:cs="Arial"/>
          <w:b/>
          <w:spacing w:val="-3"/>
          <w:sz w:val="20"/>
          <w:szCs w:val="20"/>
        </w:rPr>
        <w:t xml:space="preserve"> </w:t>
      </w:r>
      <w:r w:rsidRPr="003D27FE">
        <w:rPr>
          <w:rFonts w:ascii="Arial" w:hAnsi="Arial" w:cs="Arial"/>
          <w:b/>
          <w:sz w:val="20"/>
          <w:szCs w:val="20"/>
        </w:rPr>
        <w:t>payments</w:t>
      </w:r>
    </w:p>
    <w:p w14:paraId="0E18F6A8" w14:textId="77777777" w:rsidR="00226CCF" w:rsidRPr="003D27FE" w:rsidRDefault="00226CCF" w:rsidP="00226CCF">
      <w:pPr>
        <w:pStyle w:val="BodyText"/>
        <w:rPr>
          <w:rFonts w:ascii="Arial" w:hAnsi="Arial" w:cs="Arial"/>
          <w:b/>
          <w:sz w:val="20"/>
          <w:szCs w:val="20"/>
        </w:rPr>
      </w:pPr>
    </w:p>
    <w:p w14:paraId="6EBB3224" w14:textId="77777777" w:rsidR="00226CCF" w:rsidRPr="003D27FE" w:rsidRDefault="00226CCF" w:rsidP="00226CCF">
      <w:pPr>
        <w:ind w:left="119"/>
        <w:rPr>
          <w:sz w:val="20"/>
          <w:szCs w:val="20"/>
        </w:rPr>
      </w:pPr>
      <w:r w:rsidRPr="003D27FE">
        <w:rPr>
          <w:sz w:val="20"/>
          <w:szCs w:val="20"/>
        </w:rPr>
        <w:t>The</w:t>
      </w:r>
      <w:r w:rsidRPr="003D27FE">
        <w:rPr>
          <w:spacing w:val="-2"/>
          <w:sz w:val="20"/>
          <w:szCs w:val="20"/>
        </w:rPr>
        <w:t xml:space="preserve"> </w:t>
      </w:r>
      <w:r w:rsidRPr="003D27FE">
        <w:rPr>
          <w:sz w:val="20"/>
          <w:szCs w:val="20"/>
        </w:rPr>
        <w:t>following</w:t>
      </w:r>
      <w:r w:rsidRPr="003D27FE">
        <w:rPr>
          <w:spacing w:val="-3"/>
          <w:sz w:val="20"/>
          <w:szCs w:val="20"/>
        </w:rPr>
        <w:t xml:space="preserve"> </w:t>
      </w:r>
      <w:r w:rsidRPr="003D27FE">
        <w:rPr>
          <w:sz w:val="20"/>
          <w:szCs w:val="20"/>
        </w:rPr>
        <w:t>options</w:t>
      </w:r>
      <w:r w:rsidRPr="003D27FE">
        <w:rPr>
          <w:spacing w:val="-4"/>
          <w:sz w:val="20"/>
          <w:szCs w:val="20"/>
        </w:rPr>
        <w:t xml:space="preserve"> </w:t>
      </w:r>
      <w:r w:rsidRPr="003D27FE">
        <w:rPr>
          <w:sz w:val="20"/>
          <w:szCs w:val="20"/>
        </w:rPr>
        <w:t>and</w:t>
      </w:r>
      <w:r w:rsidRPr="003D27FE">
        <w:rPr>
          <w:spacing w:val="-1"/>
          <w:sz w:val="20"/>
          <w:szCs w:val="20"/>
        </w:rPr>
        <w:t xml:space="preserve"> </w:t>
      </w:r>
      <w:r w:rsidRPr="003D27FE">
        <w:rPr>
          <w:sz w:val="20"/>
          <w:szCs w:val="20"/>
        </w:rPr>
        <w:t>warrants</w:t>
      </w:r>
      <w:r w:rsidRPr="003D27FE">
        <w:rPr>
          <w:spacing w:val="-1"/>
          <w:sz w:val="20"/>
          <w:szCs w:val="20"/>
        </w:rPr>
        <w:t xml:space="preserve"> </w:t>
      </w:r>
      <w:r w:rsidRPr="003D27FE">
        <w:rPr>
          <w:sz w:val="20"/>
          <w:szCs w:val="20"/>
        </w:rPr>
        <w:t>over</w:t>
      </w:r>
      <w:r w:rsidRPr="003D27FE">
        <w:rPr>
          <w:spacing w:val="-4"/>
          <w:sz w:val="20"/>
          <w:szCs w:val="20"/>
        </w:rPr>
        <w:t xml:space="preserve"> </w:t>
      </w:r>
      <w:r w:rsidRPr="003D27FE">
        <w:rPr>
          <w:sz w:val="20"/>
          <w:szCs w:val="20"/>
        </w:rPr>
        <w:t>ordinary</w:t>
      </w:r>
      <w:r w:rsidRPr="003D27FE">
        <w:rPr>
          <w:spacing w:val="-1"/>
          <w:sz w:val="20"/>
          <w:szCs w:val="20"/>
        </w:rPr>
        <w:t xml:space="preserve"> </w:t>
      </w:r>
      <w:r w:rsidRPr="003D27FE">
        <w:rPr>
          <w:sz w:val="20"/>
          <w:szCs w:val="20"/>
        </w:rPr>
        <w:t>shares</w:t>
      </w:r>
      <w:r w:rsidRPr="003D27FE">
        <w:rPr>
          <w:spacing w:val="-1"/>
          <w:sz w:val="20"/>
          <w:szCs w:val="20"/>
        </w:rPr>
        <w:t xml:space="preserve"> </w:t>
      </w:r>
      <w:r w:rsidRPr="003D27FE">
        <w:rPr>
          <w:sz w:val="20"/>
          <w:szCs w:val="20"/>
        </w:rPr>
        <w:t>have</w:t>
      </w:r>
      <w:r w:rsidRPr="003D27FE">
        <w:rPr>
          <w:spacing w:val="-5"/>
          <w:sz w:val="20"/>
          <w:szCs w:val="20"/>
        </w:rPr>
        <w:t xml:space="preserve"> </w:t>
      </w:r>
      <w:r w:rsidRPr="003D27FE">
        <w:rPr>
          <w:sz w:val="20"/>
          <w:szCs w:val="20"/>
        </w:rPr>
        <w:t>been</w:t>
      </w:r>
      <w:r w:rsidRPr="003D27FE">
        <w:rPr>
          <w:spacing w:val="-1"/>
          <w:sz w:val="20"/>
          <w:szCs w:val="20"/>
        </w:rPr>
        <w:t xml:space="preserve"> </w:t>
      </w:r>
      <w:r w:rsidRPr="003D27FE">
        <w:rPr>
          <w:sz w:val="20"/>
          <w:szCs w:val="20"/>
        </w:rPr>
        <w:t>granted</w:t>
      </w:r>
      <w:r w:rsidRPr="003D27FE">
        <w:rPr>
          <w:spacing w:val="-3"/>
          <w:sz w:val="20"/>
          <w:szCs w:val="20"/>
        </w:rPr>
        <w:t xml:space="preserve"> </w:t>
      </w:r>
      <w:r w:rsidRPr="003D27FE">
        <w:rPr>
          <w:sz w:val="20"/>
          <w:szCs w:val="20"/>
        </w:rPr>
        <w:t>by</w:t>
      </w:r>
      <w:r w:rsidRPr="003D27FE">
        <w:rPr>
          <w:spacing w:val="-1"/>
          <w:sz w:val="20"/>
          <w:szCs w:val="20"/>
        </w:rPr>
        <w:t xml:space="preserve"> </w:t>
      </w:r>
      <w:r w:rsidRPr="003D27FE">
        <w:rPr>
          <w:sz w:val="20"/>
          <w:szCs w:val="20"/>
        </w:rPr>
        <w:t>the</w:t>
      </w:r>
      <w:r w:rsidRPr="003D27FE">
        <w:rPr>
          <w:spacing w:val="-2"/>
          <w:sz w:val="20"/>
          <w:szCs w:val="20"/>
        </w:rPr>
        <w:t xml:space="preserve"> </w:t>
      </w:r>
      <w:r w:rsidRPr="003D27FE">
        <w:rPr>
          <w:sz w:val="20"/>
          <w:szCs w:val="20"/>
        </w:rPr>
        <w:t>Company</w:t>
      </w:r>
      <w:r w:rsidRPr="003D27FE">
        <w:rPr>
          <w:spacing w:val="-1"/>
          <w:sz w:val="20"/>
          <w:szCs w:val="20"/>
        </w:rPr>
        <w:t xml:space="preserve"> </w:t>
      </w:r>
      <w:r w:rsidRPr="003D27FE">
        <w:rPr>
          <w:sz w:val="20"/>
          <w:szCs w:val="20"/>
        </w:rPr>
        <w:t>and</w:t>
      </w:r>
      <w:r w:rsidRPr="003D27FE">
        <w:rPr>
          <w:spacing w:val="-1"/>
          <w:sz w:val="20"/>
          <w:szCs w:val="20"/>
        </w:rPr>
        <w:t xml:space="preserve"> </w:t>
      </w:r>
      <w:r w:rsidRPr="003D27FE">
        <w:rPr>
          <w:sz w:val="20"/>
          <w:szCs w:val="20"/>
        </w:rPr>
        <w:t>are</w:t>
      </w:r>
      <w:r w:rsidRPr="003D27FE">
        <w:rPr>
          <w:spacing w:val="-2"/>
          <w:sz w:val="20"/>
          <w:szCs w:val="20"/>
        </w:rPr>
        <w:t xml:space="preserve"> </w:t>
      </w:r>
      <w:r w:rsidRPr="003D27FE">
        <w:rPr>
          <w:sz w:val="20"/>
          <w:szCs w:val="20"/>
        </w:rPr>
        <w:t>outstanding:</w:t>
      </w:r>
    </w:p>
    <w:p w14:paraId="1E7F883D" w14:textId="77777777" w:rsidR="00226CCF" w:rsidRPr="003D27FE" w:rsidRDefault="00226CCF" w:rsidP="00226CCF">
      <w:pPr>
        <w:ind w:left="119"/>
        <w:rPr>
          <w:sz w:val="20"/>
          <w:szCs w:val="20"/>
        </w:rPr>
      </w:pPr>
    </w:p>
    <w:tbl>
      <w:tblPr>
        <w:tblW w:w="4943" w:type="pct"/>
        <w:tblLook w:val="04A0" w:firstRow="1" w:lastRow="0" w:firstColumn="1" w:lastColumn="0" w:noHBand="0" w:noVBand="1"/>
      </w:tblPr>
      <w:tblGrid>
        <w:gridCol w:w="2104"/>
        <w:gridCol w:w="2380"/>
        <w:gridCol w:w="1542"/>
        <w:gridCol w:w="3503"/>
      </w:tblGrid>
      <w:tr w:rsidR="00226CCF" w:rsidRPr="003D27FE" w14:paraId="62B0C0D3" w14:textId="77777777" w:rsidTr="00075FBF">
        <w:trPr>
          <w:trHeight w:val="588"/>
        </w:trPr>
        <w:tc>
          <w:tcPr>
            <w:tcW w:w="1104" w:type="pct"/>
            <w:tcBorders>
              <w:top w:val="nil"/>
              <w:left w:val="nil"/>
              <w:bottom w:val="single" w:sz="8" w:space="0" w:color="auto"/>
              <w:right w:val="nil"/>
            </w:tcBorders>
            <w:shd w:val="clear" w:color="auto" w:fill="auto"/>
            <w:vAlign w:val="center"/>
            <w:hideMark/>
          </w:tcPr>
          <w:p w14:paraId="1D9A5B10" w14:textId="77777777" w:rsidR="00226CCF" w:rsidRPr="003D27FE" w:rsidRDefault="00226CCF" w:rsidP="00075FBF">
            <w:pPr>
              <w:rPr>
                <w:b/>
                <w:bCs/>
                <w:color w:val="000000"/>
                <w:sz w:val="20"/>
                <w:szCs w:val="20"/>
              </w:rPr>
            </w:pPr>
            <w:r w:rsidRPr="003D27FE">
              <w:rPr>
                <w:b/>
                <w:bCs/>
                <w:color w:val="000000"/>
                <w:spacing w:val="-2"/>
                <w:sz w:val="20"/>
                <w:szCs w:val="20"/>
              </w:rPr>
              <w:t>Grant Date</w:t>
            </w:r>
          </w:p>
        </w:tc>
        <w:tc>
          <w:tcPr>
            <w:tcW w:w="1249" w:type="pct"/>
            <w:tcBorders>
              <w:top w:val="nil"/>
              <w:left w:val="nil"/>
              <w:bottom w:val="single" w:sz="8" w:space="0" w:color="auto"/>
              <w:right w:val="nil"/>
            </w:tcBorders>
            <w:shd w:val="clear" w:color="auto" w:fill="auto"/>
            <w:vAlign w:val="center"/>
            <w:hideMark/>
          </w:tcPr>
          <w:p w14:paraId="45A4328E" w14:textId="77777777" w:rsidR="00226CCF" w:rsidRPr="003D27FE" w:rsidRDefault="00226CCF" w:rsidP="00075FBF">
            <w:pPr>
              <w:jc w:val="center"/>
              <w:rPr>
                <w:b/>
                <w:bCs/>
                <w:color w:val="000000"/>
                <w:sz w:val="20"/>
                <w:szCs w:val="20"/>
              </w:rPr>
            </w:pPr>
            <w:r w:rsidRPr="003D27FE">
              <w:rPr>
                <w:b/>
                <w:bCs/>
                <w:color w:val="000000"/>
                <w:spacing w:val="-2"/>
                <w:sz w:val="20"/>
                <w:szCs w:val="20"/>
              </w:rPr>
              <w:t>Outstanding Warrants</w:t>
            </w:r>
          </w:p>
        </w:tc>
        <w:tc>
          <w:tcPr>
            <w:tcW w:w="809" w:type="pct"/>
            <w:tcBorders>
              <w:top w:val="nil"/>
              <w:left w:val="nil"/>
              <w:bottom w:val="single" w:sz="8" w:space="0" w:color="auto"/>
              <w:right w:val="nil"/>
            </w:tcBorders>
            <w:shd w:val="clear" w:color="auto" w:fill="auto"/>
            <w:vAlign w:val="center"/>
            <w:hideMark/>
          </w:tcPr>
          <w:p w14:paraId="47343ED6" w14:textId="77777777" w:rsidR="00226CCF" w:rsidRPr="003D27FE" w:rsidRDefault="00226CCF" w:rsidP="00075FBF">
            <w:pPr>
              <w:jc w:val="center"/>
              <w:rPr>
                <w:b/>
                <w:bCs/>
                <w:color w:val="000000"/>
                <w:sz w:val="20"/>
                <w:szCs w:val="20"/>
              </w:rPr>
            </w:pPr>
            <w:r w:rsidRPr="003D27FE">
              <w:rPr>
                <w:b/>
                <w:bCs/>
                <w:color w:val="000000"/>
                <w:sz w:val="20"/>
                <w:szCs w:val="20"/>
              </w:rPr>
              <w:t>Exercise Price</w:t>
            </w:r>
          </w:p>
        </w:tc>
        <w:tc>
          <w:tcPr>
            <w:tcW w:w="1838" w:type="pct"/>
            <w:tcBorders>
              <w:top w:val="nil"/>
              <w:left w:val="nil"/>
              <w:bottom w:val="single" w:sz="8" w:space="0" w:color="auto"/>
              <w:right w:val="nil"/>
            </w:tcBorders>
            <w:shd w:val="clear" w:color="auto" w:fill="auto"/>
            <w:vAlign w:val="center"/>
            <w:hideMark/>
          </w:tcPr>
          <w:p w14:paraId="3A5B7BFF" w14:textId="77777777" w:rsidR="00226CCF" w:rsidRPr="003D27FE" w:rsidRDefault="00226CCF" w:rsidP="00075FBF">
            <w:pPr>
              <w:jc w:val="center"/>
              <w:rPr>
                <w:b/>
                <w:bCs/>
                <w:color w:val="000000"/>
                <w:sz w:val="20"/>
                <w:szCs w:val="20"/>
              </w:rPr>
            </w:pPr>
            <w:r w:rsidRPr="003D27FE">
              <w:rPr>
                <w:b/>
                <w:bCs/>
                <w:color w:val="000000"/>
                <w:spacing w:val="-2"/>
                <w:sz w:val="20"/>
                <w:szCs w:val="20"/>
              </w:rPr>
              <w:t>Expiry date</w:t>
            </w:r>
          </w:p>
        </w:tc>
      </w:tr>
      <w:tr w:rsidR="00226CCF" w:rsidRPr="003D27FE" w14:paraId="5CD81ED5" w14:textId="77777777" w:rsidTr="00075FBF">
        <w:trPr>
          <w:trHeight w:val="300"/>
        </w:trPr>
        <w:tc>
          <w:tcPr>
            <w:tcW w:w="1104" w:type="pct"/>
            <w:tcBorders>
              <w:top w:val="nil"/>
              <w:left w:val="nil"/>
              <w:right w:val="nil"/>
            </w:tcBorders>
            <w:shd w:val="clear" w:color="auto" w:fill="auto"/>
            <w:vAlign w:val="center"/>
            <w:hideMark/>
          </w:tcPr>
          <w:p w14:paraId="1BAD25B2" w14:textId="77777777" w:rsidR="00226CCF" w:rsidRPr="003D27FE" w:rsidRDefault="00226CCF" w:rsidP="00075FBF">
            <w:pPr>
              <w:rPr>
                <w:color w:val="000000"/>
                <w:sz w:val="20"/>
                <w:szCs w:val="20"/>
              </w:rPr>
            </w:pPr>
            <w:r w:rsidRPr="003D27FE">
              <w:rPr>
                <w:color w:val="000000"/>
                <w:sz w:val="20"/>
                <w:szCs w:val="20"/>
              </w:rPr>
              <w:t>02-Oct-20</w:t>
            </w:r>
          </w:p>
        </w:tc>
        <w:tc>
          <w:tcPr>
            <w:tcW w:w="1249" w:type="pct"/>
            <w:tcBorders>
              <w:top w:val="nil"/>
              <w:left w:val="nil"/>
              <w:right w:val="nil"/>
            </w:tcBorders>
            <w:shd w:val="clear" w:color="auto" w:fill="auto"/>
            <w:vAlign w:val="center"/>
            <w:hideMark/>
          </w:tcPr>
          <w:p w14:paraId="5C8BEDC3" w14:textId="77777777" w:rsidR="00226CCF" w:rsidRPr="003D27FE" w:rsidRDefault="00226CCF" w:rsidP="00075FBF">
            <w:pPr>
              <w:jc w:val="right"/>
              <w:rPr>
                <w:color w:val="000000"/>
                <w:sz w:val="20"/>
                <w:szCs w:val="20"/>
              </w:rPr>
            </w:pPr>
            <w:r w:rsidRPr="003D27FE">
              <w:rPr>
                <w:color w:val="000000"/>
                <w:sz w:val="20"/>
                <w:szCs w:val="20"/>
              </w:rPr>
              <w:t>20,584,694</w:t>
            </w:r>
          </w:p>
        </w:tc>
        <w:tc>
          <w:tcPr>
            <w:tcW w:w="809" w:type="pct"/>
            <w:tcBorders>
              <w:top w:val="nil"/>
              <w:left w:val="nil"/>
              <w:bottom w:val="nil"/>
              <w:right w:val="nil"/>
            </w:tcBorders>
            <w:shd w:val="clear" w:color="auto" w:fill="auto"/>
            <w:vAlign w:val="center"/>
            <w:hideMark/>
          </w:tcPr>
          <w:p w14:paraId="7F2D3258" w14:textId="77777777" w:rsidR="00226CCF" w:rsidRPr="003D27FE" w:rsidRDefault="00226CCF" w:rsidP="00075FBF">
            <w:pPr>
              <w:jc w:val="center"/>
              <w:rPr>
                <w:color w:val="000000"/>
                <w:sz w:val="20"/>
                <w:szCs w:val="20"/>
              </w:rPr>
            </w:pPr>
            <w:r w:rsidRPr="003D27FE">
              <w:rPr>
                <w:color w:val="000000"/>
                <w:sz w:val="20"/>
                <w:szCs w:val="20"/>
              </w:rPr>
              <w:t>£0.104</w:t>
            </w:r>
          </w:p>
        </w:tc>
        <w:tc>
          <w:tcPr>
            <w:tcW w:w="1838" w:type="pct"/>
            <w:tcBorders>
              <w:top w:val="nil"/>
              <w:left w:val="nil"/>
              <w:bottom w:val="nil"/>
              <w:right w:val="nil"/>
            </w:tcBorders>
            <w:shd w:val="clear" w:color="auto" w:fill="auto"/>
            <w:vAlign w:val="center"/>
            <w:hideMark/>
          </w:tcPr>
          <w:p w14:paraId="03F15860" w14:textId="77777777" w:rsidR="00226CCF" w:rsidRPr="003D27FE" w:rsidRDefault="00226CCF" w:rsidP="00075FBF">
            <w:pPr>
              <w:jc w:val="center"/>
              <w:rPr>
                <w:color w:val="000000"/>
                <w:sz w:val="20"/>
                <w:szCs w:val="20"/>
              </w:rPr>
            </w:pPr>
            <w:r w:rsidRPr="003D27FE">
              <w:rPr>
                <w:color w:val="000000"/>
                <w:sz w:val="20"/>
                <w:szCs w:val="20"/>
              </w:rPr>
              <w:t>5 years from issue</w:t>
            </w:r>
          </w:p>
        </w:tc>
      </w:tr>
      <w:tr w:rsidR="00226CCF" w:rsidRPr="003D27FE" w14:paraId="4EF8D5BE" w14:textId="77777777" w:rsidTr="00075FBF">
        <w:trPr>
          <w:trHeight w:val="300"/>
        </w:trPr>
        <w:tc>
          <w:tcPr>
            <w:tcW w:w="1104" w:type="pct"/>
            <w:tcBorders>
              <w:top w:val="nil"/>
              <w:left w:val="nil"/>
              <w:right w:val="nil"/>
            </w:tcBorders>
            <w:shd w:val="clear" w:color="auto" w:fill="auto"/>
            <w:vAlign w:val="center"/>
          </w:tcPr>
          <w:p w14:paraId="6A23C7EA" w14:textId="77777777" w:rsidR="00226CCF" w:rsidRPr="003D27FE" w:rsidRDefault="00226CCF" w:rsidP="00075FBF">
            <w:pPr>
              <w:rPr>
                <w:color w:val="000000"/>
                <w:sz w:val="20"/>
                <w:szCs w:val="20"/>
              </w:rPr>
            </w:pPr>
            <w:r w:rsidRPr="003D27FE">
              <w:rPr>
                <w:color w:val="000000"/>
                <w:sz w:val="20"/>
                <w:szCs w:val="20"/>
              </w:rPr>
              <w:t>27-Sep-22</w:t>
            </w:r>
          </w:p>
        </w:tc>
        <w:tc>
          <w:tcPr>
            <w:tcW w:w="1249" w:type="pct"/>
            <w:tcBorders>
              <w:top w:val="nil"/>
              <w:left w:val="nil"/>
              <w:right w:val="nil"/>
            </w:tcBorders>
            <w:shd w:val="clear" w:color="auto" w:fill="auto"/>
            <w:vAlign w:val="center"/>
          </w:tcPr>
          <w:p w14:paraId="79B9437B" w14:textId="77777777" w:rsidR="00226CCF" w:rsidRPr="003D27FE" w:rsidRDefault="00226CCF" w:rsidP="00075FBF">
            <w:pPr>
              <w:jc w:val="right"/>
              <w:rPr>
                <w:color w:val="000000"/>
                <w:sz w:val="20"/>
                <w:szCs w:val="20"/>
              </w:rPr>
            </w:pPr>
            <w:r w:rsidRPr="003D27FE">
              <w:rPr>
                <w:color w:val="000000"/>
                <w:sz w:val="20"/>
                <w:szCs w:val="20"/>
              </w:rPr>
              <w:t>25,930,868</w:t>
            </w:r>
          </w:p>
        </w:tc>
        <w:tc>
          <w:tcPr>
            <w:tcW w:w="809" w:type="pct"/>
            <w:tcBorders>
              <w:top w:val="nil"/>
              <w:left w:val="nil"/>
              <w:right w:val="nil"/>
            </w:tcBorders>
            <w:shd w:val="clear" w:color="auto" w:fill="auto"/>
            <w:vAlign w:val="center"/>
          </w:tcPr>
          <w:p w14:paraId="535EBFF7" w14:textId="77777777" w:rsidR="00226CCF" w:rsidRPr="003D27FE" w:rsidRDefault="00226CCF" w:rsidP="00075FBF">
            <w:pPr>
              <w:jc w:val="center"/>
              <w:rPr>
                <w:color w:val="000000"/>
                <w:sz w:val="20"/>
                <w:szCs w:val="20"/>
              </w:rPr>
            </w:pPr>
            <w:r w:rsidRPr="003D27FE">
              <w:rPr>
                <w:color w:val="000000"/>
                <w:sz w:val="20"/>
                <w:szCs w:val="20"/>
              </w:rPr>
              <w:t>£0.027</w:t>
            </w:r>
          </w:p>
        </w:tc>
        <w:tc>
          <w:tcPr>
            <w:tcW w:w="1838" w:type="pct"/>
            <w:tcBorders>
              <w:top w:val="nil"/>
              <w:left w:val="nil"/>
              <w:right w:val="nil"/>
            </w:tcBorders>
            <w:shd w:val="clear" w:color="auto" w:fill="auto"/>
            <w:vAlign w:val="center"/>
          </w:tcPr>
          <w:p w14:paraId="74F7515A" w14:textId="77777777" w:rsidR="00226CCF" w:rsidRPr="003D27FE" w:rsidRDefault="00226CCF" w:rsidP="00075FBF">
            <w:pPr>
              <w:jc w:val="center"/>
              <w:rPr>
                <w:color w:val="000000"/>
                <w:sz w:val="20"/>
                <w:szCs w:val="20"/>
              </w:rPr>
            </w:pPr>
            <w:r w:rsidRPr="003D27FE">
              <w:rPr>
                <w:color w:val="000000"/>
                <w:sz w:val="20"/>
                <w:szCs w:val="20"/>
              </w:rPr>
              <w:t>5 years from grant</w:t>
            </w:r>
          </w:p>
        </w:tc>
      </w:tr>
      <w:tr w:rsidR="00226CCF" w:rsidRPr="003D27FE" w14:paraId="1FB2C7D8" w14:textId="77777777" w:rsidTr="00075FBF">
        <w:trPr>
          <w:trHeight w:val="568"/>
        </w:trPr>
        <w:tc>
          <w:tcPr>
            <w:tcW w:w="1104" w:type="pct"/>
            <w:tcBorders>
              <w:left w:val="nil"/>
              <w:right w:val="nil"/>
            </w:tcBorders>
            <w:shd w:val="clear" w:color="auto" w:fill="auto"/>
            <w:vAlign w:val="center"/>
          </w:tcPr>
          <w:p w14:paraId="3B2CB12A" w14:textId="77777777" w:rsidR="00226CCF" w:rsidRPr="003D27FE" w:rsidRDefault="00226CCF" w:rsidP="00075FBF">
            <w:pPr>
              <w:rPr>
                <w:color w:val="000000"/>
                <w:sz w:val="20"/>
                <w:szCs w:val="20"/>
              </w:rPr>
            </w:pPr>
            <w:r w:rsidRPr="003D27FE">
              <w:rPr>
                <w:b/>
                <w:bCs/>
                <w:color w:val="000000"/>
                <w:spacing w:val="-2"/>
                <w:sz w:val="20"/>
                <w:szCs w:val="20"/>
              </w:rPr>
              <w:t>Grant Date</w:t>
            </w:r>
          </w:p>
        </w:tc>
        <w:tc>
          <w:tcPr>
            <w:tcW w:w="1249" w:type="pct"/>
            <w:tcBorders>
              <w:left w:val="nil"/>
              <w:right w:val="nil"/>
            </w:tcBorders>
            <w:shd w:val="clear" w:color="auto" w:fill="auto"/>
            <w:vAlign w:val="center"/>
          </w:tcPr>
          <w:p w14:paraId="3C957B9D" w14:textId="77777777" w:rsidR="00226CCF" w:rsidRPr="003D27FE" w:rsidRDefault="00226CCF" w:rsidP="00075FBF">
            <w:pPr>
              <w:jc w:val="right"/>
              <w:rPr>
                <w:color w:val="000000"/>
                <w:sz w:val="20"/>
                <w:szCs w:val="20"/>
              </w:rPr>
            </w:pPr>
            <w:r w:rsidRPr="003D27FE">
              <w:rPr>
                <w:b/>
                <w:bCs/>
                <w:color w:val="000000"/>
                <w:spacing w:val="-2"/>
                <w:sz w:val="20"/>
                <w:szCs w:val="20"/>
              </w:rPr>
              <w:t>Outstanding Warrants</w:t>
            </w:r>
          </w:p>
        </w:tc>
        <w:tc>
          <w:tcPr>
            <w:tcW w:w="809" w:type="pct"/>
            <w:tcBorders>
              <w:top w:val="nil"/>
              <w:left w:val="nil"/>
              <w:right w:val="nil"/>
            </w:tcBorders>
            <w:shd w:val="clear" w:color="auto" w:fill="auto"/>
            <w:vAlign w:val="center"/>
          </w:tcPr>
          <w:p w14:paraId="4DB40A54" w14:textId="77777777" w:rsidR="00226CCF" w:rsidRPr="003D27FE" w:rsidRDefault="00226CCF" w:rsidP="00075FBF">
            <w:pPr>
              <w:jc w:val="center"/>
              <w:rPr>
                <w:color w:val="000000"/>
                <w:sz w:val="20"/>
                <w:szCs w:val="20"/>
              </w:rPr>
            </w:pPr>
            <w:r w:rsidRPr="003D27FE">
              <w:rPr>
                <w:b/>
                <w:bCs/>
                <w:color w:val="000000"/>
                <w:sz w:val="20"/>
                <w:szCs w:val="20"/>
              </w:rPr>
              <w:t>Exercise Price</w:t>
            </w:r>
          </w:p>
        </w:tc>
        <w:tc>
          <w:tcPr>
            <w:tcW w:w="1838" w:type="pct"/>
            <w:tcBorders>
              <w:top w:val="nil"/>
              <w:left w:val="nil"/>
              <w:right w:val="nil"/>
            </w:tcBorders>
            <w:shd w:val="clear" w:color="auto" w:fill="auto"/>
            <w:vAlign w:val="center"/>
          </w:tcPr>
          <w:p w14:paraId="0EFD1F9F" w14:textId="77777777" w:rsidR="00226CCF" w:rsidRPr="003D27FE" w:rsidRDefault="00226CCF" w:rsidP="00075FBF">
            <w:pPr>
              <w:jc w:val="center"/>
              <w:rPr>
                <w:color w:val="000000"/>
                <w:sz w:val="20"/>
                <w:szCs w:val="20"/>
              </w:rPr>
            </w:pPr>
            <w:r w:rsidRPr="003D27FE">
              <w:rPr>
                <w:b/>
                <w:bCs/>
                <w:color w:val="000000"/>
                <w:spacing w:val="-2"/>
                <w:sz w:val="20"/>
                <w:szCs w:val="20"/>
              </w:rPr>
              <w:t>Expiry date</w:t>
            </w:r>
          </w:p>
        </w:tc>
      </w:tr>
      <w:tr w:rsidR="00226CCF" w:rsidRPr="003D27FE" w14:paraId="68139E78" w14:textId="77777777" w:rsidTr="00BB6A00">
        <w:trPr>
          <w:trHeight w:val="300"/>
        </w:trPr>
        <w:tc>
          <w:tcPr>
            <w:tcW w:w="1104" w:type="pct"/>
            <w:tcBorders>
              <w:left w:val="nil"/>
              <w:right w:val="nil"/>
            </w:tcBorders>
            <w:shd w:val="clear" w:color="auto" w:fill="auto"/>
            <w:vAlign w:val="center"/>
          </w:tcPr>
          <w:p w14:paraId="28A95BF9" w14:textId="77777777" w:rsidR="00226CCF" w:rsidRPr="003D27FE" w:rsidRDefault="00226CCF" w:rsidP="00075FBF">
            <w:pPr>
              <w:rPr>
                <w:color w:val="000000"/>
                <w:sz w:val="20"/>
                <w:szCs w:val="20"/>
              </w:rPr>
            </w:pPr>
            <w:r w:rsidRPr="003D27FE">
              <w:rPr>
                <w:color w:val="000000"/>
                <w:sz w:val="20"/>
                <w:szCs w:val="20"/>
              </w:rPr>
              <w:t>01-Nov-22</w:t>
            </w:r>
          </w:p>
        </w:tc>
        <w:tc>
          <w:tcPr>
            <w:tcW w:w="1249" w:type="pct"/>
            <w:tcBorders>
              <w:left w:val="nil"/>
              <w:right w:val="nil"/>
            </w:tcBorders>
            <w:shd w:val="clear" w:color="auto" w:fill="auto"/>
            <w:vAlign w:val="center"/>
          </w:tcPr>
          <w:p w14:paraId="043A2345" w14:textId="4301B277" w:rsidR="00226CCF" w:rsidRPr="003D27FE" w:rsidRDefault="00BB6A00" w:rsidP="00075FBF">
            <w:pPr>
              <w:jc w:val="right"/>
              <w:rPr>
                <w:color w:val="000000"/>
                <w:sz w:val="20"/>
                <w:szCs w:val="20"/>
              </w:rPr>
            </w:pPr>
            <w:r w:rsidRPr="003D27FE">
              <w:rPr>
                <w:color w:val="000000"/>
                <w:sz w:val="20"/>
                <w:szCs w:val="20"/>
              </w:rPr>
              <w:t>3</w:t>
            </w:r>
            <w:r w:rsidR="00226CCF" w:rsidRPr="003D27FE">
              <w:rPr>
                <w:color w:val="000000"/>
                <w:sz w:val="20"/>
                <w:szCs w:val="20"/>
              </w:rPr>
              <w:t>,</w:t>
            </w:r>
            <w:r w:rsidRPr="003D27FE">
              <w:rPr>
                <w:color w:val="000000"/>
                <w:sz w:val="20"/>
                <w:szCs w:val="20"/>
              </w:rPr>
              <w:t>500</w:t>
            </w:r>
            <w:r w:rsidR="00226CCF" w:rsidRPr="003D27FE">
              <w:rPr>
                <w:color w:val="000000"/>
                <w:sz w:val="20"/>
                <w:szCs w:val="20"/>
              </w:rPr>
              <w:t>,</w:t>
            </w:r>
            <w:r w:rsidRPr="003D27FE">
              <w:rPr>
                <w:color w:val="000000"/>
                <w:sz w:val="20"/>
                <w:szCs w:val="20"/>
              </w:rPr>
              <w:t>000</w:t>
            </w:r>
          </w:p>
        </w:tc>
        <w:tc>
          <w:tcPr>
            <w:tcW w:w="809" w:type="pct"/>
            <w:tcBorders>
              <w:top w:val="nil"/>
              <w:left w:val="nil"/>
              <w:right w:val="nil"/>
            </w:tcBorders>
            <w:shd w:val="clear" w:color="auto" w:fill="auto"/>
            <w:vAlign w:val="center"/>
          </w:tcPr>
          <w:p w14:paraId="4567D04E" w14:textId="77777777" w:rsidR="00226CCF" w:rsidRPr="003D27FE" w:rsidRDefault="00226CCF" w:rsidP="00075FBF">
            <w:pPr>
              <w:jc w:val="center"/>
              <w:rPr>
                <w:color w:val="000000"/>
                <w:sz w:val="20"/>
                <w:szCs w:val="20"/>
              </w:rPr>
            </w:pPr>
            <w:r w:rsidRPr="003D27FE">
              <w:rPr>
                <w:color w:val="000000"/>
                <w:sz w:val="20"/>
                <w:szCs w:val="20"/>
              </w:rPr>
              <w:t>£0.014</w:t>
            </w:r>
          </w:p>
        </w:tc>
        <w:tc>
          <w:tcPr>
            <w:tcW w:w="1838" w:type="pct"/>
            <w:tcBorders>
              <w:top w:val="nil"/>
              <w:left w:val="nil"/>
              <w:right w:val="nil"/>
            </w:tcBorders>
            <w:shd w:val="clear" w:color="auto" w:fill="auto"/>
            <w:vAlign w:val="center"/>
          </w:tcPr>
          <w:p w14:paraId="3AAF09B1" w14:textId="77777777" w:rsidR="00226CCF" w:rsidRPr="003D27FE" w:rsidRDefault="00226CCF" w:rsidP="00075FBF">
            <w:pPr>
              <w:jc w:val="center"/>
              <w:rPr>
                <w:color w:val="000000"/>
                <w:sz w:val="20"/>
                <w:szCs w:val="20"/>
              </w:rPr>
            </w:pPr>
            <w:r w:rsidRPr="003D27FE">
              <w:rPr>
                <w:color w:val="000000"/>
                <w:sz w:val="20"/>
                <w:szCs w:val="20"/>
              </w:rPr>
              <w:t>5 years from issue</w:t>
            </w:r>
          </w:p>
        </w:tc>
      </w:tr>
      <w:tr w:rsidR="00226CCF" w:rsidRPr="003D27FE" w14:paraId="5BBD04A8" w14:textId="77777777" w:rsidTr="00075FBF">
        <w:trPr>
          <w:trHeight w:val="300"/>
        </w:trPr>
        <w:tc>
          <w:tcPr>
            <w:tcW w:w="1104" w:type="pct"/>
            <w:tcBorders>
              <w:left w:val="nil"/>
              <w:right w:val="nil"/>
            </w:tcBorders>
            <w:shd w:val="clear" w:color="auto" w:fill="auto"/>
            <w:vAlign w:val="center"/>
          </w:tcPr>
          <w:p w14:paraId="53B35342" w14:textId="77777777" w:rsidR="00226CCF" w:rsidRPr="003D27FE" w:rsidRDefault="00226CCF" w:rsidP="00075FBF">
            <w:pPr>
              <w:rPr>
                <w:color w:val="000000"/>
                <w:sz w:val="20"/>
                <w:szCs w:val="20"/>
              </w:rPr>
            </w:pPr>
            <w:r w:rsidRPr="003D27FE">
              <w:rPr>
                <w:color w:val="000000"/>
                <w:sz w:val="20"/>
                <w:szCs w:val="20"/>
              </w:rPr>
              <w:t>20-Jun-23</w:t>
            </w:r>
          </w:p>
        </w:tc>
        <w:tc>
          <w:tcPr>
            <w:tcW w:w="1249" w:type="pct"/>
            <w:tcBorders>
              <w:left w:val="nil"/>
              <w:right w:val="nil"/>
            </w:tcBorders>
            <w:shd w:val="clear" w:color="auto" w:fill="auto"/>
            <w:vAlign w:val="center"/>
          </w:tcPr>
          <w:p w14:paraId="218DF9DF" w14:textId="3CA3BAC4" w:rsidR="00226CCF" w:rsidRPr="003D27FE" w:rsidRDefault="00BB6A00" w:rsidP="00075FBF">
            <w:pPr>
              <w:jc w:val="right"/>
              <w:rPr>
                <w:color w:val="000000"/>
                <w:sz w:val="20"/>
                <w:szCs w:val="20"/>
              </w:rPr>
            </w:pPr>
            <w:r w:rsidRPr="003D27FE">
              <w:rPr>
                <w:color w:val="000000"/>
                <w:sz w:val="20"/>
                <w:szCs w:val="20"/>
              </w:rPr>
              <w:t>20</w:t>
            </w:r>
            <w:r w:rsidR="00226CCF" w:rsidRPr="003D27FE">
              <w:rPr>
                <w:color w:val="000000"/>
                <w:sz w:val="20"/>
                <w:szCs w:val="20"/>
              </w:rPr>
              <w:t>,</w:t>
            </w:r>
            <w:r w:rsidRPr="003D27FE">
              <w:rPr>
                <w:color w:val="000000"/>
                <w:sz w:val="20"/>
                <w:szCs w:val="20"/>
              </w:rPr>
              <w:t>000</w:t>
            </w:r>
            <w:r w:rsidR="00226CCF" w:rsidRPr="003D27FE">
              <w:rPr>
                <w:color w:val="000000"/>
                <w:sz w:val="20"/>
                <w:szCs w:val="20"/>
              </w:rPr>
              <w:t>,</w:t>
            </w:r>
            <w:r w:rsidRPr="003D27FE">
              <w:rPr>
                <w:color w:val="000000"/>
                <w:sz w:val="20"/>
                <w:szCs w:val="20"/>
              </w:rPr>
              <w:t>000</w:t>
            </w:r>
          </w:p>
        </w:tc>
        <w:tc>
          <w:tcPr>
            <w:tcW w:w="809" w:type="pct"/>
            <w:tcBorders>
              <w:top w:val="nil"/>
              <w:left w:val="nil"/>
              <w:right w:val="nil"/>
            </w:tcBorders>
            <w:shd w:val="clear" w:color="auto" w:fill="auto"/>
            <w:vAlign w:val="center"/>
          </w:tcPr>
          <w:p w14:paraId="5EB7B341" w14:textId="77777777" w:rsidR="00226CCF" w:rsidRPr="003D27FE" w:rsidRDefault="00226CCF" w:rsidP="00075FBF">
            <w:pPr>
              <w:jc w:val="center"/>
              <w:rPr>
                <w:color w:val="000000"/>
                <w:sz w:val="20"/>
                <w:szCs w:val="20"/>
              </w:rPr>
            </w:pPr>
            <w:r w:rsidRPr="003D27FE">
              <w:rPr>
                <w:color w:val="000000"/>
                <w:sz w:val="20"/>
                <w:szCs w:val="20"/>
              </w:rPr>
              <w:t>£0.0067</w:t>
            </w:r>
          </w:p>
        </w:tc>
        <w:tc>
          <w:tcPr>
            <w:tcW w:w="1838" w:type="pct"/>
            <w:tcBorders>
              <w:top w:val="nil"/>
              <w:left w:val="nil"/>
              <w:right w:val="nil"/>
            </w:tcBorders>
            <w:shd w:val="clear" w:color="auto" w:fill="auto"/>
            <w:vAlign w:val="center"/>
          </w:tcPr>
          <w:p w14:paraId="4864BD3F" w14:textId="4AEF399F" w:rsidR="00226CCF" w:rsidRPr="003D27FE" w:rsidRDefault="00FD1C7E" w:rsidP="00075FBF">
            <w:pPr>
              <w:jc w:val="center"/>
              <w:rPr>
                <w:color w:val="000000"/>
                <w:sz w:val="20"/>
                <w:szCs w:val="20"/>
              </w:rPr>
            </w:pPr>
            <w:r w:rsidRPr="003D27FE">
              <w:rPr>
                <w:color w:val="000000"/>
                <w:sz w:val="20"/>
                <w:szCs w:val="20"/>
              </w:rPr>
              <w:t xml:space="preserve">         5 years from agreement</w:t>
            </w:r>
          </w:p>
        </w:tc>
      </w:tr>
      <w:tr w:rsidR="00226CCF" w:rsidRPr="003D27FE" w14:paraId="493FAAF2" w14:textId="77777777" w:rsidTr="00BB6A00">
        <w:trPr>
          <w:trHeight w:val="300"/>
        </w:trPr>
        <w:tc>
          <w:tcPr>
            <w:tcW w:w="1104" w:type="pct"/>
            <w:tcBorders>
              <w:left w:val="nil"/>
              <w:right w:val="nil"/>
            </w:tcBorders>
            <w:shd w:val="clear" w:color="auto" w:fill="auto"/>
            <w:vAlign w:val="center"/>
          </w:tcPr>
          <w:p w14:paraId="7D689B03" w14:textId="77777777" w:rsidR="00226CCF" w:rsidRPr="003D27FE" w:rsidRDefault="00226CCF" w:rsidP="00075FBF">
            <w:pPr>
              <w:rPr>
                <w:color w:val="000000"/>
                <w:sz w:val="20"/>
                <w:szCs w:val="20"/>
              </w:rPr>
            </w:pPr>
            <w:r w:rsidRPr="003D27FE">
              <w:rPr>
                <w:color w:val="000000"/>
                <w:sz w:val="20"/>
                <w:szCs w:val="20"/>
              </w:rPr>
              <w:t>22-Dec-23</w:t>
            </w:r>
          </w:p>
        </w:tc>
        <w:tc>
          <w:tcPr>
            <w:tcW w:w="1249" w:type="pct"/>
            <w:tcBorders>
              <w:left w:val="nil"/>
              <w:right w:val="nil"/>
            </w:tcBorders>
            <w:shd w:val="clear" w:color="auto" w:fill="auto"/>
            <w:vAlign w:val="center"/>
          </w:tcPr>
          <w:p w14:paraId="310FB734" w14:textId="65CC4646" w:rsidR="00226CCF" w:rsidRPr="003D27FE" w:rsidRDefault="00226CCF" w:rsidP="00075FBF">
            <w:pPr>
              <w:jc w:val="right"/>
              <w:rPr>
                <w:color w:val="000000"/>
                <w:sz w:val="20"/>
                <w:szCs w:val="20"/>
              </w:rPr>
            </w:pPr>
            <w:r w:rsidRPr="003D27FE">
              <w:rPr>
                <w:color w:val="000000"/>
                <w:sz w:val="20"/>
                <w:szCs w:val="20"/>
              </w:rPr>
              <w:t>2</w:t>
            </w:r>
            <w:r w:rsidR="00BB6A00" w:rsidRPr="003D27FE">
              <w:rPr>
                <w:color w:val="000000"/>
                <w:sz w:val="20"/>
                <w:szCs w:val="20"/>
              </w:rPr>
              <w:t>0</w:t>
            </w:r>
            <w:r w:rsidRPr="003D27FE">
              <w:rPr>
                <w:color w:val="000000"/>
                <w:sz w:val="20"/>
                <w:szCs w:val="20"/>
              </w:rPr>
              <w:t>,</w:t>
            </w:r>
            <w:r w:rsidR="00BB6A00" w:rsidRPr="003D27FE">
              <w:rPr>
                <w:color w:val="000000"/>
                <w:sz w:val="20"/>
                <w:szCs w:val="20"/>
              </w:rPr>
              <w:t>0</w:t>
            </w:r>
            <w:r w:rsidRPr="003D27FE">
              <w:rPr>
                <w:color w:val="000000"/>
                <w:sz w:val="20"/>
                <w:szCs w:val="20"/>
              </w:rPr>
              <w:t>00,000</w:t>
            </w:r>
          </w:p>
        </w:tc>
        <w:tc>
          <w:tcPr>
            <w:tcW w:w="809" w:type="pct"/>
            <w:tcBorders>
              <w:top w:val="nil"/>
              <w:left w:val="nil"/>
              <w:right w:val="nil"/>
            </w:tcBorders>
            <w:shd w:val="clear" w:color="auto" w:fill="auto"/>
            <w:vAlign w:val="center"/>
          </w:tcPr>
          <w:p w14:paraId="42F41C22" w14:textId="77777777" w:rsidR="00226CCF" w:rsidRPr="003D27FE" w:rsidRDefault="00226CCF" w:rsidP="00075FBF">
            <w:pPr>
              <w:jc w:val="center"/>
              <w:rPr>
                <w:color w:val="000000"/>
                <w:sz w:val="20"/>
                <w:szCs w:val="20"/>
              </w:rPr>
            </w:pPr>
            <w:r w:rsidRPr="003D27FE">
              <w:rPr>
                <w:color w:val="000000"/>
                <w:sz w:val="20"/>
                <w:szCs w:val="20"/>
              </w:rPr>
              <w:t>£0.0050</w:t>
            </w:r>
          </w:p>
        </w:tc>
        <w:tc>
          <w:tcPr>
            <w:tcW w:w="1838" w:type="pct"/>
            <w:tcBorders>
              <w:top w:val="nil"/>
              <w:left w:val="nil"/>
              <w:right w:val="nil"/>
            </w:tcBorders>
            <w:shd w:val="clear" w:color="auto" w:fill="auto"/>
            <w:vAlign w:val="center"/>
          </w:tcPr>
          <w:p w14:paraId="29E820D1" w14:textId="77188B15" w:rsidR="00226CCF" w:rsidRPr="003D27FE" w:rsidRDefault="00FD1C7E" w:rsidP="00075FBF">
            <w:pPr>
              <w:jc w:val="center"/>
              <w:rPr>
                <w:color w:val="000000"/>
                <w:sz w:val="20"/>
                <w:szCs w:val="20"/>
              </w:rPr>
            </w:pPr>
            <w:r w:rsidRPr="003D27FE">
              <w:rPr>
                <w:color w:val="000000"/>
                <w:sz w:val="20"/>
                <w:szCs w:val="20"/>
              </w:rPr>
              <w:t xml:space="preserve">         5 years from agreement</w:t>
            </w:r>
          </w:p>
        </w:tc>
      </w:tr>
      <w:tr w:rsidR="00722E17" w:rsidRPr="003D27FE" w14:paraId="707A7B29" w14:textId="77777777" w:rsidTr="00BB6A00">
        <w:trPr>
          <w:trHeight w:val="300"/>
        </w:trPr>
        <w:tc>
          <w:tcPr>
            <w:tcW w:w="1104" w:type="pct"/>
            <w:tcBorders>
              <w:left w:val="nil"/>
              <w:right w:val="nil"/>
            </w:tcBorders>
            <w:shd w:val="clear" w:color="auto" w:fill="auto"/>
            <w:vAlign w:val="center"/>
          </w:tcPr>
          <w:p w14:paraId="1AE369AC" w14:textId="6574E058" w:rsidR="00722E17" w:rsidRPr="003D27FE" w:rsidRDefault="00BB6A00" w:rsidP="00075FBF">
            <w:pPr>
              <w:rPr>
                <w:color w:val="000000"/>
                <w:sz w:val="20"/>
                <w:szCs w:val="20"/>
              </w:rPr>
            </w:pPr>
            <w:r w:rsidRPr="003D27FE">
              <w:rPr>
                <w:color w:val="000000"/>
                <w:sz w:val="20"/>
                <w:szCs w:val="20"/>
              </w:rPr>
              <w:t>24-Jan-24</w:t>
            </w:r>
          </w:p>
        </w:tc>
        <w:tc>
          <w:tcPr>
            <w:tcW w:w="1249" w:type="pct"/>
            <w:tcBorders>
              <w:left w:val="nil"/>
              <w:bottom w:val="single" w:sz="4" w:space="0" w:color="auto"/>
              <w:right w:val="nil"/>
            </w:tcBorders>
            <w:shd w:val="clear" w:color="auto" w:fill="auto"/>
            <w:vAlign w:val="center"/>
          </w:tcPr>
          <w:p w14:paraId="2159BE48" w14:textId="1B25A69C" w:rsidR="00722E17" w:rsidRPr="003D27FE" w:rsidRDefault="00BB6A00" w:rsidP="00075FBF">
            <w:pPr>
              <w:jc w:val="right"/>
              <w:rPr>
                <w:color w:val="000000"/>
                <w:sz w:val="20"/>
                <w:szCs w:val="20"/>
              </w:rPr>
            </w:pPr>
            <w:r w:rsidRPr="003D27FE">
              <w:rPr>
                <w:color w:val="000000"/>
                <w:sz w:val="20"/>
                <w:szCs w:val="20"/>
              </w:rPr>
              <w:t>11,000,000</w:t>
            </w:r>
          </w:p>
        </w:tc>
        <w:tc>
          <w:tcPr>
            <w:tcW w:w="809" w:type="pct"/>
            <w:tcBorders>
              <w:left w:val="nil"/>
              <w:right w:val="nil"/>
            </w:tcBorders>
            <w:shd w:val="clear" w:color="auto" w:fill="auto"/>
            <w:vAlign w:val="center"/>
          </w:tcPr>
          <w:p w14:paraId="0AE59EFC" w14:textId="02703E62" w:rsidR="00722E17" w:rsidRPr="003D27FE" w:rsidRDefault="00BB6A00" w:rsidP="00075FBF">
            <w:pPr>
              <w:jc w:val="center"/>
              <w:rPr>
                <w:color w:val="000000"/>
                <w:sz w:val="20"/>
                <w:szCs w:val="20"/>
              </w:rPr>
            </w:pPr>
            <w:r w:rsidRPr="003D27FE">
              <w:rPr>
                <w:color w:val="000000"/>
                <w:sz w:val="20"/>
                <w:szCs w:val="20"/>
              </w:rPr>
              <w:t>£0.0080</w:t>
            </w:r>
          </w:p>
        </w:tc>
        <w:tc>
          <w:tcPr>
            <w:tcW w:w="1838" w:type="pct"/>
            <w:tcBorders>
              <w:top w:val="nil"/>
              <w:left w:val="nil"/>
              <w:right w:val="nil"/>
            </w:tcBorders>
            <w:shd w:val="clear" w:color="auto" w:fill="auto"/>
            <w:vAlign w:val="center"/>
          </w:tcPr>
          <w:p w14:paraId="2610E052" w14:textId="08AFFB2E" w:rsidR="00722E17" w:rsidRPr="003D27FE" w:rsidRDefault="00BB6A00" w:rsidP="00075FBF">
            <w:pPr>
              <w:jc w:val="center"/>
              <w:rPr>
                <w:color w:val="000000"/>
                <w:sz w:val="20"/>
                <w:szCs w:val="20"/>
              </w:rPr>
            </w:pPr>
            <w:r w:rsidRPr="003D27FE">
              <w:rPr>
                <w:color w:val="000000"/>
                <w:sz w:val="20"/>
                <w:szCs w:val="20"/>
              </w:rPr>
              <w:t>4 years from issue</w:t>
            </w:r>
          </w:p>
        </w:tc>
      </w:tr>
      <w:tr w:rsidR="00226CCF" w:rsidRPr="003D27FE" w14:paraId="6B51106F" w14:textId="77777777" w:rsidTr="00075FBF">
        <w:trPr>
          <w:trHeight w:val="300"/>
        </w:trPr>
        <w:tc>
          <w:tcPr>
            <w:tcW w:w="1104" w:type="pct"/>
            <w:tcBorders>
              <w:top w:val="single" w:sz="4" w:space="0" w:color="auto"/>
              <w:left w:val="nil"/>
              <w:bottom w:val="single" w:sz="4" w:space="0" w:color="auto"/>
              <w:right w:val="nil"/>
            </w:tcBorders>
            <w:shd w:val="clear" w:color="auto" w:fill="auto"/>
            <w:vAlign w:val="center"/>
            <w:hideMark/>
          </w:tcPr>
          <w:p w14:paraId="2A8DE885" w14:textId="3078AF20" w:rsidR="00226CCF" w:rsidRPr="003D27FE" w:rsidRDefault="00226CCF" w:rsidP="00075FBF">
            <w:pPr>
              <w:rPr>
                <w:b/>
                <w:bCs/>
                <w:color w:val="000000"/>
                <w:sz w:val="20"/>
                <w:szCs w:val="20"/>
              </w:rPr>
            </w:pPr>
            <w:proofErr w:type="gramStart"/>
            <w:r w:rsidRPr="003D27FE">
              <w:rPr>
                <w:b/>
                <w:bCs/>
                <w:color w:val="000000"/>
                <w:spacing w:val="-2"/>
                <w:sz w:val="20"/>
                <w:szCs w:val="20"/>
              </w:rPr>
              <w:t>At</w:t>
            </w:r>
            <w:proofErr w:type="gramEnd"/>
            <w:r w:rsidRPr="003D27FE">
              <w:rPr>
                <w:b/>
                <w:bCs/>
                <w:color w:val="000000"/>
                <w:spacing w:val="-2"/>
                <w:sz w:val="20"/>
                <w:szCs w:val="20"/>
              </w:rPr>
              <w:t xml:space="preserve"> 31 </w:t>
            </w:r>
            <w:r w:rsidR="00D8770B" w:rsidRPr="003D27FE">
              <w:rPr>
                <w:b/>
                <w:bCs/>
                <w:color w:val="000000"/>
                <w:spacing w:val="-2"/>
                <w:sz w:val="20"/>
                <w:szCs w:val="20"/>
              </w:rPr>
              <w:t>December</w:t>
            </w:r>
            <w:r w:rsidRPr="003D27FE">
              <w:rPr>
                <w:b/>
                <w:bCs/>
                <w:color w:val="000000"/>
                <w:spacing w:val="-2"/>
                <w:sz w:val="20"/>
                <w:szCs w:val="20"/>
              </w:rPr>
              <w:t xml:space="preserve"> 2024</w:t>
            </w:r>
          </w:p>
        </w:tc>
        <w:tc>
          <w:tcPr>
            <w:tcW w:w="1249" w:type="pct"/>
            <w:tcBorders>
              <w:top w:val="single" w:sz="4" w:space="0" w:color="auto"/>
              <w:left w:val="nil"/>
              <w:bottom w:val="single" w:sz="8" w:space="0" w:color="auto"/>
              <w:right w:val="nil"/>
            </w:tcBorders>
            <w:shd w:val="clear" w:color="auto" w:fill="auto"/>
            <w:vAlign w:val="center"/>
            <w:hideMark/>
          </w:tcPr>
          <w:p w14:paraId="211E11A8" w14:textId="65D266AC" w:rsidR="00226CCF" w:rsidRPr="003D27FE" w:rsidRDefault="00226CCF" w:rsidP="00075FBF">
            <w:pPr>
              <w:jc w:val="right"/>
              <w:rPr>
                <w:b/>
                <w:bCs/>
                <w:color w:val="000000"/>
                <w:sz w:val="20"/>
                <w:szCs w:val="20"/>
              </w:rPr>
            </w:pPr>
            <w:r w:rsidRPr="003D27FE">
              <w:rPr>
                <w:b/>
                <w:bCs/>
                <w:color w:val="000000"/>
                <w:sz w:val="20"/>
                <w:szCs w:val="20"/>
              </w:rPr>
              <w:t>10</w:t>
            </w:r>
            <w:r w:rsidR="00BB6A00" w:rsidRPr="003D27FE">
              <w:rPr>
                <w:b/>
                <w:bCs/>
                <w:color w:val="000000"/>
                <w:sz w:val="20"/>
                <w:szCs w:val="20"/>
              </w:rPr>
              <w:t>1</w:t>
            </w:r>
            <w:r w:rsidRPr="003D27FE">
              <w:rPr>
                <w:b/>
                <w:bCs/>
                <w:color w:val="000000"/>
                <w:sz w:val="20"/>
                <w:szCs w:val="20"/>
              </w:rPr>
              <w:t>,0</w:t>
            </w:r>
            <w:r w:rsidR="00BB6A00" w:rsidRPr="003D27FE">
              <w:rPr>
                <w:b/>
                <w:bCs/>
                <w:color w:val="000000"/>
                <w:sz w:val="20"/>
                <w:szCs w:val="20"/>
              </w:rPr>
              <w:t>15</w:t>
            </w:r>
            <w:r w:rsidRPr="003D27FE">
              <w:rPr>
                <w:b/>
                <w:bCs/>
                <w:color w:val="000000"/>
                <w:sz w:val="20"/>
                <w:szCs w:val="20"/>
              </w:rPr>
              <w:t>,</w:t>
            </w:r>
            <w:r w:rsidR="00BB6A00" w:rsidRPr="003D27FE">
              <w:rPr>
                <w:b/>
                <w:bCs/>
                <w:color w:val="000000"/>
                <w:sz w:val="20"/>
                <w:szCs w:val="20"/>
              </w:rPr>
              <w:t>562</w:t>
            </w:r>
          </w:p>
        </w:tc>
        <w:tc>
          <w:tcPr>
            <w:tcW w:w="809" w:type="pct"/>
            <w:tcBorders>
              <w:top w:val="nil"/>
              <w:left w:val="nil"/>
              <w:bottom w:val="nil"/>
              <w:right w:val="nil"/>
            </w:tcBorders>
            <w:shd w:val="clear" w:color="auto" w:fill="auto"/>
            <w:vAlign w:val="center"/>
            <w:hideMark/>
          </w:tcPr>
          <w:p w14:paraId="19981D9F" w14:textId="77777777" w:rsidR="00226CCF" w:rsidRPr="003D27FE" w:rsidRDefault="00226CCF" w:rsidP="00075FBF">
            <w:pPr>
              <w:jc w:val="right"/>
              <w:rPr>
                <w:b/>
                <w:bCs/>
                <w:color w:val="000000"/>
                <w:sz w:val="20"/>
                <w:szCs w:val="20"/>
              </w:rPr>
            </w:pPr>
          </w:p>
        </w:tc>
        <w:tc>
          <w:tcPr>
            <w:tcW w:w="1838" w:type="pct"/>
            <w:tcBorders>
              <w:top w:val="nil"/>
              <w:left w:val="nil"/>
              <w:bottom w:val="nil"/>
              <w:right w:val="nil"/>
            </w:tcBorders>
            <w:shd w:val="clear" w:color="auto" w:fill="auto"/>
            <w:vAlign w:val="center"/>
            <w:hideMark/>
          </w:tcPr>
          <w:p w14:paraId="7BB50A17" w14:textId="77777777" w:rsidR="00226CCF" w:rsidRPr="003D27FE" w:rsidRDefault="00226CCF" w:rsidP="00075FBF">
            <w:pPr>
              <w:jc w:val="right"/>
              <w:rPr>
                <w:sz w:val="20"/>
                <w:szCs w:val="20"/>
              </w:rPr>
            </w:pPr>
          </w:p>
        </w:tc>
      </w:tr>
    </w:tbl>
    <w:p w14:paraId="1FF06ABC" w14:textId="77777777" w:rsidR="00226CCF" w:rsidRPr="003D27FE" w:rsidRDefault="00226CCF" w:rsidP="00226CCF">
      <w:pPr>
        <w:spacing w:line="256" w:lineRule="auto"/>
        <w:ind w:right="136"/>
        <w:jc w:val="both"/>
        <w:rPr>
          <w:sz w:val="20"/>
          <w:szCs w:val="20"/>
        </w:rPr>
      </w:pPr>
    </w:p>
    <w:p w14:paraId="653B843D" w14:textId="77777777" w:rsidR="00226CCF" w:rsidRPr="003D27FE" w:rsidRDefault="00226CCF" w:rsidP="00226CCF">
      <w:pPr>
        <w:spacing w:line="256" w:lineRule="auto"/>
        <w:ind w:right="136"/>
        <w:jc w:val="both"/>
        <w:rPr>
          <w:sz w:val="20"/>
          <w:szCs w:val="20"/>
        </w:rPr>
      </w:pPr>
      <w:r w:rsidRPr="003D27FE">
        <w:rPr>
          <w:sz w:val="20"/>
          <w:szCs w:val="20"/>
        </w:rPr>
        <w:t>At the grant date, the fair value of the warrants issued have been determined using the Black-Scholes option pricing model.</w:t>
      </w:r>
      <w:r w:rsidRPr="003D27FE">
        <w:rPr>
          <w:spacing w:val="1"/>
          <w:sz w:val="20"/>
          <w:szCs w:val="20"/>
        </w:rPr>
        <w:t xml:space="preserve"> </w:t>
      </w:r>
      <w:r w:rsidRPr="003D27FE">
        <w:rPr>
          <w:sz w:val="20"/>
          <w:szCs w:val="20"/>
        </w:rPr>
        <w:t>Volatility was calculated based on data from comparable esports companies, with an appropriate discount applied due to being</w:t>
      </w:r>
      <w:r w:rsidRPr="003D27FE">
        <w:rPr>
          <w:spacing w:val="1"/>
          <w:sz w:val="20"/>
          <w:szCs w:val="20"/>
        </w:rPr>
        <w:t xml:space="preserve"> </w:t>
      </w:r>
      <w:r w:rsidRPr="003D27FE">
        <w:rPr>
          <w:sz w:val="20"/>
          <w:szCs w:val="20"/>
        </w:rPr>
        <w:t>an unlisted entity at the grant date, if applicable. Risk-free interest has been based on UK Government Gilt rates.</w:t>
      </w:r>
    </w:p>
    <w:p w14:paraId="374CFF1D" w14:textId="6DBB7C1A" w:rsidR="00226CCF" w:rsidRPr="003D27FE" w:rsidRDefault="00226CCF" w:rsidP="00226CCF">
      <w:pPr>
        <w:spacing w:line="256" w:lineRule="auto"/>
        <w:ind w:right="136"/>
        <w:jc w:val="both"/>
        <w:rPr>
          <w:sz w:val="20"/>
          <w:szCs w:val="20"/>
        </w:rPr>
      </w:pPr>
    </w:p>
    <w:p w14:paraId="038B33D1" w14:textId="77777777" w:rsidR="00F577BA" w:rsidRPr="003D27FE" w:rsidRDefault="00F577BA" w:rsidP="00226CCF">
      <w:pPr>
        <w:spacing w:line="256" w:lineRule="auto"/>
        <w:ind w:right="136"/>
        <w:jc w:val="both"/>
        <w:rPr>
          <w:sz w:val="20"/>
          <w:szCs w:val="20"/>
        </w:rPr>
      </w:pPr>
    </w:p>
    <w:p w14:paraId="1FE3C50B" w14:textId="77777777" w:rsidR="00226CCF" w:rsidRPr="003D27FE" w:rsidRDefault="00226CCF" w:rsidP="00226CCF">
      <w:pPr>
        <w:pStyle w:val="ListParagraph"/>
        <w:widowControl w:val="0"/>
        <w:numPr>
          <w:ilvl w:val="0"/>
          <w:numId w:val="5"/>
        </w:numPr>
        <w:tabs>
          <w:tab w:val="left" w:pos="839"/>
          <w:tab w:val="left" w:pos="840"/>
        </w:tabs>
        <w:autoSpaceDE w:val="0"/>
        <w:autoSpaceDN w:val="0"/>
        <w:spacing w:before="80"/>
        <w:contextualSpacing w:val="0"/>
        <w:rPr>
          <w:rFonts w:ascii="Arial" w:hAnsi="Arial" w:cs="Arial"/>
          <w:b/>
          <w:sz w:val="20"/>
          <w:szCs w:val="20"/>
        </w:rPr>
      </w:pPr>
      <w:r w:rsidRPr="003D27FE">
        <w:rPr>
          <w:rFonts w:ascii="Arial" w:hAnsi="Arial" w:cs="Arial"/>
          <w:b/>
          <w:sz w:val="20"/>
          <w:szCs w:val="20"/>
        </w:rPr>
        <w:t>Share</w:t>
      </w:r>
      <w:r w:rsidRPr="003D27FE">
        <w:rPr>
          <w:rFonts w:ascii="Arial" w:hAnsi="Arial" w:cs="Arial"/>
          <w:b/>
          <w:spacing w:val="-2"/>
          <w:sz w:val="20"/>
          <w:szCs w:val="20"/>
        </w:rPr>
        <w:t xml:space="preserve"> </w:t>
      </w:r>
      <w:r w:rsidRPr="003D27FE">
        <w:rPr>
          <w:rFonts w:ascii="Arial" w:hAnsi="Arial" w:cs="Arial"/>
          <w:b/>
          <w:sz w:val="20"/>
          <w:szCs w:val="20"/>
        </w:rPr>
        <w:t>capital</w:t>
      </w:r>
      <w:r w:rsidRPr="003D27FE">
        <w:rPr>
          <w:rFonts w:ascii="Arial" w:hAnsi="Arial" w:cs="Arial"/>
          <w:b/>
          <w:spacing w:val="-2"/>
          <w:sz w:val="20"/>
          <w:szCs w:val="20"/>
        </w:rPr>
        <w:t xml:space="preserve"> </w:t>
      </w:r>
      <w:r w:rsidRPr="003D27FE">
        <w:rPr>
          <w:rFonts w:ascii="Arial" w:hAnsi="Arial" w:cs="Arial"/>
          <w:b/>
          <w:sz w:val="20"/>
          <w:szCs w:val="20"/>
        </w:rPr>
        <w:t>and</w:t>
      </w:r>
      <w:r w:rsidRPr="003D27FE">
        <w:rPr>
          <w:rFonts w:ascii="Arial" w:hAnsi="Arial" w:cs="Arial"/>
          <w:b/>
          <w:spacing w:val="-4"/>
          <w:sz w:val="20"/>
          <w:szCs w:val="20"/>
        </w:rPr>
        <w:t xml:space="preserve"> </w:t>
      </w:r>
      <w:r w:rsidRPr="003D27FE">
        <w:rPr>
          <w:rFonts w:ascii="Arial" w:hAnsi="Arial" w:cs="Arial"/>
          <w:b/>
          <w:sz w:val="20"/>
          <w:szCs w:val="20"/>
        </w:rPr>
        <w:t>share</w:t>
      </w:r>
      <w:r w:rsidRPr="003D27FE">
        <w:rPr>
          <w:rFonts w:ascii="Arial" w:hAnsi="Arial" w:cs="Arial"/>
          <w:b/>
          <w:spacing w:val="-1"/>
          <w:sz w:val="20"/>
          <w:szCs w:val="20"/>
        </w:rPr>
        <w:t xml:space="preserve"> </w:t>
      </w:r>
      <w:r w:rsidRPr="003D27FE">
        <w:rPr>
          <w:rFonts w:ascii="Arial" w:hAnsi="Arial" w:cs="Arial"/>
          <w:b/>
          <w:sz w:val="20"/>
          <w:szCs w:val="20"/>
        </w:rPr>
        <w:t>premium</w:t>
      </w:r>
    </w:p>
    <w:p w14:paraId="000AF1BE" w14:textId="77777777" w:rsidR="00226CCF" w:rsidRPr="003D27FE" w:rsidRDefault="00226CCF" w:rsidP="00226CCF">
      <w:pPr>
        <w:pStyle w:val="BodyText"/>
        <w:spacing w:before="7"/>
        <w:rPr>
          <w:rFonts w:ascii="Arial" w:hAnsi="Arial" w:cs="Arial"/>
          <w:b/>
          <w:sz w:val="20"/>
          <w:szCs w:val="20"/>
        </w:rPr>
      </w:pPr>
    </w:p>
    <w:tbl>
      <w:tblPr>
        <w:tblW w:w="9521" w:type="dxa"/>
        <w:tblInd w:w="118" w:type="dxa"/>
        <w:tblLayout w:type="fixed"/>
        <w:tblCellMar>
          <w:left w:w="0" w:type="dxa"/>
          <w:right w:w="0" w:type="dxa"/>
        </w:tblCellMar>
        <w:tblLook w:val="01E0" w:firstRow="1" w:lastRow="1" w:firstColumn="1" w:lastColumn="1" w:noHBand="0" w:noVBand="0"/>
      </w:tblPr>
      <w:tblGrid>
        <w:gridCol w:w="3993"/>
        <w:gridCol w:w="1418"/>
        <w:gridCol w:w="1417"/>
        <w:gridCol w:w="1418"/>
        <w:gridCol w:w="1275"/>
      </w:tblGrid>
      <w:tr w:rsidR="00226CCF" w:rsidRPr="003D27FE" w14:paraId="27F31043" w14:textId="77777777" w:rsidTr="00075FBF">
        <w:trPr>
          <w:trHeight w:val="291"/>
        </w:trPr>
        <w:tc>
          <w:tcPr>
            <w:tcW w:w="3993" w:type="dxa"/>
          </w:tcPr>
          <w:p w14:paraId="3EE8C916" w14:textId="77777777" w:rsidR="00226CCF" w:rsidRPr="003D27FE" w:rsidRDefault="00226CCF" w:rsidP="00075FBF">
            <w:pPr>
              <w:pStyle w:val="TableParagraph"/>
              <w:jc w:val="left"/>
              <w:rPr>
                <w:rFonts w:ascii="Arial" w:hAnsi="Arial" w:cs="Arial"/>
                <w:sz w:val="20"/>
                <w:szCs w:val="20"/>
              </w:rPr>
            </w:pPr>
          </w:p>
        </w:tc>
        <w:tc>
          <w:tcPr>
            <w:tcW w:w="1418" w:type="dxa"/>
          </w:tcPr>
          <w:p w14:paraId="03771A47" w14:textId="77777777" w:rsidR="00226CCF" w:rsidRPr="003D27FE" w:rsidRDefault="00226CCF" w:rsidP="00075FBF">
            <w:pPr>
              <w:pStyle w:val="TableParagraph"/>
              <w:spacing w:before="69" w:line="202" w:lineRule="exact"/>
              <w:ind w:right="125"/>
              <w:rPr>
                <w:rFonts w:ascii="Arial" w:hAnsi="Arial" w:cs="Arial"/>
                <w:b/>
                <w:sz w:val="20"/>
                <w:szCs w:val="20"/>
              </w:rPr>
            </w:pPr>
            <w:r w:rsidRPr="003D27FE">
              <w:rPr>
                <w:rFonts w:ascii="Arial" w:hAnsi="Arial" w:cs="Arial"/>
                <w:b/>
                <w:sz w:val="20"/>
                <w:szCs w:val="20"/>
              </w:rPr>
              <w:t xml:space="preserve">Shares </w:t>
            </w:r>
          </w:p>
        </w:tc>
        <w:tc>
          <w:tcPr>
            <w:tcW w:w="1417" w:type="dxa"/>
          </w:tcPr>
          <w:p w14:paraId="0B37C946" w14:textId="77777777" w:rsidR="00226CCF" w:rsidRPr="003D27FE" w:rsidRDefault="00226CCF" w:rsidP="00075FBF">
            <w:pPr>
              <w:pStyle w:val="TableParagraph"/>
              <w:spacing w:before="64" w:line="207" w:lineRule="exact"/>
              <w:ind w:right="245"/>
              <w:rPr>
                <w:rFonts w:ascii="Arial" w:hAnsi="Arial" w:cs="Arial"/>
                <w:b/>
                <w:sz w:val="20"/>
                <w:szCs w:val="20"/>
              </w:rPr>
            </w:pPr>
            <w:r w:rsidRPr="003D27FE">
              <w:rPr>
                <w:rFonts w:ascii="Arial" w:hAnsi="Arial" w:cs="Arial"/>
                <w:b/>
                <w:sz w:val="20"/>
                <w:szCs w:val="20"/>
              </w:rPr>
              <w:t xml:space="preserve">Share </w:t>
            </w:r>
          </w:p>
          <w:p w14:paraId="76312DBC" w14:textId="77777777" w:rsidR="00226CCF" w:rsidRPr="003D27FE" w:rsidRDefault="00226CCF" w:rsidP="00075FBF">
            <w:pPr>
              <w:pStyle w:val="TableParagraph"/>
              <w:spacing w:before="64" w:line="207" w:lineRule="exact"/>
              <w:ind w:right="245"/>
              <w:rPr>
                <w:rFonts w:ascii="Arial" w:hAnsi="Arial" w:cs="Arial"/>
                <w:b/>
                <w:sz w:val="20"/>
                <w:szCs w:val="20"/>
              </w:rPr>
            </w:pPr>
            <w:r w:rsidRPr="003D27FE">
              <w:rPr>
                <w:rFonts w:ascii="Arial" w:hAnsi="Arial" w:cs="Arial"/>
                <w:b/>
                <w:sz w:val="20"/>
                <w:szCs w:val="20"/>
              </w:rPr>
              <w:t>Capital</w:t>
            </w:r>
          </w:p>
        </w:tc>
        <w:tc>
          <w:tcPr>
            <w:tcW w:w="1418" w:type="dxa"/>
          </w:tcPr>
          <w:p w14:paraId="57B4850C" w14:textId="77777777" w:rsidR="00226CCF" w:rsidRPr="003D27FE" w:rsidRDefault="00226CCF" w:rsidP="00075FBF">
            <w:pPr>
              <w:pStyle w:val="TableParagraph"/>
              <w:spacing w:before="69" w:line="202" w:lineRule="exact"/>
              <w:ind w:right="246"/>
              <w:rPr>
                <w:rFonts w:ascii="Arial" w:hAnsi="Arial" w:cs="Arial"/>
                <w:b/>
                <w:sz w:val="20"/>
                <w:szCs w:val="20"/>
              </w:rPr>
            </w:pPr>
            <w:r w:rsidRPr="003D27FE">
              <w:rPr>
                <w:rFonts w:ascii="Arial" w:hAnsi="Arial" w:cs="Arial"/>
                <w:b/>
                <w:sz w:val="20"/>
                <w:szCs w:val="20"/>
              </w:rPr>
              <w:t xml:space="preserve">Share </w:t>
            </w:r>
          </w:p>
          <w:p w14:paraId="43611206" w14:textId="77777777" w:rsidR="00226CCF" w:rsidRPr="003D27FE" w:rsidRDefault="00226CCF" w:rsidP="00075FBF">
            <w:pPr>
              <w:pStyle w:val="TableParagraph"/>
              <w:spacing w:before="69" w:line="202" w:lineRule="exact"/>
              <w:ind w:right="246"/>
              <w:rPr>
                <w:rFonts w:ascii="Arial" w:hAnsi="Arial" w:cs="Arial"/>
                <w:b/>
                <w:sz w:val="20"/>
                <w:szCs w:val="20"/>
              </w:rPr>
            </w:pPr>
            <w:r w:rsidRPr="003D27FE">
              <w:rPr>
                <w:rFonts w:ascii="Arial" w:hAnsi="Arial" w:cs="Arial"/>
                <w:b/>
                <w:sz w:val="20"/>
                <w:szCs w:val="20"/>
              </w:rPr>
              <w:t>Premium</w:t>
            </w:r>
          </w:p>
        </w:tc>
        <w:tc>
          <w:tcPr>
            <w:tcW w:w="1275" w:type="dxa"/>
          </w:tcPr>
          <w:p w14:paraId="7DFD42E6" w14:textId="77777777" w:rsidR="00226CCF" w:rsidRPr="003D27FE" w:rsidRDefault="00226CCF" w:rsidP="00075FBF">
            <w:pPr>
              <w:pStyle w:val="TableParagraph"/>
              <w:spacing w:before="69" w:line="202" w:lineRule="exact"/>
              <w:ind w:right="109"/>
              <w:rPr>
                <w:rFonts w:ascii="Arial" w:hAnsi="Arial" w:cs="Arial"/>
                <w:b/>
                <w:sz w:val="20"/>
                <w:szCs w:val="20"/>
              </w:rPr>
            </w:pPr>
          </w:p>
          <w:p w14:paraId="77FC5FC5" w14:textId="77777777" w:rsidR="00226CCF" w:rsidRPr="003D27FE" w:rsidRDefault="00226CCF" w:rsidP="00075FBF">
            <w:pPr>
              <w:pStyle w:val="TableParagraph"/>
              <w:spacing w:before="69" w:line="202" w:lineRule="exact"/>
              <w:ind w:right="109"/>
              <w:rPr>
                <w:rFonts w:ascii="Arial" w:hAnsi="Arial" w:cs="Arial"/>
                <w:b/>
                <w:sz w:val="20"/>
                <w:szCs w:val="20"/>
              </w:rPr>
            </w:pPr>
            <w:r w:rsidRPr="003D27FE">
              <w:rPr>
                <w:rFonts w:ascii="Arial" w:hAnsi="Arial" w:cs="Arial"/>
                <w:b/>
                <w:sz w:val="20"/>
                <w:szCs w:val="20"/>
              </w:rPr>
              <w:t>Total</w:t>
            </w:r>
          </w:p>
        </w:tc>
      </w:tr>
      <w:tr w:rsidR="00226CCF" w:rsidRPr="003D27FE" w14:paraId="708945D5" w14:textId="77777777" w:rsidTr="00075FBF">
        <w:trPr>
          <w:trHeight w:val="291"/>
        </w:trPr>
        <w:tc>
          <w:tcPr>
            <w:tcW w:w="3993" w:type="dxa"/>
            <w:tcBorders>
              <w:bottom w:val="single" w:sz="4" w:space="0" w:color="auto"/>
            </w:tcBorders>
          </w:tcPr>
          <w:p w14:paraId="32C3B262" w14:textId="77777777" w:rsidR="00226CCF" w:rsidRPr="003D27FE" w:rsidRDefault="00226CCF" w:rsidP="00075FBF">
            <w:pPr>
              <w:pStyle w:val="TableParagraph"/>
              <w:jc w:val="left"/>
              <w:rPr>
                <w:rFonts w:ascii="Arial" w:hAnsi="Arial" w:cs="Arial"/>
                <w:sz w:val="20"/>
                <w:szCs w:val="20"/>
              </w:rPr>
            </w:pPr>
          </w:p>
        </w:tc>
        <w:tc>
          <w:tcPr>
            <w:tcW w:w="1418" w:type="dxa"/>
            <w:tcBorders>
              <w:bottom w:val="single" w:sz="4" w:space="0" w:color="auto"/>
            </w:tcBorders>
          </w:tcPr>
          <w:p w14:paraId="189F1D7D" w14:textId="77777777" w:rsidR="00226CCF" w:rsidRPr="003D27FE" w:rsidRDefault="00226CCF" w:rsidP="00075FBF">
            <w:pPr>
              <w:pStyle w:val="TableParagraph"/>
              <w:spacing w:before="69" w:line="202" w:lineRule="exact"/>
              <w:ind w:right="125"/>
              <w:rPr>
                <w:rFonts w:ascii="Arial" w:hAnsi="Arial" w:cs="Arial"/>
                <w:b/>
                <w:sz w:val="20"/>
                <w:szCs w:val="20"/>
              </w:rPr>
            </w:pPr>
            <w:r w:rsidRPr="003D27FE">
              <w:rPr>
                <w:rFonts w:ascii="Arial" w:hAnsi="Arial" w:cs="Arial"/>
                <w:b/>
                <w:sz w:val="20"/>
                <w:szCs w:val="20"/>
              </w:rPr>
              <w:t>No.</w:t>
            </w:r>
          </w:p>
        </w:tc>
        <w:tc>
          <w:tcPr>
            <w:tcW w:w="1417" w:type="dxa"/>
            <w:tcBorders>
              <w:bottom w:val="single" w:sz="4" w:space="0" w:color="auto"/>
            </w:tcBorders>
          </w:tcPr>
          <w:p w14:paraId="2B3B0D9E" w14:textId="77777777" w:rsidR="00226CCF" w:rsidRPr="003D27FE" w:rsidRDefault="00226CCF" w:rsidP="00075FBF">
            <w:pPr>
              <w:pStyle w:val="TableParagraph"/>
              <w:spacing w:before="64" w:line="207" w:lineRule="exact"/>
              <w:ind w:right="245"/>
              <w:rPr>
                <w:rFonts w:ascii="Arial" w:hAnsi="Arial" w:cs="Arial"/>
                <w:b/>
                <w:w w:val="99"/>
                <w:sz w:val="20"/>
                <w:szCs w:val="20"/>
              </w:rPr>
            </w:pPr>
            <w:r w:rsidRPr="003D27FE">
              <w:rPr>
                <w:rFonts w:ascii="Arial" w:hAnsi="Arial" w:cs="Arial"/>
                <w:b/>
                <w:w w:val="99"/>
                <w:sz w:val="20"/>
                <w:szCs w:val="20"/>
              </w:rPr>
              <w:t>£’000</w:t>
            </w:r>
          </w:p>
        </w:tc>
        <w:tc>
          <w:tcPr>
            <w:tcW w:w="1418" w:type="dxa"/>
            <w:tcBorders>
              <w:bottom w:val="single" w:sz="4" w:space="0" w:color="auto"/>
            </w:tcBorders>
          </w:tcPr>
          <w:p w14:paraId="13862BA3" w14:textId="77777777" w:rsidR="00226CCF" w:rsidRPr="003D27FE" w:rsidRDefault="00226CCF" w:rsidP="00075FBF">
            <w:pPr>
              <w:pStyle w:val="TableParagraph"/>
              <w:spacing w:before="69" w:line="202" w:lineRule="exact"/>
              <w:ind w:right="246"/>
              <w:rPr>
                <w:rFonts w:ascii="Arial" w:hAnsi="Arial" w:cs="Arial"/>
                <w:b/>
                <w:w w:val="99"/>
                <w:sz w:val="20"/>
                <w:szCs w:val="20"/>
              </w:rPr>
            </w:pPr>
            <w:r w:rsidRPr="003D27FE">
              <w:rPr>
                <w:rFonts w:ascii="Arial" w:hAnsi="Arial" w:cs="Arial"/>
                <w:b/>
                <w:w w:val="99"/>
                <w:sz w:val="20"/>
                <w:szCs w:val="20"/>
              </w:rPr>
              <w:t>£’000</w:t>
            </w:r>
          </w:p>
        </w:tc>
        <w:tc>
          <w:tcPr>
            <w:tcW w:w="1275" w:type="dxa"/>
            <w:tcBorders>
              <w:bottom w:val="single" w:sz="4" w:space="0" w:color="auto"/>
            </w:tcBorders>
          </w:tcPr>
          <w:p w14:paraId="1D44B966" w14:textId="77777777" w:rsidR="00226CCF" w:rsidRPr="003D27FE" w:rsidRDefault="00226CCF" w:rsidP="00075FBF">
            <w:pPr>
              <w:pStyle w:val="TableParagraph"/>
              <w:spacing w:before="69" w:line="202" w:lineRule="exact"/>
              <w:ind w:right="109"/>
              <w:rPr>
                <w:rFonts w:ascii="Arial" w:hAnsi="Arial" w:cs="Arial"/>
                <w:b/>
                <w:w w:val="99"/>
                <w:sz w:val="20"/>
                <w:szCs w:val="20"/>
              </w:rPr>
            </w:pPr>
            <w:r w:rsidRPr="003D27FE">
              <w:rPr>
                <w:rFonts w:ascii="Arial" w:hAnsi="Arial" w:cs="Arial"/>
                <w:b/>
                <w:w w:val="99"/>
                <w:sz w:val="20"/>
                <w:szCs w:val="20"/>
              </w:rPr>
              <w:t>£’000</w:t>
            </w:r>
          </w:p>
        </w:tc>
      </w:tr>
      <w:tr w:rsidR="00226CCF" w:rsidRPr="003D27FE" w14:paraId="0EB79FC2" w14:textId="77777777" w:rsidTr="00075FBF">
        <w:trPr>
          <w:trHeight w:val="307"/>
        </w:trPr>
        <w:tc>
          <w:tcPr>
            <w:tcW w:w="3993" w:type="dxa"/>
            <w:tcBorders>
              <w:top w:val="single" w:sz="4" w:space="0" w:color="auto"/>
              <w:bottom w:val="single" w:sz="4" w:space="0" w:color="auto"/>
            </w:tcBorders>
          </w:tcPr>
          <w:p w14:paraId="5D48FD08" w14:textId="77777777" w:rsidR="00226CCF" w:rsidRPr="003D27FE" w:rsidRDefault="00226CCF" w:rsidP="00075FBF">
            <w:pPr>
              <w:pStyle w:val="TableParagraph"/>
              <w:spacing w:before="38"/>
              <w:ind w:left="117"/>
              <w:jc w:val="left"/>
              <w:rPr>
                <w:rFonts w:ascii="Arial" w:hAnsi="Arial" w:cs="Arial"/>
                <w:sz w:val="20"/>
                <w:szCs w:val="20"/>
              </w:rPr>
            </w:pPr>
            <w:proofErr w:type="gramStart"/>
            <w:r w:rsidRPr="003D27FE">
              <w:rPr>
                <w:rFonts w:ascii="Arial" w:hAnsi="Arial" w:cs="Arial"/>
                <w:sz w:val="20"/>
                <w:szCs w:val="20"/>
              </w:rPr>
              <w:t>At</w:t>
            </w:r>
            <w:proofErr w:type="gramEnd"/>
            <w:r w:rsidRPr="003D27FE">
              <w:rPr>
                <w:rFonts w:ascii="Arial" w:hAnsi="Arial" w:cs="Arial"/>
                <w:spacing w:val="-2"/>
                <w:sz w:val="20"/>
                <w:szCs w:val="20"/>
              </w:rPr>
              <w:t xml:space="preserve"> </w:t>
            </w:r>
            <w:r w:rsidRPr="003D27FE">
              <w:rPr>
                <w:rFonts w:ascii="Arial" w:hAnsi="Arial" w:cs="Arial"/>
                <w:sz w:val="20"/>
                <w:szCs w:val="20"/>
              </w:rPr>
              <w:t>30</w:t>
            </w:r>
            <w:r w:rsidRPr="003D27FE">
              <w:rPr>
                <w:rFonts w:ascii="Arial" w:hAnsi="Arial" w:cs="Arial"/>
                <w:spacing w:val="-1"/>
                <w:sz w:val="20"/>
                <w:szCs w:val="20"/>
              </w:rPr>
              <w:t xml:space="preserve"> </w:t>
            </w:r>
            <w:r w:rsidRPr="003D27FE">
              <w:rPr>
                <w:rFonts w:ascii="Arial" w:hAnsi="Arial" w:cs="Arial"/>
                <w:sz w:val="20"/>
                <w:szCs w:val="20"/>
              </w:rPr>
              <w:t>September 2023</w:t>
            </w:r>
          </w:p>
        </w:tc>
        <w:tc>
          <w:tcPr>
            <w:tcW w:w="1418" w:type="dxa"/>
            <w:tcBorders>
              <w:top w:val="single" w:sz="4" w:space="0" w:color="auto"/>
              <w:bottom w:val="single" w:sz="4" w:space="0" w:color="auto"/>
            </w:tcBorders>
          </w:tcPr>
          <w:p w14:paraId="541FF119" w14:textId="77777777" w:rsidR="00226CCF" w:rsidRPr="003D27FE" w:rsidRDefault="00226CCF" w:rsidP="00075FBF">
            <w:pPr>
              <w:pStyle w:val="TableParagraph"/>
              <w:spacing w:before="45"/>
              <w:ind w:right="123"/>
              <w:rPr>
                <w:rFonts w:ascii="Arial" w:hAnsi="Arial" w:cs="Arial"/>
                <w:sz w:val="20"/>
                <w:szCs w:val="20"/>
              </w:rPr>
            </w:pPr>
            <w:r w:rsidRPr="003D27FE">
              <w:rPr>
                <w:rFonts w:ascii="Arial" w:hAnsi="Arial" w:cs="Arial"/>
                <w:sz w:val="20"/>
                <w:szCs w:val="20"/>
              </w:rPr>
              <w:t>622,317,362</w:t>
            </w:r>
          </w:p>
        </w:tc>
        <w:tc>
          <w:tcPr>
            <w:tcW w:w="1417" w:type="dxa"/>
            <w:tcBorders>
              <w:top w:val="single" w:sz="4" w:space="0" w:color="auto"/>
              <w:bottom w:val="single" w:sz="4" w:space="0" w:color="auto"/>
            </w:tcBorders>
          </w:tcPr>
          <w:p w14:paraId="68713A13" w14:textId="77777777" w:rsidR="00226CCF" w:rsidRPr="003D27FE" w:rsidRDefault="00226CCF" w:rsidP="00075FBF">
            <w:pPr>
              <w:pStyle w:val="TableParagraph"/>
              <w:spacing w:before="38"/>
              <w:ind w:right="241"/>
              <w:rPr>
                <w:rFonts w:ascii="Arial" w:hAnsi="Arial" w:cs="Arial"/>
                <w:sz w:val="20"/>
                <w:szCs w:val="20"/>
              </w:rPr>
            </w:pPr>
            <w:r w:rsidRPr="003D27FE">
              <w:rPr>
                <w:rFonts w:ascii="Arial" w:hAnsi="Arial" w:cs="Arial"/>
                <w:sz w:val="20"/>
                <w:szCs w:val="20"/>
              </w:rPr>
              <w:t>622</w:t>
            </w:r>
          </w:p>
        </w:tc>
        <w:tc>
          <w:tcPr>
            <w:tcW w:w="1418" w:type="dxa"/>
            <w:tcBorders>
              <w:top w:val="single" w:sz="4" w:space="0" w:color="auto"/>
              <w:bottom w:val="single" w:sz="4" w:space="0" w:color="auto"/>
            </w:tcBorders>
          </w:tcPr>
          <w:p w14:paraId="5ACDDD9E" w14:textId="77777777" w:rsidR="00226CCF" w:rsidRPr="003D27FE" w:rsidRDefault="00226CCF" w:rsidP="00075FBF">
            <w:pPr>
              <w:pStyle w:val="TableParagraph"/>
              <w:spacing w:before="38"/>
              <w:ind w:right="242"/>
              <w:rPr>
                <w:rFonts w:ascii="Arial" w:hAnsi="Arial" w:cs="Arial"/>
                <w:sz w:val="20"/>
                <w:szCs w:val="20"/>
              </w:rPr>
            </w:pPr>
            <w:r w:rsidRPr="003D27FE">
              <w:rPr>
                <w:rFonts w:ascii="Arial" w:hAnsi="Arial" w:cs="Arial"/>
                <w:sz w:val="20"/>
                <w:szCs w:val="20"/>
              </w:rPr>
              <w:t>23,061</w:t>
            </w:r>
          </w:p>
        </w:tc>
        <w:tc>
          <w:tcPr>
            <w:tcW w:w="1275" w:type="dxa"/>
            <w:tcBorders>
              <w:top w:val="single" w:sz="4" w:space="0" w:color="auto"/>
              <w:bottom w:val="single" w:sz="4" w:space="0" w:color="auto"/>
            </w:tcBorders>
          </w:tcPr>
          <w:p w14:paraId="26BBD3C3" w14:textId="77777777" w:rsidR="00226CCF" w:rsidRPr="003D27FE" w:rsidRDefault="00226CCF" w:rsidP="00075FBF">
            <w:pPr>
              <w:pStyle w:val="TableParagraph"/>
              <w:spacing w:before="38"/>
              <w:ind w:right="104"/>
              <w:rPr>
                <w:rFonts w:ascii="Arial" w:hAnsi="Arial" w:cs="Arial"/>
                <w:sz w:val="20"/>
                <w:szCs w:val="20"/>
              </w:rPr>
            </w:pPr>
            <w:r w:rsidRPr="003D27FE">
              <w:rPr>
                <w:rFonts w:ascii="Arial" w:hAnsi="Arial" w:cs="Arial"/>
                <w:sz w:val="20"/>
                <w:szCs w:val="20"/>
              </w:rPr>
              <w:t>23,683</w:t>
            </w:r>
          </w:p>
        </w:tc>
      </w:tr>
      <w:tr w:rsidR="00226CCF" w:rsidRPr="003D27FE" w14:paraId="0488A8BB" w14:textId="77777777" w:rsidTr="00075FBF">
        <w:trPr>
          <w:trHeight w:val="306"/>
        </w:trPr>
        <w:tc>
          <w:tcPr>
            <w:tcW w:w="3993" w:type="dxa"/>
            <w:tcBorders>
              <w:top w:val="single" w:sz="4" w:space="0" w:color="auto"/>
              <w:bottom w:val="single" w:sz="4" w:space="0" w:color="auto"/>
            </w:tcBorders>
          </w:tcPr>
          <w:p w14:paraId="357886A1" w14:textId="0AE66462" w:rsidR="00226CCF" w:rsidRPr="003D27FE" w:rsidRDefault="00226CCF" w:rsidP="00075FBF">
            <w:pPr>
              <w:pStyle w:val="TableParagraph"/>
              <w:spacing w:before="36"/>
              <w:ind w:left="117"/>
              <w:jc w:val="left"/>
              <w:rPr>
                <w:rFonts w:ascii="Arial" w:hAnsi="Arial" w:cs="Arial"/>
                <w:b/>
                <w:sz w:val="20"/>
                <w:szCs w:val="20"/>
              </w:rPr>
            </w:pPr>
            <w:proofErr w:type="gramStart"/>
            <w:r w:rsidRPr="003D27FE">
              <w:rPr>
                <w:rFonts w:ascii="Arial" w:hAnsi="Arial" w:cs="Arial"/>
                <w:b/>
                <w:sz w:val="20"/>
                <w:szCs w:val="20"/>
              </w:rPr>
              <w:t>At</w:t>
            </w:r>
            <w:proofErr w:type="gramEnd"/>
            <w:r w:rsidRPr="003D27FE">
              <w:rPr>
                <w:rFonts w:ascii="Arial" w:hAnsi="Arial" w:cs="Arial"/>
                <w:b/>
                <w:spacing w:val="-2"/>
                <w:sz w:val="20"/>
                <w:szCs w:val="20"/>
              </w:rPr>
              <w:t xml:space="preserve"> </w:t>
            </w:r>
            <w:r w:rsidRPr="003D27FE">
              <w:rPr>
                <w:rFonts w:ascii="Arial" w:hAnsi="Arial" w:cs="Arial"/>
                <w:b/>
                <w:sz w:val="20"/>
                <w:szCs w:val="20"/>
              </w:rPr>
              <w:t>31</w:t>
            </w:r>
            <w:r w:rsidRPr="003D27FE">
              <w:rPr>
                <w:rFonts w:ascii="Arial" w:hAnsi="Arial" w:cs="Arial"/>
                <w:b/>
                <w:spacing w:val="1"/>
                <w:sz w:val="20"/>
                <w:szCs w:val="20"/>
              </w:rPr>
              <w:t xml:space="preserve"> </w:t>
            </w:r>
            <w:r w:rsidR="003850D6" w:rsidRPr="003D27FE">
              <w:rPr>
                <w:rFonts w:ascii="Arial" w:hAnsi="Arial" w:cs="Arial"/>
                <w:b/>
                <w:spacing w:val="1"/>
                <w:sz w:val="20"/>
                <w:szCs w:val="20"/>
              </w:rPr>
              <w:t xml:space="preserve">December </w:t>
            </w:r>
            <w:r w:rsidRPr="003D27FE">
              <w:rPr>
                <w:rFonts w:ascii="Arial" w:hAnsi="Arial" w:cs="Arial"/>
                <w:b/>
                <w:sz w:val="20"/>
                <w:szCs w:val="20"/>
              </w:rPr>
              <w:t>2024</w:t>
            </w:r>
          </w:p>
        </w:tc>
        <w:tc>
          <w:tcPr>
            <w:tcW w:w="1418" w:type="dxa"/>
            <w:tcBorders>
              <w:top w:val="single" w:sz="4" w:space="0" w:color="auto"/>
              <w:bottom w:val="single" w:sz="4" w:space="0" w:color="auto"/>
            </w:tcBorders>
          </w:tcPr>
          <w:p w14:paraId="6BD1AE52" w14:textId="7F0CFE0D" w:rsidR="00226CCF" w:rsidRPr="003D27FE" w:rsidRDefault="00F577BA" w:rsidP="00075FBF">
            <w:pPr>
              <w:pStyle w:val="TableParagraph"/>
              <w:spacing w:before="43"/>
              <w:ind w:right="123"/>
              <w:rPr>
                <w:rFonts w:ascii="Arial" w:hAnsi="Arial" w:cs="Arial"/>
                <w:b/>
                <w:sz w:val="20"/>
                <w:szCs w:val="20"/>
              </w:rPr>
            </w:pPr>
            <w:r w:rsidRPr="003D27FE">
              <w:rPr>
                <w:rFonts w:ascii="Arial" w:hAnsi="Arial" w:cs="Arial"/>
                <w:b/>
                <w:sz w:val="20"/>
                <w:szCs w:val="20"/>
              </w:rPr>
              <w:t>804,984,029</w:t>
            </w:r>
          </w:p>
        </w:tc>
        <w:tc>
          <w:tcPr>
            <w:tcW w:w="1417" w:type="dxa"/>
            <w:tcBorders>
              <w:top w:val="single" w:sz="4" w:space="0" w:color="auto"/>
              <w:bottom w:val="single" w:sz="4" w:space="0" w:color="auto"/>
            </w:tcBorders>
          </w:tcPr>
          <w:p w14:paraId="661965D7" w14:textId="41F373D8" w:rsidR="00226CCF" w:rsidRPr="003D27FE" w:rsidRDefault="00F577BA" w:rsidP="00075FBF">
            <w:pPr>
              <w:pStyle w:val="TableParagraph"/>
              <w:spacing w:before="36"/>
              <w:ind w:right="241"/>
              <w:rPr>
                <w:rFonts w:ascii="Arial" w:hAnsi="Arial" w:cs="Arial"/>
                <w:b/>
                <w:sz w:val="20"/>
                <w:szCs w:val="20"/>
              </w:rPr>
            </w:pPr>
            <w:r w:rsidRPr="003D27FE">
              <w:rPr>
                <w:rFonts w:ascii="Arial" w:hAnsi="Arial" w:cs="Arial"/>
                <w:b/>
                <w:sz w:val="20"/>
                <w:szCs w:val="20"/>
              </w:rPr>
              <w:t>805</w:t>
            </w:r>
          </w:p>
        </w:tc>
        <w:tc>
          <w:tcPr>
            <w:tcW w:w="1418" w:type="dxa"/>
            <w:tcBorders>
              <w:top w:val="single" w:sz="4" w:space="0" w:color="auto"/>
              <w:bottom w:val="single" w:sz="4" w:space="0" w:color="auto"/>
            </w:tcBorders>
          </w:tcPr>
          <w:p w14:paraId="7764D23A" w14:textId="35D85579" w:rsidR="00226CCF" w:rsidRPr="003D27FE" w:rsidRDefault="00226CCF" w:rsidP="00075FBF">
            <w:pPr>
              <w:pStyle w:val="TableParagraph"/>
              <w:spacing w:before="36"/>
              <w:ind w:right="244"/>
              <w:rPr>
                <w:rFonts w:ascii="Arial" w:hAnsi="Arial" w:cs="Arial"/>
                <w:b/>
                <w:sz w:val="20"/>
                <w:szCs w:val="20"/>
              </w:rPr>
            </w:pPr>
            <w:r w:rsidRPr="003D27FE">
              <w:rPr>
                <w:rFonts w:ascii="Arial" w:hAnsi="Arial" w:cs="Arial"/>
                <w:b/>
                <w:sz w:val="20"/>
                <w:szCs w:val="20"/>
              </w:rPr>
              <w:t>23,</w:t>
            </w:r>
            <w:r w:rsidR="00F577BA" w:rsidRPr="003D27FE">
              <w:rPr>
                <w:rFonts w:ascii="Arial" w:hAnsi="Arial" w:cs="Arial"/>
                <w:b/>
                <w:sz w:val="20"/>
                <w:szCs w:val="20"/>
              </w:rPr>
              <w:t>673</w:t>
            </w:r>
          </w:p>
        </w:tc>
        <w:tc>
          <w:tcPr>
            <w:tcW w:w="1275" w:type="dxa"/>
            <w:tcBorders>
              <w:top w:val="single" w:sz="4" w:space="0" w:color="auto"/>
              <w:bottom w:val="single" w:sz="4" w:space="0" w:color="auto"/>
            </w:tcBorders>
          </w:tcPr>
          <w:p w14:paraId="71E1F533" w14:textId="6F9BEC94" w:rsidR="00226CCF" w:rsidRPr="003D27FE" w:rsidRDefault="00226CCF" w:rsidP="00075FBF">
            <w:pPr>
              <w:pStyle w:val="TableParagraph"/>
              <w:spacing w:before="36"/>
              <w:ind w:right="105"/>
              <w:rPr>
                <w:rFonts w:ascii="Arial" w:hAnsi="Arial" w:cs="Arial"/>
                <w:b/>
                <w:sz w:val="20"/>
                <w:szCs w:val="20"/>
              </w:rPr>
            </w:pPr>
            <w:r w:rsidRPr="003D27FE">
              <w:rPr>
                <w:rFonts w:ascii="Arial" w:hAnsi="Arial" w:cs="Arial"/>
                <w:b/>
                <w:sz w:val="20"/>
                <w:szCs w:val="20"/>
              </w:rPr>
              <w:t>24,</w:t>
            </w:r>
            <w:r w:rsidR="00F577BA" w:rsidRPr="003D27FE">
              <w:rPr>
                <w:rFonts w:ascii="Arial" w:hAnsi="Arial" w:cs="Arial"/>
                <w:b/>
                <w:sz w:val="20"/>
                <w:szCs w:val="20"/>
              </w:rPr>
              <w:t>478</w:t>
            </w:r>
          </w:p>
        </w:tc>
      </w:tr>
    </w:tbl>
    <w:p w14:paraId="09BDC383" w14:textId="77777777" w:rsidR="00226CCF" w:rsidRPr="003D27FE" w:rsidRDefault="00226CCF" w:rsidP="00226CCF">
      <w:pPr>
        <w:pStyle w:val="BodyText"/>
        <w:rPr>
          <w:rFonts w:ascii="Arial" w:hAnsi="Arial" w:cs="Arial"/>
          <w:sz w:val="20"/>
          <w:szCs w:val="20"/>
        </w:rPr>
      </w:pPr>
    </w:p>
    <w:p w14:paraId="50022732" w14:textId="1D7CE961" w:rsidR="00226CCF" w:rsidRPr="003D27FE" w:rsidRDefault="00F577BA" w:rsidP="00226CCF">
      <w:pPr>
        <w:pStyle w:val="BodyText"/>
        <w:rPr>
          <w:rFonts w:ascii="Arial" w:hAnsi="Arial" w:cs="Arial"/>
          <w:b/>
          <w:bCs/>
          <w:sz w:val="20"/>
          <w:szCs w:val="20"/>
        </w:rPr>
      </w:pPr>
      <w:r w:rsidRPr="003D27FE">
        <w:rPr>
          <w:rFonts w:ascii="Arial" w:hAnsi="Arial" w:cs="Arial"/>
          <w:sz w:val="20"/>
          <w:szCs w:val="20"/>
        </w:rPr>
        <w:t xml:space="preserve">182,666,667 </w:t>
      </w:r>
      <w:r w:rsidR="00226CCF" w:rsidRPr="003D27FE">
        <w:rPr>
          <w:rFonts w:ascii="Arial" w:hAnsi="Arial" w:cs="Arial"/>
          <w:sz w:val="20"/>
          <w:szCs w:val="20"/>
        </w:rPr>
        <w:t xml:space="preserve">shares were issued in the period from the Company's last annual report on 30 September 2023 to 31 </w:t>
      </w:r>
      <w:r w:rsidR="003850D6" w:rsidRPr="003D27FE">
        <w:rPr>
          <w:rFonts w:ascii="Arial" w:hAnsi="Arial" w:cs="Arial"/>
          <w:sz w:val="20"/>
          <w:szCs w:val="20"/>
        </w:rPr>
        <w:t xml:space="preserve">December </w:t>
      </w:r>
      <w:r w:rsidR="00226CCF" w:rsidRPr="003D27FE">
        <w:rPr>
          <w:rFonts w:ascii="Arial" w:hAnsi="Arial" w:cs="Arial"/>
          <w:sz w:val="20"/>
          <w:szCs w:val="20"/>
        </w:rPr>
        <w:t>2024.</w:t>
      </w:r>
    </w:p>
    <w:p w14:paraId="1800E33A" w14:textId="77777777" w:rsidR="0055205F" w:rsidRPr="003D27FE" w:rsidRDefault="0055205F" w:rsidP="0055205F">
      <w:pPr>
        <w:rPr>
          <w:sz w:val="20"/>
          <w:szCs w:val="20"/>
        </w:rPr>
      </w:pPr>
    </w:p>
    <w:p w14:paraId="41F11130" w14:textId="77777777" w:rsidR="0055205F" w:rsidRPr="003D27FE" w:rsidRDefault="0055205F" w:rsidP="005B0BD2">
      <w:pPr>
        <w:ind w:left="-142" w:right="-142"/>
        <w:rPr>
          <w:color w:val="000000"/>
          <w:sz w:val="20"/>
          <w:szCs w:val="20"/>
        </w:rPr>
      </w:pPr>
    </w:p>
    <w:p w14:paraId="0AC5055B" w14:textId="77777777" w:rsidR="009E510E" w:rsidRPr="003D27FE" w:rsidRDefault="009E510E">
      <w:pPr>
        <w:rPr>
          <w:sz w:val="20"/>
          <w:szCs w:val="20"/>
        </w:rPr>
      </w:pPr>
    </w:p>
    <w:sectPr w:rsidR="009E510E" w:rsidRPr="003D27FE" w:rsidSect="00413E9E">
      <w:headerReference w:type="default" r:id="rId13"/>
      <w:footerReference w:type="default" r:id="rId14"/>
      <w:pgSz w:w="12240" w:h="15840"/>
      <w:pgMar w:top="894" w:right="1161"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2C8A0" w14:textId="77777777" w:rsidR="00B71448" w:rsidRDefault="00B71448" w:rsidP="00F23DD0">
      <w:pPr>
        <w:spacing w:line="240" w:lineRule="auto"/>
      </w:pPr>
      <w:r>
        <w:separator/>
      </w:r>
    </w:p>
  </w:endnote>
  <w:endnote w:type="continuationSeparator" w:id="0">
    <w:p w14:paraId="4F59A371" w14:textId="77777777" w:rsidR="00B71448" w:rsidRDefault="00B71448" w:rsidP="00F23D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17A94" w14:textId="77777777" w:rsidR="0055205F" w:rsidRDefault="0055205F">
    <w:pPr>
      <w:pStyle w:val="Footer"/>
      <w:jc w:val="right"/>
    </w:pPr>
  </w:p>
  <w:p w14:paraId="5A6882E4" w14:textId="77777777" w:rsidR="0055205F" w:rsidRDefault="00552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3F67B" w14:textId="77777777" w:rsidR="00B71448" w:rsidRDefault="00B71448" w:rsidP="00F23DD0">
      <w:pPr>
        <w:spacing w:line="240" w:lineRule="auto"/>
      </w:pPr>
      <w:r>
        <w:separator/>
      </w:r>
    </w:p>
  </w:footnote>
  <w:footnote w:type="continuationSeparator" w:id="0">
    <w:p w14:paraId="394DB808" w14:textId="77777777" w:rsidR="00B71448" w:rsidRDefault="00B71448" w:rsidP="00F23D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0C3C0" w14:textId="77777777" w:rsidR="0055205F" w:rsidRDefault="0055205F">
    <w:pPr>
      <w:pStyle w:val="Header"/>
      <w:jc w:val="right"/>
    </w:pPr>
  </w:p>
  <w:p w14:paraId="7B526A26" w14:textId="77777777" w:rsidR="0055205F" w:rsidRDefault="00552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4CF"/>
    <w:multiLevelType w:val="hybridMultilevel"/>
    <w:tmpl w:val="35080376"/>
    <w:lvl w:ilvl="0" w:tplc="988A89A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62A30"/>
    <w:multiLevelType w:val="hybridMultilevel"/>
    <w:tmpl w:val="7796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70254"/>
    <w:multiLevelType w:val="multilevel"/>
    <w:tmpl w:val="0216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C7DAA"/>
    <w:multiLevelType w:val="multilevel"/>
    <w:tmpl w:val="7594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B0C2A"/>
    <w:multiLevelType w:val="multilevel"/>
    <w:tmpl w:val="9880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A13EB"/>
    <w:multiLevelType w:val="multilevel"/>
    <w:tmpl w:val="8C7E5E04"/>
    <w:lvl w:ilvl="0">
      <w:start w:val="1"/>
      <w:numFmt w:val="decimal"/>
      <w:lvlText w:val="%1"/>
      <w:lvlJc w:val="left"/>
      <w:pPr>
        <w:ind w:left="839" w:hanging="720"/>
      </w:pPr>
      <w:rPr>
        <w:rFonts w:ascii="Times New Roman" w:eastAsia="Times New Roman" w:hAnsi="Times New Roman" w:cs="Times New Roman" w:hint="default"/>
        <w:w w:val="99"/>
        <w:sz w:val="22"/>
        <w:szCs w:val="22"/>
        <w:lang w:val="en-US" w:eastAsia="en-US" w:bidi="ar-SA"/>
      </w:rPr>
    </w:lvl>
    <w:lvl w:ilvl="1">
      <w:start w:val="1"/>
      <w:numFmt w:val="decimal"/>
      <w:lvlText w:val="%1.%2"/>
      <w:lvlJc w:val="left"/>
      <w:pPr>
        <w:ind w:left="839" w:hanging="720"/>
      </w:pPr>
      <w:rPr>
        <w:rFonts w:ascii="Times New Roman" w:eastAsia="Times New Roman" w:hAnsi="Times New Roman" w:cs="Times New Roman" w:hint="default"/>
        <w:spacing w:val="0"/>
        <w:w w:val="99"/>
        <w:sz w:val="22"/>
        <w:szCs w:val="22"/>
        <w:lang w:val="en-US" w:eastAsia="en-US" w:bidi="ar-SA"/>
      </w:rPr>
    </w:lvl>
    <w:lvl w:ilvl="2">
      <w:numFmt w:val="bullet"/>
      <w:lvlText w:val="•"/>
      <w:lvlJc w:val="left"/>
      <w:pPr>
        <w:ind w:left="2673" w:hanging="720"/>
      </w:pPr>
      <w:rPr>
        <w:rFonts w:hint="default"/>
        <w:lang w:val="en-US" w:eastAsia="en-US" w:bidi="ar-SA"/>
      </w:rPr>
    </w:lvl>
    <w:lvl w:ilvl="3">
      <w:numFmt w:val="bullet"/>
      <w:lvlText w:val="•"/>
      <w:lvlJc w:val="left"/>
      <w:pPr>
        <w:ind w:left="3590" w:hanging="720"/>
      </w:pPr>
      <w:rPr>
        <w:rFonts w:hint="default"/>
        <w:lang w:val="en-US" w:eastAsia="en-US" w:bidi="ar-SA"/>
      </w:rPr>
    </w:lvl>
    <w:lvl w:ilvl="4">
      <w:numFmt w:val="bullet"/>
      <w:lvlText w:val="•"/>
      <w:lvlJc w:val="left"/>
      <w:pPr>
        <w:ind w:left="4507" w:hanging="720"/>
      </w:pPr>
      <w:rPr>
        <w:rFonts w:hint="default"/>
        <w:lang w:val="en-US" w:eastAsia="en-US" w:bidi="ar-SA"/>
      </w:rPr>
    </w:lvl>
    <w:lvl w:ilvl="5">
      <w:numFmt w:val="bullet"/>
      <w:lvlText w:val="•"/>
      <w:lvlJc w:val="left"/>
      <w:pPr>
        <w:ind w:left="5424" w:hanging="720"/>
      </w:pPr>
      <w:rPr>
        <w:rFonts w:hint="default"/>
        <w:lang w:val="en-US" w:eastAsia="en-US" w:bidi="ar-SA"/>
      </w:rPr>
    </w:lvl>
    <w:lvl w:ilvl="6">
      <w:numFmt w:val="bullet"/>
      <w:lvlText w:val="•"/>
      <w:lvlJc w:val="left"/>
      <w:pPr>
        <w:ind w:left="6341" w:hanging="720"/>
      </w:pPr>
      <w:rPr>
        <w:rFonts w:hint="default"/>
        <w:lang w:val="en-US" w:eastAsia="en-US" w:bidi="ar-SA"/>
      </w:rPr>
    </w:lvl>
    <w:lvl w:ilvl="7">
      <w:numFmt w:val="bullet"/>
      <w:lvlText w:val="•"/>
      <w:lvlJc w:val="left"/>
      <w:pPr>
        <w:ind w:left="7258" w:hanging="720"/>
      </w:pPr>
      <w:rPr>
        <w:rFonts w:hint="default"/>
        <w:lang w:val="en-US" w:eastAsia="en-US" w:bidi="ar-SA"/>
      </w:rPr>
    </w:lvl>
    <w:lvl w:ilvl="8">
      <w:numFmt w:val="bullet"/>
      <w:lvlText w:val="•"/>
      <w:lvlJc w:val="left"/>
      <w:pPr>
        <w:ind w:left="8175" w:hanging="720"/>
      </w:pPr>
      <w:rPr>
        <w:rFonts w:hint="default"/>
        <w:lang w:val="en-US" w:eastAsia="en-US" w:bidi="ar-SA"/>
      </w:rPr>
    </w:lvl>
  </w:abstractNum>
  <w:abstractNum w:abstractNumId="6" w15:restartNumberingAfterBreak="0">
    <w:nsid w:val="1EBC41F5"/>
    <w:multiLevelType w:val="multilevel"/>
    <w:tmpl w:val="4BF2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CB6396"/>
    <w:multiLevelType w:val="multilevel"/>
    <w:tmpl w:val="A130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C07FB7"/>
    <w:multiLevelType w:val="multilevel"/>
    <w:tmpl w:val="E22C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2A47C6"/>
    <w:multiLevelType w:val="multilevel"/>
    <w:tmpl w:val="9A6A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A81D90"/>
    <w:multiLevelType w:val="multilevel"/>
    <w:tmpl w:val="ACC48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8C31FF"/>
    <w:multiLevelType w:val="multilevel"/>
    <w:tmpl w:val="9B50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9C5425"/>
    <w:multiLevelType w:val="hybridMultilevel"/>
    <w:tmpl w:val="B810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80907"/>
    <w:multiLevelType w:val="multilevel"/>
    <w:tmpl w:val="1112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7504112">
    <w:abstractNumId w:val="10"/>
  </w:num>
  <w:num w:numId="2" w16cid:durableId="456684672">
    <w:abstractNumId w:val="0"/>
  </w:num>
  <w:num w:numId="3" w16cid:durableId="1785539384">
    <w:abstractNumId w:val="12"/>
  </w:num>
  <w:num w:numId="4" w16cid:durableId="262569585">
    <w:abstractNumId w:val="1"/>
  </w:num>
  <w:num w:numId="5" w16cid:durableId="1264074610">
    <w:abstractNumId w:val="5"/>
  </w:num>
  <w:num w:numId="6" w16cid:durableId="1689481508">
    <w:abstractNumId w:val="13"/>
  </w:num>
  <w:num w:numId="7" w16cid:durableId="1184397182">
    <w:abstractNumId w:val="9"/>
  </w:num>
  <w:num w:numId="8" w16cid:durableId="20403004">
    <w:abstractNumId w:val="2"/>
  </w:num>
  <w:num w:numId="9" w16cid:durableId="529611716">
    <w:abstractNumId w:val="7"/>
  </w:num>
  <w:num w:numId="10" w16cid:durableId="1634677128">
    <w:abstractNumId w:val="6"/>
  </w:num>
  <w:num w:numId="11" w16cid:durableId="436950532">
    <w:abstractNumId w:val="4"/>
  </w:num>
  <w:num w:numId="12" w16cid:durableId="1660571539">
    <w:abstractNumId w:val="8"/>
  </w:num>
  <w:num w:numId="13" w16cid:durableId="1382708670">
    <w:abstractNumId w:val="3"/>
  </w:num>
  <w:num w:numId="14" w16cid:durableId="4508272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480"/>
    <w:rsid w:val="0001443F"/>
    <w:rsid w:val="00033A4B"/>
    <w:rsid w:val="000419B1"/>
    <w:rsid w:val="000546DD"/>
    <w:rsid w:val="00071D2A"/>
    <w:rsid w:val="000D40CE"/>
    <w:rsid w:val="000D4A0E"/>
    <w:rsid w:val="0015703D"/>
    <w:rsid w:val="001609A9"/>
    <w:rsid w:val="00172390"/>
    <w:rsid w:val="001A6A19"/>
    <w:rsid w:val="001E1AAF"/>
    <w:rsid w:val="001F6EB9"/>
    <w:rsid w:val="002011F3"/>
    <w:rsid w:val="00217587"/>
    <w:rsid w:val="00226CCF"/>
    <w:rsid w:val="0023248A"/>
    <w:rsid w:val="0024507F"/>
    <w:rsid w:val="00257800"/>
    <w:rsid w:val="0028405C"/>
    <w:rsid w:val="002A291F"/>
    <w:rsid w:val="002A7796"/>
    <w:rsid w:val="002C33B3"/>
    <w:rsid w:val="002C6F63"/>
    <w:rsid w:val="002D30F2"/>
    <w:rsid w:val="002E5344"/>
    <w:rsid w:val="002F6E52"/>
    <w:rsid w:val="00344FC2"/>
    <w:rsid w:val="00361EFF"/>
    <w:rsid w:val="003677CB"/>
    <w:rsid w:val="003850D6"/>
    <w:rsid w:val="0039678F"/>
    <w:rsid w:val="003A6EAB"/>
    <w:rsid w:val="003C2A4E"/>
    <w:rsid w:val="003D27FE"/>
    <w:rsid w:val="003E28B7"/>
    <w:rsid w:val="003E4C0A"/>
    <w:rsid w:val="00413E9E"/>
    <w:rsid w:val="004178CE"/>
    <w:rsid w:val="00435EFE"/>
    <w:rsid w:val="0044652B"/>
    <w:rsid w:val="004578B8"/>
    <w:rsid w:val="004637AA"/>
    <w:rsid w:val="00471DDD"/>
    <w:rsid w:val="004E14D1"/>
    <w:rsid w:val="004E198C"/>
    <w:rsid w:val="004E43CB"/>
    <w:rsid w:val="004E733F"/>
    <w:rsid w:val="004F21D4"/>
    <w:rsid w:val="005221AC"/>
    <w:rsid w:val="00544C7F"/>
    <w:rsid w:val="0055205F"/>
    <w:rsid w:val="005A4AFF"/>
    <w:rsid w:val="005B0BD2"/>
    <w:rsid w:val="005D636F"/>
    <w:rsid w:val="006135FC"/>
    <w:rsid w:val="0062181E"/>
    <w:rsid w:val="006406AE"/>
    <w:rsid w:val="006453D0"/>
    <w:rsid w:val="006546EE"/>
    <w:rsid w:val="00664817"/>
    <w:rsid w:val="00695F48"/>
    <w:rsid w:val="006B4927"/>
    <w:rsid w:val="006C0FC4"/>
    <w:rsid w:val="006C7EB6"/>
    <w:rsid w:val="006F765D"/>
    <w:rsid w:val="007045D2"/>
    <w:rsid w:val="00713EB1"/>
    <w:rsid w:val="00722E17"/>
    <w:rsid w:val="00732A97"/>
    <w:rsid w:val="00745EF0"/>
    <w:rsid w:val="007527F6"/>
    <w:rsid w:val="007613F5"/>
    <w:rsid w:val="0076587E"/>
    <w:rsid w:val="00790060"/>
    <w:rsid w:val="0080197B"/>
    <w:rsid w:val="00821DCD"/>
    <w:rsid w:val="00855829"/>
    <w:rsid w:val="00876FBD"/>
    <w:rsid w:val="00877811"/>
    <w:rsid w:val="008823A6"/>
    <w:rsid w:val="00890057"/>
    <w:rsid w:val="008B559E"/>
    <w:rsid w:val="00903589"/>
    <w:rsid w:val="0092411F"/>
    <w:rsid w:val="0093232D"/>
    <w:rsid w:val="00936240"/>
    <w:rsid w:val="009612F8"/>
    <w:rsid w:val="00970480"/>
    <w:rsid w:val="00970A04"/>
    <w:rsid w:val="00972168"/>
    <w:rsid w:val="0097536E"/>
    <w:rsid w:val="00982014"/>
    <w:rsid w:val="00982FD2"/>
    <w:rsid w:val="00986031"/>
    <w:rsid w:val="009E510E"/>
    <w:rsid w:val="00A04AF3"/>
    <w:rsid w:val="00A07E78"/>
    <w:rsid w:val="00A14424"/>
    <w:rsid w:val="00A23D20"/>
    <w:rsid w:val="00A275BA"/>
    <w:rsid w:val="00A34FED"/>
    <w:rsid w:val="00A35764"/>
    <w:rsid w:val="00A46871"/>
    <w:rsid w:val="00A757A1"/>
    <w:rsid w:val="00AB21D1"/>
    <w:rsid w:val="00AB4961"/>
    <w:rsid w:val="00AB6AB6"/>
    <w:rsid w:val="00AE7811"/>
    <w:rsid w:val="00B32607"/>
    <w:rsid w:val="00B349BD"/>
    <w:rsid w:val="00B46FA0"/>
    <w:rsid w:val="00B538C0"/>
    <w:rsid w:val="00B65BD6"/>
    <w:rsid w:val="00B71448"/>
    <w:rsid w:val="00BA3DEC"/>
    <w:rsid w:val="00BB3267"/>
    <w:rsid w:val="00BB6A00"/>
    <w:rsid w:val="00C30876"/>
    <w:rsid w:val="00C41516"/>
    <w:rsid w:val="00C72F5D"/>
    <w:rsid w:val="00C821EC"/>
    <w:rsid w:val="00C9570C"/>
    <w:rsid w:val="00CB23CB"/>
    <w:rsid w:val="00CC6D8D"/>
    <w:rsid w:val="00CD1B52"/>
    <w:rsid w:val="00CF7D76"/>
    <w:rsid w:val="00D00097"/>
    <w:rsid w:val="00D03046"/>
    <w:rsid w:val="00D06038"/>
    <w:rsid w:val="00D06C13"/>
    <w:rsid w:val="00D30F31"/>
    <w:rsid w:val="00D43800"/>
    <w:rsid w:val="00D55CC7"/>
    <w:rsid w:val="00D626DF"/>
    <w:rsid w:val="00D8770B"/>
    <w:rsid w:val="00DB490C"/>
    <w:rsid w:val="00DF251E"/>
    <w:rsid w:val="00DF5C31"/>
    <w:rsid w:val="00E17E62"/>
    <w:rsid w:val="00E302AA"/>
    <w:rsid w:val="00E37778"/>
    <w:rsid w:val="00E45690"/>
    <w:rsid w:val="00E5280F"/>
    <w:rsid w:val="00E651FA"/>
    <w:rsid w:val="00E974DD"/>
    <w:rsid w:val="00EB2ACF"/>
    <w:rsid w:val="00EB7815"/>
    <w:rsid w:val="00EC6AC4"/>
    <w:rsid w:val="00EE1367"/>
    <w:rsid w:val="00EE7C32"/>
    <w:rsid w:val="00EF57AE"/>
    <w:rsid w:val="00F23DD0"/>
    <w:rsid w:val="00F4016A"/>
    <w:rsid w:val="00F41F23"/>
    <w:rsid w:val="00F526CC"/>
    <w:rsid w:val="00F56C12"/>
    <w:rsid w:val="00F577BA"/>
    <w:rsid w:val="00F66B29"/>
    <w:rsid w:val="00F73D64"/>
    <w:rsid w:val="00F85721"/>
    <w:rsid w:val="00FD1C7E"/>
    <w:rsid w:val="00FD33D5"/>
    <w:rsid w:val="00FD6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2838"/>
  <w15:docId w15:val="{AE311F15-27A0-F745-B847-6FACC3A5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23DD0"/>
    <w:pPr>
      <w:tabs>
        <w:tab w:val="center" w:pos="4513"/>
        <w:tab w:val="right" w:pos="9026"/>
      </w:tabs>
      <w:spacing w:line="240" w:lineRule="auto"/>
    </w:pPr>
  </w:style>
  <w:style w:type="character" w:customStyle="1" w:styleId="HeaderChar">
    <w:name w:val="Header Char"/>
    <w:basedOn w:val="DefaultParagraphFont"/>
    <w:link w:val="Header"/>
    <w:uiPriority w:val="99"/>
    <w:rsid w:val="00F23DD0"/>
  </w:style>
  <w:style w:type="paragraph" w:styleId="Footer">
    <w:name w:val="footer"/>
    <w:basedOn w:val="Normal"/>
    <w:link w:val="FooterChar"/>
    <w:uiPriority w:val="99"/>
    <w:unhideWhenUsed/>
    <w:rsid w:val="00F23DD0"/>
    <w:pPr>
      <w:tabs>
        <w:tab w:val="center" w:pos="4513"/>
        <w:tab w:val="right" w:pos="9026"/>
      </w:tabs>
      <w:spacing w:line="240" w:lineRule="auto"/>
    </w:pPr>
  </w:style>
  <w:style w:type="character" w:customStyle="1" w:styleId="FooterChar">
    <w:name w:val="Footer Char"/>
    <w:basedOn w:val="DefaultParagraphFont"/>
    <w:link w:val="Footer"/>
    <w:uiPriority w:val="99"/>
    <w:rsid w:val="00F23DD0"/>
  </w:style>
  <w:style w:type="paragraph" w:styleId="ListParagraph">
    <w:name w:val="List Paragraph"/>
    <w:basedOn w:val="Normal"/>
    <w:uiPriority w:val="34"/>
    <w:qFormat/>
    <w:rsid w:val="00B65BD6"/>
    <w:pPr>
      <w:spacing w:line="240" w:lineRule="auto"/>
      <w:ind w:left="720"/>
      <w:contextualSpacing/>
    </w:pPr>
    <w:rPr>
      <w:rFonts w:asciiTheme="minorHAnsi" w:eastAsiaTheme="minorHAnsi" w:hAnsiTheme="minorHAnsi" w:cstheme="minorBidi"/>
      <w:sz w:val="24"/>
      <w:szCs w:val="24"/>
      <w:lang w:eastAsia="en-US"/>
    </w:rPr>
  </w:style>
  <w:style w:type="character" w:customStyle="1" w:styleId="ba">
    <w:name w:val="ba"/>
    <w:basedOn w:val="DefaultParagraphFont"/>
    <w:rsid w:val="003677CB"/>
  </w:style>
  <w:style w:type="character" w:customStyle="1" w:styleId="az">
    <w:name w:val="az"/>
    <w:basedOn w:val="DefaultParagraphFont"/>
    <w:rsid w:val="003677CB"/>
  </w:style>
  <w:style w:type="paragraph" w:styleId="Revision">
    <w:name w:val="Revision"/>
    <w:hidden/>
    <w:uiPriority w:val="99"/>
    <w:semiHidden/>
    <w:rsid w:val="00257800"/>
    <w:pPr>
      <w:spacing w:line="240" w:lineRule="auto"/>
    </w:pPr>
  </w:style>
  <w:style w:type="paragraph" w:styleId="BodyText">
    <w:name w:val="Body Text"/>
    <w:basedOn w:val="Normal"/>
    <w:link w:val="BodyTextChar"/>
    <w:uiPriority w:val="1"/>
    <w:qFormat/>
    <w:rsid w:val="00226CCF"/>
    <w:pPr>
      <w:widowControl w:val="0"/>
      <w:autoSpaceDE w:val="0"/>
      <w:autoSpaceDN w:val="0"/>
      <w:spacing w:line="240" w:lineRule="auto"/>
    </w:pPr>
    <w:rPr>
      <w:rFonts w:ascii="Times New Roman" w:eastAsia="Times New Roman" w:hAnsi="Times New Roman" w:cs="Times New Roman"/>
      <w:lang w:eastAsia="en-US"/>
    </w:rPr>
  </w:style>
  <w:style w:type="character" w:customStyle="1" w:styleId="BodyTextChar">
    <w:name w:val="Body Text Char"/>
    <w:basedOn w:val="DefaultParagraphFont"/>
    <w:link w:val="BodyText"/>
    <w:uiPriority w:val="1"/>
    <w:rsid w:val="00226CCF"/>
    <w:rPr>
      <w:rFonts w:ascii="Times New Roman" w:eastAsia="Times New Roman" w:hAnsi="Times New Roman" w:cs="Times New Roman"/>
      <w:lang w:eastAsia="en-US"/>
    </w:rPr>
  </w:style>
  <w:style w:type="paragraph" w:customStyle="1" w:styleId="TableParagraph">
    <w:name w:val="Table Paragraph"/>
    <w:basedOn w:val="Normal"/>
    <w:uiPriority w:val="1"/>
    <w:qFormat/>
    <w:rsid w:val="00226CCF"/>
    <w:pPr>
      <w:widowControl w:val="0"/>
      <w:autoSpaceDE w:val="0"/>
      <w:autoSpaceDN w:val="0"/>
      <w:spacing w:line="240" w:lineRule="auto"/>
      <w:jc w:val="right"/>
    </w:pPr>
    <w:rPr>
      <w:rFonts w:ascii="Times New Roman" w:eastAsia="Times New Roman" w:hAnsi="Times New Roman" w:cs="Times New Roman"/>
      <w:lang w:eastAsia="en-US"/>
    </w:rPr>
  </w:style>
  <w:style w:type="paragraph" w:customStyle="1" w:styleId="ACText">
    <w:name w:val="AC Text"/>
    <w:basedOn w:val="Normal"/>
    <w:link w:val="ACTextChar"/>
    <w:rsid w:val="00226CCF"/>
    <w:pPr>
      <w:tabs>
        <w:tab w:val="left" w:pos="0"/>
      </w:tabs>
      <w:suppressAutoHyphens/>
      <w:overflowPunct w:val="0"/>
      <w:autoSpaceDE w:val="0"/>
      <w:autoSpaceDN w:val="0"/>
      <w:adjustRightInd w:val="0"/>
      <w:spacing w:before="130" w:line="240" w:lineRule="auto"/>
      <w:jc w:val="both"/>
      <w:textAlignment w:val="baseline"/>
    </w:pPr>
    <w:rPr>
      <w:rFonts w:ascii="Times New Roman" w:eastAsia="Times New Roman" w:hAnsi="Times New Roman" w:cs="Times New Roman"/>
      <w:sz w:val="20"/>
      <w:szCs w:val="20"/>
      <w:lang w:eastAsia="en-US"/>
    </w:rPr>
  </w:style>
  <w:style w:type="character" w:customStyle="1" w:styleId="ACTextChar">
    <w:name w:val="AC Text Char"/>
    <w:link w:val="ACText"/>
    <w:rsid w:val="00226CCF"/>
    <w:rPr>
      <w:rFonts w:ascii="Times New Roman" w:eastAsia="Times New Roman" w:hAnsi="Times New Roman" w:cs="Times New Roman"/>
      <w:sz w:val="20"/>
      <w:szCs w:val="20"/>
      <w:lang w:eastAsia="en-US"/>
    </w:rPr>
  </w:style>
  <w:style w:type="paragraph" w:styleId="NormalWeb">
    <w:name w:val="Normal (Web)"/>
    <w:basedOn w:val="Normal"/>
    <w:uiPriority w:val="99"/>
    <w:unhideWhenUsed/>
    <w:rsid w:val="008B55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55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9693">
      <w:bodyDiv w:val="1"/>
      <w:marLeft w:val="0"/>
      <w:marRight w:val="0"/>
      <w:marTop w:val="0"/>
      <w:marBottom w:val="0"/>
      <w:divBdr>
        <w:top w:val="none" w:sz="0" w:space="0" w:color="auto"/>
        <w:left w:val="none" w:sz="0" w:space="0" w:color="auto"/>
        <w:bottom w:val="none" w:sz="0" w:space="0" w:color="auto"/>
        <w:right w:val="none" w:sz="0" w:space="0" w:color="auto"/>
      </w:divBdr>
    </w:div>
    <w:div w:id="100683733">
      <w:bodyDiv w:val="1"/>
      <w:marLeft w:val="0"/>
      <w:marRight w:val="0"/>
      <w:marTop w:val="0"/>
      <w:marBottom w:val="0"/>
      <w:divBdr>
        <w:top w:val="none" w:sz="0" w:space="0" w:color="auto"/>
        <w:left w:val="none" w:sz="0" w:space="0" w:color="auto"/>
        <w:bottom w:val="none" w:sz="0" w:space="0" w:color="auto"/>
        <w:right w:val="none" w:sz="0" w:space="0" w:color="auto"/>
      </w:divBdr>
    </w:div>
    <w:div w:id="153843414">
      <w:bodyDiv w:val="1"/>
      <w:marLeft w:val="0"/>
      <w:marRight w:val="0"/>
      <w:marTop w:val="0"/>
      <w:marBottom w:val="0"/>
      <w:divBdr>
        <w:top w:val="none" w:sz="0" w:space="0" w:color="auto"/>
        <w:left w:val="none" w:sz="0" w:space="0" w:color="auto"/>
        <w:bottom w:val="none" w:sz="0" w:space="0" w:color="auto"/>
        <w:right w:val="none" w:sz="0" w:space="0" w:color="auto"/>
      </w:divBdr>
    </w:div>
    <w:div w:id="199325451">
      <w:bodyDiv w:val="1"/>
      <w:marLeft w:val="0"/>
      <w:marRight w:val="0"/>
      <w:marTop w:val="0"/>
      <w:marBottom w:val="0"/>
      <w:divBdr>
        <w:top w:val="none" w:sz="0" w:space="0" w:color="auto"/>
        <w:left w:val="none" w:sz="0" w:space="0" w:color="auto"/>
        <w:bottom w:val="none" w:sz="0" w:space="0" w:color="auto"/>
        <w:right w:val="none" w:sz="0" w:space="0" w:color="auto"/>
      </w:divBdr>
    </w:div>
    <w:div w:id="287901285">
      <w:bodyDiv w:val="1"/>
      <w:marLeft w:val="0"/>
      <w:marRight w:val="0"/>
      <w:marTop w:val="0"/>
      <w:marBottom w:val="0"/>
      <w:divBdr>
        <w:top w:val="none" w:sz="0" w:space="0" w:color="auto"/>
        <w:left w:val="none" w:sz="0" w:space="0" w:color="auto"/>
        <w:bottom w:val="none" w:sz="0" w:space="0" w:color="auto"/>
        <w:right w:val="none" w:sz="0" w:space="0" w:color="auto"/>
      </w:divBdr>
    </w:div>
    <w:div w:id="356930002">
      <w:bodyDiv w:val="1"/>
      <w:marLeft w:val="0"/>
      <w:marRight w:val="0"/>
      <w:marTop w:val="0"/>
      <w:marBottom w:val="0"/>
      <w:divBdr>
        <w:top w:val="none" w:sz="0" w:space="0" w:color="auto"/>
        <w:left w:val="none" w:sz="0" w:space="0" w:color="auto"/>
        <w:bottom w:val="none" w:sz="0" w:space="0" w:color="auto"/>
        <w:right w:val="none" w:sz="0" w:space="0" w:color="auto"/>
      </w:divBdr>
    </w:div>
    <w:div w:id="362949708">
      <w:bodyDiv w:val="1"/>
      <w:marLeft w:val="0"/>
      <w:marRight w:val="0"/>
      <w:marTop w:val="0"/>
      <w:marBottom w:val="0"/>
      <w:divBdr>
        <w:top w:val="none" w:sz="0" w:space="0" w:color="auto"/>
        <w:left w:val="none" w:sz="0" w:space="0" w:color="auto"/>
        <w:bottom w:val="none" w:sz="0" w:space="0" w:color="auto"/>
        <w:right w:val="none" w:sz="0" w:space="0" w:color="auto"/>
      </w:divBdr>
    </w:div>
    <w:div w:id="377974825">
      <w:bodyDiv w:val="1"/>
      <w:marLeft w:val="0"/>
      <w:marRight w:val="0"/>
      <w:marTop w:val="0"/>
      <w:marBottom w:val="0"/>
      <w:divBdr>
        <w:top w:val="none" w:sz="0" w:space="0" w:color="auto"/>
        <w:left w:val="none" w:sz="0" w:space="0" w:color="auto"/>
        <w:bottom w:val="none" w:sz="0" w:space="0" w:color="auto"/>
        <w:right w:val="none" w:sz="0" w:space="0" w:color="auto"/>
      </w:divBdr>
    </w:div>
    <w:div w:id="418186263">
      <w:bodyDiv w:val="1"/>
      <w:marLeft w:val="0"/>
      <w:marRight w:val="0"/>
      <w:marTop w:val="0"/>
      <w:marBottom w:val="0"/>
      <w:divBdr>
        <w:top w:val="none" w:sz="0" w:space="0" w:color="auto"/>
        <w:left w:val="none" w:sz="0" w:space="0" w:color="auto"/>
        <w:bottom w:val="none" w:sz="0" w:space="0" w:color="auto"/>
        <w:right w:val="none" w:sz="0" w:space="0" w:color="auto"/>
      </w:divBdr>
    </w:div>
    <w:div w:id="423573598">
      <w:bodyDiv w:val="1"/>
      <w:marLeft w:val="0"/>
      <w:marRight w:val="0"/>
      <w:marTop w:val="0"/>
      <w:marBottom w:val="0"/>
      <w:divBdr>
        <w:top w:val="none" w:sz="0" w:space="0" w:color="auto"/>
        <w:left w:val="none" w:sz="0" w:space="0" w:color="auto"/>
        <w:bottom w:val="none" w:sz="0" w:space="0" w:color="auto"/>
        <w:right w:val="none" w:sz="0" w:space="0" w:color="auto"/>
      </w:divBdr>
    </w:div>
    <w:div w:id="443886502">
      <w:bodyDiv w:val="1"/>
      <w:marLeft w:val="0"/>
      <w:marRight w:val="0"/>
      <w:marTop w:val="0"/>
      <w:marBottom w:val="0"/>
      <w:divBdr>
        <w:top w:val="none" w:sz="0" w:space="0" w:color="auto"/>
        <w:left w:val="none" w:sz="0" w:space="0" w:color="auto"/>
        <w:bottom w:val="none" w:sz="0" w:space="0" w:color="auto"/>
        <w:right w:val="none" w:sz="0" w:space="0" w:color="auto"/>
      </w:divBdr>
    </w:div>
    <w:div w:id="465053419">
      <w:bodyDiv w:val="1"/>
      <w:marLeft w:val="0"/>
      <w:marRight w:val="0"/>
      <w:marTop w:val="0"/>
      <w:marBottom w:val="0"/>
      <w:divBdr>
        <w:top w:val="none" w:sz="0" w:space="0" w:color="auto"/>
        <w:left w:val="none" w:sz="0" w:space="0" w:color="auto"/>
        <w:bottom w:val="none" w:sz="0" w:space="0" w:color="auto"/>
        <w:right w:val="none" w:sz="0" w:space="0" w:color="auto"/>
      </w:divBdr>
    </w:div>
    <w:div w:id="501312375">
      <w:bodyDiv w:val="1"/>
      <w:marLeft w:val="0"/>
      <w:marRight w:val="0"/>
      <w:marTop w:val="0"/>
      <w:marBottom w:val="0"/>
      <w:divBdr>
        <w:top w:val="none" w:sz="0" w:space="0" w:color="auto"/>
        <w:left w:val="none" w:sz="0" w:space="0" w:color="auto"/>
        <w:bottom w:val="none" w:sz="0" w:space="0" w:color="auto"/>
        <w:right w:val="none" w:sz="0" w:space="0" w:color="auto"/>
      </w:divBdr>
    </w:div>
    <w:div w:id="530723304">
      <w:bodyDiv w:val="1"/>
      <w:marLeft w:val="0"/>
      <w:marRight w:val="0"/>
      <w:marTop w:val="0"/>
      <w:marBottom w:val="0"/>
      <w:divBdr>
        <w:top w:val="none" w:sz="0" w:space="0" w:color="auto"/>
        <w:left w:val="none" w:sz="0" w:space="0" w:color="auto"/>
        <w:bottom w:val="none" w:sz="0" w:space="0" w:color="auto"/>
        <w:right w:val="none" w:sz="0" w:space="0" w:color="auto"/>
      </w:divBdr>
    </w:div>
    <w:div w:id="542908994">
      <w:bodyDiv w:val="1"/>
      <w:marLeft w:val="0"/>
      <w:marRight w:val="0"/>
      <w:marTop w:val="0"/>
      <w:marBottom w:val="0"/>
      <w:divBdr>
        <w:top w:val="none" w:sz="0" w:space="0" w:color="auto"/>
        <w:left w:val="none" w:sz="0" w:space="0" w:color="auto"/>
        <w:bottom w:val="none" w:sz="0" w:space="0" w:color="auto"/>
        <w:right w:val="none" w:sz="0" w:space="0" w:color="auto"/>
      </w:divBdr>
    </w:div>
    <w:div w:id="564218236">
      <w:bodyDiv w:val="1"/>
      <w:marLeft w:val="0"/>
      <w:marRight w:val="0"/>
      <w:marTop w:val="0"/>
      <w:marBottom w:val="0"/>
      <w:divBdr>
        <w:top w:val="none" w:sz="0" w:space="0" w:color="auto"/>
        <w:left w:val="none" w:sz="0" w:space="0" w:color="auto"/>
        <w:bottom w:val="none" w:sz="0" w:space="0" w:color="auto"/>
        <w:right w:val="none" w:sz="0" w:space="0" w:color="auto"/>
      </w:divBdr>
    </w:div>
    <w:div w:id="568541766">
      <w:bodyDiv w:val="1"/>
      <w:marLeft w:val="0"/>
      <w:marRight w:val="0"/>
      <w:marTop w:val="0"/>
      <w:marBottom w:val="0"/>
      <w:divBdr>
        <w:top w:val="none" w:sz="0" w:space="0" w:color="auto"/>
        <w:left w:val="none" w:sz="0" w:space="0" w:color="auto"/>
        <w:bottom w:val="none" w:sz="0" w:space="0" w:color="auto"/>
        <w:right w:val="none" w:sz="0" w:space="0" w:color="auto"/>
      </w:divBdr>
    </w:div>
    <w:div w:id="570847941">
      <w:bodyDiv w:val="1"/>
      <w:marLeft w:val="0"/>
      <w:marRight w:val="0"/>
      <w:marTop w:val="0"/>
      <w:marBottom w:val="0"/>
      <w:divBdr>
        <w:top w:val="none" w:sz="0" w:space="0" w:color="auto"/>
        <w:left w:val="none" w:sz="0" w:space="0" w:color="auto"/>
        <w:bottom w:val="none" w:sz="0" w:space="0" w:color="auto"/>
        <w:right w:val="none" w:sz="0" w:space="0" w:color="auto"/>
      </w:divBdr>
    </w:div>
    <w:div w:id="689068060">
      <w:bodyDiv w:val="1"/>
      <w:marLeft w:val="0"/>
      <w:marRight w:val="0"/>
      <w:marTop w:val="0"/>
      <w:marBottom w:val="0"/>
      <w:divBdr>
        <w:top w:val="none" w:sz="0" w:space="0" w:color="auto"/>
        <w:left w:val="none" w:sz="0" w:space="0" w:color="auto"/>
        <w:bottom w:val="none" w:sz="0" w:space="0" w:color="auto"/>
        <w:right w:val="none" w:sz="0" w:space="0" w:color="auto"/>
      </w:divBdr>
    </w:div>
    <w:div w:id="852954294">
      <w:bodyDiv w:val="1"/>
      <w:marLeft w:val="0"/>
      <w:marRight w:val="0"/>
      <w:marTop w:val="0"/>
      <w:marBottom w:val="0"/>
      <w:divBdr>
        <w:top w:val="none" w:sz="0" w:space="0" w:color="auto"/>
        <w:left w:val="none" w:sz="0" w:space="0" w:color="auto"/>
        <w:bottom w:val="none" w:sz="0" w:space="0" w:color="auto"/>
        <w:right w:val="none" w:sz="0" w:space="0" w:color="auto"/>
      </w:divBdr>
    </w:div>
    <w:div w:id="913667557">
      <w:bodyDiv w:val="1"/>
      <w:marLeft w:val="0"/>
      <w:marRight w:val="0"/>
      <w:marTop w:val="0"/>
      <w:marBottom w:val="0"/>
      <w:divBdr>
        <w:top w:val="none" w:sz="0" w:space="0" w:color="auto"/>
        <w:left w:val="none" w:sz="0" w:space="0" w:color="auto"/>
        <w:bottom w:val="none" w:sz="0" w:space="0" w:color="auto"/>
        <w:right w:val="none" w:sz="0" w:space="0" w:color="auto"/>
      </w:divBdr>
    </w:div>
    <w:div w:id="921719478">
      <w:bodyDiv w:val="1"/>
      <w:marLeft w:val="0"/>
      <w:marRight w:val="0"/>
      <w:marTop w:val="0"/>
      <w:marBottom w:val="0"/>
      <w:divBdr>
        <w:top w:val="none" w:sz="0" w:space="0" w:color="auto"/>
        <w:left w:val="none" w:sz="0" w:space="0" w:color="auto"/>
        <w:bottom w:val="none" w:sz="0" w:space="0" w:color="auto"/>
        <w:right w:val="none" w:sz="0" w:space="0" w:color="auto"/>
      </w:divBdr>
    </w:div>
    <w:div w:id="1164317586">
      <w:bodyDiv w:val="1"/>
      <w:marLeft w:val="0"/>
      <w:marRight w:val="0"/>
      <w:marTop w:val="0"/>
      <w:marBottom w:val="0"/>
      <w:divBdr>
        <w:top w:val="none" w:sz="0" w:space="0" w:color="auto"/>
        <w:left w:val="none" w:sz="0" w:space="0" w:color="auto"/>
        <w:bottom w:val="none" w:sz="0" w:space="0" w:color="auto"/>
        <w:right w:val="none" w:sz="0" w:space="0" w:color="auto"/>
      </w:divBdr>
    </w:div>
    <w:div w:id="1213036458">
      <w:bodyDiv w:val="1"/>
      <w:marLeft w:val="0"/>
      <w:marRight w:val="0"/>
      <w:marTop w:val="0"/>
      <w:marBottom w:val="0"/>
      <w:divBdr>
        <w:top w:val="none" w:sz="0" w:space="0" w:color="auto"/>
        <w:left w:val="none" w:sz="0" w:space="0" w:color="auto"/>
        <w:bottom w:val="none" w:sz="0" w:space="0" w:color="auto"/>
        <w:right w:val="none" w:sz="0" w:space="0" w:color="auto"/>
      </w:divBdr>
    </w:div>
    <w:div w:id="1407343120">
      <w:bodyDiv w:val="1"/>
      <w:marLeft w:val="0"/>
      <w:marRight w:val="0"/>
      <w:marTop w:val="0"/>
      <w:marBottom w:val="0"/>
      <w:divBdr>
        <w:top w:val="none" w:sz="0" w:space="0" w:color="auto"/>
        <w:left w:val="none" w:sz="0" w:space="0" w:color="auto"/>
        <w:bottom w:val="none" w:sz="0" w:space="0" w:color="auto"/>
        <w:right w:val="none" w:sz="0" w:space="0" w:color="auto"/>
      </w:divBdr>
    </w:div>
    <w:div w:id="1428770902">
      <w:bodyDiv w:val="1"/>
      <w:marLeft w:val="0"/>
      <w:marRight w:val="0"/>
      <w:marTop w:val="0"/>
      <w:marBottom w:val="0"/>
      <w:divBdr>
        <w:top w:val="none" w:sz="0" w:space="0" w:color="auto"/>
        <w:left w:val="none" w:sz="0" w:space="0" w:color="auto"/>
        <w:bottom w:val="none" w:sz="0" w:space="0" w:color="auto"/>
        <w:right w:val="none" w:sz="0" w:space="0" w:color="auto"/>
      </w:divBdr>
    </w:div>
    <w:div w:id="1533229573">
      <w:bodyDiv w:val="1"/>
      <w:marLeft w:val="0"/>
      <w:marRight w:val="0"/>
      <w:marTop w:val="0"/>
      <w:marBottom w:val="0"/>
      <w:divBdr>
        <w:top w:val="none" w:sz="0" w:space="0" w:color="auto"/>
        <w:left w:val="none" w:sz="0" w:space="0" w:color="auto"/>
        <w:bottom w:val="none" w:sz="0" w:space="0" w:color="auto"/>
        <w:right w:val="none" w:sz="0" w:space="0" w:color="auto"/>
      </w:divBdr>
    </w:div>
    <w:div w:id="1673139684">
      <w:bodyDiv w:val="1"/>
      <w:marLeft w:val="0"/>
      <w:marRight w:val="0"/>
      <w:marTop w:val="0"/>
      <w:marBottom w:val="0"/>
      <w:divBdr>
        <w:top w:val="none" w:sz="0" w:space="0" w:color="auto"/>
        <w:left w:val="none" w:sz="0" w:space="0" w:color="auto"/>
        <w:bottom w:val="none" w:sz="0" w:space="0" w:color="auto"/>
        <w:right w:val="none" w:sz="0" w:space="0" w:color="auto"/>
      </w:divBdr>
    </w:div>
    <w:div w:id="1743216803">
      <w:bodyDiv w:val="1"/>
      <w:marLeft w:val="0"/>
      <w:marRight w:val="0"/>
      <w:marTop w:val="0"/>
      <w:marBottom w:val="0"/>
      <w:divBdr>
        <w:top w:val="none" w:sz="0" w:space="0" w:color="auto"/>
        <w:left w:val="none" w:sz="0" w:space="0" w:color="auto"/>
        <w:bottom w:val="none" w:sz="0" w:space="0" w:color="auto"/>
        <w:right w:val="none" w:sz="0" w:space="0" w:color="auto"/>
      </w:divBdr>
    </w:div>
    <w:div w:id="1756434890">
      <w:bodyDiv w:val="1"/>
      <w:marLeft w:val="0"/>
      <w:marRight w:val="0"/>
      <w:marTop w:val="0"/>
      <w:marBottom w:val="0"/>
      <w:divBdr>
        <w:top w:val="none" w:sz="0" w:space="0" w:color="auto"/>
        <w:left w:val="none" w:sz="0" w:space="0" w:color="auto"/>
        <w:bottom w:val="none" w:sz="0" w:space="0" w:color="auto"/>
        <w:right w:val="none" w:sz="0" w:space="0" w:color="auto"/>
      </w:divBdr>
    </w:div>
    <w:div w:id="1758356961">
      <w:bodyDiv w:val="1"/>
      <w:marLeft w:val="0"/>
      <w:marRight w:val="0"/>
      <w:marTop w:val="0"/>
      <w:marBottom w:val="0"/>
      <w:divBdr>
        <w:top w:val="none" w:sz="0" w:space="0" w:color="auto"/>
        <w:left w:val="none" w:sz="0" w:space="0" w:color="auto"/>
        <w:bottom w:val="none" w:sz="0" w:space="0" w:color="auto"/>
        <w:right w:val="none" w:sz="0" w:space="0" w:color="auto"/>
      </w:divBdr>
    </w:div>
    <w:div w:id="1991786369">
      <w:bodyDiv w:val="1"/>
      <w:marLeft w:val="0"/>
      <w:marRight w:val="0"/>
      <w:marTop w:val="0"/>
      <w:marBottom w:val="0"/>
      <w:divBdr>
        <w:top w:val="none" w:sz="0" w:space="0" w:color="auto"/>
        <w:left w:val="none" w:sz="0" w:space="0" w:color="auto"/>
        <w:bottom w:val="none" w:sz="0" w:space="0" w:color="auto"/>
        <w:right w:val="none" w:sz="0" w:space="0" w:color="auto"/>
      </w:divBdr>
    </w:div>
    <w:div w:id="1991864251">
      <w:bodyDiv w:val="1"/>
      <w:marLeft w:val="0"/>
      <w:marRight w:val="0"/>
      <w:marTop w:val="0"/>
      <w:marBottom w:val="0"/>
      <w:divBdr>
        <w:top w:val="none" w:sz="0" w:space="0" w:color="auto"/>
        <w:left w:val="none" w:sz="0" w:space="0" w:color="auto"/>
        <w:bottom w:val="none" w:sz="0" w:space="0" w:color="auto"/>
        <w:right w:val="none" w:sz="0" w:space="0" w:color="auto"/>
      </w:divBdr>
    </w:div>
    <w:div w:id="2038970436">
      <w:bodyDiv w:val="1"/>
      <w:marLeft w:val="0"/>
      <w:marRight w:val="0"/>
      <w:marTop w:val="0"/>
      <w:marBottom w:val="0"/>
      <w:divBdr>
        <w:top w:val="none" w:sz="0" w:space="0" w:color="auto"/>
        <w:left w:val="none" w:sz="0" w:space="0" w:color="auto"/>
        <w:bottom w:val="none" w:sz="0" w:space="0" w:color="auto"/>
        <w:right w:val="none" w:sz="0" w:space="0" w:color="auto"/>
      </w:divBdr>
    </w:div>
    <w:div w:id="2050260283">
      <w:bodyDiv w:val="1"/>
      <w:marLeft w:val="0"/>
      <w:marRight w:val="0"/>
      <w:marTop w:val="0"/>
      <w:marBottom w:val="0"/>
      <w:divBdr>
        <w:top w:val="none" w:sz="0" w:space="0" w:color="auto"/>
        <w:left w:val="none" w:sz="0" w:space="0" w:color="auto"/>
        <w:bottom w:val="none" w:sz="0" w:space="0" w:color="auto"/>
        <w:right w:val="none" w:sz="0" w:space="0" w:color="auto"/>
      </w:divBdr>
    </w:div>
    <w:div w:id="2058159670">
      <w:bodyDiv w:val="1"/>
      <w:marLeft w:val="0"/>
      <w:marRight w:val="0"/>
      <w:marTop w:val="0"/>
      <w:marBottom w:val="0"/>
      <w:divBdr>
        <w:top w:val="none" w:sz="0" w:space="0" w:color="auto"/>
        <w:left w:val="none" w:sz="0" w:space="0" w:color="auto"/>
        <w:bottom w:val="none" w:sz="0" w:space="0" w:color="auto"/>
        <w:right w:val="none" w:sz="0" w:space="0" w:color="auto"/>
      </w:divBdr>
    </w:div>
    <w:div w:id="2077362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fencetechnologie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fencetechnologie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B1F4192117EE4E8DF2169FF57C5292" ma:contentTypeVersion="5" ma:contentTypeDescription="Create a new document." ma:contentTypeScope="" ma:versionID="f7e585801e5889261015219166bb76b7">
  <xsd:schema xmlns:xsd="http://www.w3.org/2001/XMLSchema" xmlns:xs="http://www.w3.org/2001/XMLSchema" xmlns:p="http://schemas.microsoft.com/office/2006/metadata/properties" xmlns:ns3="82008ac5-fdf9-4495-ba7e-7a4447c23074" targetNamespace="http://schemas.microsoft.com/office/2006/metadata/properties" ma:root="true" ma:fieldsID="da819eae2be47d33d55e735283f84168" ns3:_="">
    <xsd:import namespace="82008ac5-fdf9-4495-ba7e-7a4447c2307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08ac5-fdf9-4495-ba7e-7a4447c2307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DBC8C-C88F-4957-8935-7EF35C500291}">
  <ds:schemaRefs>
    <ds:schemaRef ds:uri="http://schemas.openxmlformats.org/officeDocument/2006/bibliography"/>
  </ds:schemaRefs>
</ds:datastoreItem>
</file>

<file path=customXml/itemProps2.xml><?xml version="1.0" encoding="utf-8"?>
<ds:datastoreItem xmlns:ds="http://schemas.openxmlformats.org/officeDocument/2006/customXml" ds:itemID="{3ACBE0A8-EEA3-45EC-BCF0-DA0C80AE61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4B7186-F2E3-44F0-B4A5-A0ADDD82570C}">
  <ds:schemaRefs>
    <ds:schemaRef ds:uri="http://schemas.microsoft.com/sharepoint/v3/contenttype/forms"/>
  </ds:schemaRefs>
</ds:datastoreItem>
</file>

<file path=customXml/itemProps4.xml><?xml version="1.0" encoding="utf-8"?>
<ds:datastoreItem xmlns:ds="http://schemas.openxmlformats.org/officeDocument/2006/customXml" ds:itemID="{B9342491-2760-4985-9B3B-1BFD691AD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08ac5-fdf9-4495-ba7e-7a4447c23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16</Pages>
  <Words>4878</Words>
  <Characters>27806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Parker</dc:creator>
  <cp:lastModifiedBy>Jenny Liu</cp:lastModifiedBy>
  <cp:revision>56</cp:revision>
  <cp:lastPrinted>2025-06-14T06:45:00Z</cp:lastPrinted>
  <dcterms:created xsi:type="dcterms:W3CDTF">2025-06-15T13:17:00Z</dcterms:created>
  <dcterms:modified xsi:type="dcterms:W3CDTF">2025-06-16T08:57:00Z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0x010100D2B1F4192117EE4E8DF2169FF57C5292</vt:lpwstr>
  </property>
</Properties>
</file>