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7669" w14:textId="77777777" w:rsidR="006803B9" w:rsidRDefault="006803B9" w:rsidP="005B7A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A587C3" w14:textId="24D85B66" w:rsidR="00287EA1" w:rsidRDefault="00287EA1" w:rsidP="00287EA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26 July 2022</w:t>
      </w:r>
    </w:p>
    <w:p w14:paraId="1B371D5E" w14:textId="77777777" w:rsidR="00287EA1" w:rsidRDefault="00287EA1" w:rsidP="00287EA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E8BEA8" w14:textId="6DF72DD0" w:rsidR="006803B9" w:rsidRPr="006803B9" w:rsidRDefault="005B7A72" w:rsidP="006803B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Bytes Technology Group plc</w:t>
      </w:r>
    </w:p>
    <w:p w14:paraId="4A4AAB53" w14:textId="29DA3D85" w:rsidR="005B7A72" w:rsidRPr="005B7A72" w:rsidRDefault="005B7A72" w:rsidP="005B7A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B7A72">
        <w:rPr>
          <w:rFonts w:ascii="Arial" w:hAnsi="Arial" w:cs="Arial"/>
          <w:sz w:val="20"/>
          <w:szCs w:val="20"/>
        </w:rPr>
        <w:t>(</w:t>
      </w:r>
      <w:r w:rsidR="003E7655">
        <w:rPr>
          <w:rFonts w:ascii="Arial" w:hAnsi="Arial" w:cs="Arial"/>
          <w:sz w:val="20"/>
          <w:szCs w:val="20"/>
        </w:rPr>
        <w:t>“</w:t>
      </w:r>
      <w:r w:rsidR="00BB2947">
        <w:rPr>
          <w:rFonts w:ascii="Arial" w:hAnsi="Arial" w:cs="Arial"/>
          <w:sz w:val="20"/>
          <w:szCs w:val="20"/>
        </w:rPr>
        <w:t>BTG</w:t>
      </w:r>
      <w:r w:rsidR="003E7655">
        <w:rPr>
          <w:rFonts w:ascii="Arial" w:hAnsi="Arial" w:cs="Arial"/>
          <w:sz w:val="20"/>
          <w:szCs w:val="20"/>
        </w:rPr>
        <w:t xml:space="preserve">”, </w:t>
      </w:r>
      <w:r w:rsidRPr="005B7A72">
        <w:rPr>
          <w:rFonts w:ascii="Arial" w:hAnsi="Arial" w:cs="Arial"/>
          <w:sz w:val="20"/>
          <w:szCs w:val="20"/>
        </w:rPr>
        <w:t>“the Company”)</w:t>
      </w:r>
    </w:p>
    <w:p w14:paraId="3E171D0D" w14:textId="77777777" w:rsidR="006803B9" w:rsidRDefault="006803B9" w:rsidP="005B7A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747F02" w14:textId="7384860A" w:rsidR="005B7A72" w:rsidRPr="005B7A72" w:rsidRDefault="006E705F" w:rsidP="005B7A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Results </w:t>
      </w:r>
      <w:r w:rsidR="005B7A72" w:rsidRPr="005B7A72">
        <w:rPr>
          <w:rFonts w:ascii="Arial" w:hAnsi="Arial" w:cs="Arial"/>
          <w:b/>
          <w:bCs/>
          <w:sz w:val="20"/>
          <w:szCs w:val="20"/>
        </w:rPr>
        <w:t>of Annual General Meeting</w:t>
      </w:r>
    </w:p>
    <w:p w14:paraId="1101B1F6" w14:textId="77777777" w:rsidR="006803B9" w:rsidRDefault="006803B9" w:rsidP="00595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7E12C6" w14:textId="350E6E73" w:rsidR="006E705F" w:rsidRDefault="00BB2947" w:rsidP="00595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BTG</w:t>
      </w:r>
      <w:r w:rsidR="006E705F">
        <w:rPr>
          <w:rFonts w:ascii="Arial" w:hAnsi="Arial" w:cs="Arial"/>
          <w:sz w:val="20"/>
          <w:szCs w:val="20"/>
        </w:rPr>
        <w:t xml:space="preserve"> </w:t>
      </w:r>
      <w:r w:rsidR="006E705F" w:rsidRPr="006E705F">
        <w:rPr>
          <w:rFonts w:ascii="Arial" w:hAnsi="Arial" w:cs="Arial"/>
          <w:sz w:val="20"/>
          <w:szCs w:val="20"/>
        </w:rPr>
        <w:t xml:space="preserve">announces that at its Annual General Meeting ("AGM") held today, </w:t>
      </w:r>
      <w:r>
        <w:rPr>
          <w:rFonts w:ascii="Arial" w:hAnsi="Arial" w:cs="Arial"/>
          <w:sz w:val="20"/>
          <w:szCs w:val="20"/>
        </w:rPr>
        <w:t>26</w:t>
      </w:r>
      <w:r w:rsidR="006E705F">
        <w:rPr>
          <w:rFonts w:ascii="Arial" w:hAnsi="Arial" w:cs="Arial"/>
          <w:sz w:val="20"/>
          <w:szCs w:val="20"/>
        </w:rPr>
        <w:t xml:space="preserve"> July 202</w:t>
      </w:r>
      <w:r>
        <w:rPr>
          <w:rFonts w:ascii="Arial" w:hAnsi="Arial" w:cs="Arial"/>
          <w:sz w:val="20"/>
          <w:szCs w:val="20"/>
        </w:rPr>
        <w:t>2</w:t>
      </w:r>
      <w:r w:rsidR="006E705F" w:rsidRPr="006E705F">
        <w:rPr>
          <w:rFonts w:ascii="Arial" w:hAnsi="Arial" w:cs="Arial"/>
          <w:sz w:val="20"/>
          <w:szCs w:val="20"/>
        </w:rPr>
        <w:t xml:space="preserve">, all resolutions set out in the </w:t>
      </w:r>
      <w:r w:rsidR="002A5FC3">
        <w:rPr>
          <w:rFonts w:ascii="Arial" w:hAnsi="Arial" w:cs="Arial"/>
          <w:sz w:val="20"/>
          <w:szCs w:val="20"/>
        </w:rPr>
        <w:t>N</w:t>
      </w:r>
      <w:r w:rsidR="006E705F" w:rsidRPr="006E705F">
        <w:rPr>
          <w:rFonts w:ascii="Arial" w:hAnsi="Arial" w:cs="Arial"/>
          <w:sz w:val="20"/>
          <w:szCs w:val="20"/>
        </w:rPr>
        <w:t xml:space="preserve">otice of the AGM were passed by </w:t>
      </w:r>
      <w:proofErr w:type="gramStart"/>
      <w:r w:rsidR="006E705F" w:rsidRPr="006E705F">
        <w:rPr>
          <w:rFonts w:ascii="Arial" w:hAnsi="Arial" w:cs="Arial"/>
          <w:sz w:val="20"/>
          <w:szCs w:val="20"/>
        </w:rPr>
        <w:t>the requisite majority of</w:t>
      </w:r>
      <w:proofErr w:type="gramEnd"/>
      <w:r w:rsidR="006E705F" w:rsidRPr="006E705F">
        <w:rPr>
          <w:rFonts w:ascii="Arial" w:hAnsi="Arial" w:cs="Arial"/>
          <w:sz w:val="20"/>
          <w:szCs w:val="20"/>
        </w:rPr>
        <w:t xml:space="preserve"> votes.</w:t>
      </w:r>
      <w:r w:rsidR="003E7655" w:rsidRPr="003E7655">
        <w:rPr>
          <w:rFonts w:ascii="Calibri" w:hAnsi="Calibri" w:cs="Calibri"/>
          <w:color w:val="16202C"/>
        </w:rPr>
        <w:t xml:space="preserve"> </w:t>
      </w:r>
      <w:r w:rsidR="003E7655">
        <w:rPr>
          <w:rFonts w:ascii="Arial" w:hAnsi="Arial" w:cs="Arial"/>
          <w:sz w:val="20"/>
          <w:szCs w:val="20"/>
        </w:rPr>
        <w:t>A</w:t>
      </w:r>
      <w:r w:rsidR="003E7655" w:rsidRPr="003E7655">
        <w:rPr>
          <w:rFonts w:ascii="Arial" w:hAnsi="Arial" w:cs="Arial"/>
          <w:sz w:val="20"/>
          <w:szCs w:val="20"/>
        </w:rPr>
        <w:t xml:space="preserve"> poll was taken on </w:t>
      </w:r>
      <w:r w:rsidR="004004F7">
        <w:rPr>
          <w:rFonts w:ascii="Arial" w:hAnsi="Arial" w:cs="Arial"/>
          <w:sz w:val="20"/>
          <w:szCs w:val="20"/>
        </w:rPr>
        <w:t xml:space="preserve">the </w:t>
      </w:r>
      <w:r w:rsidR="003E7655" w:rsidRPr="003E7655">
        <w:rPr>
          <w:rFonts w:ascii="Arial" w:hAnsi="Arial" w:cs="Arial"/>
          <w:sz w:val="20"/>
          <w:szCs w:val="20"/>
        </w:rPr>
        <w:t>resolutions put to the meeting</w:t>
      </w:r>
      <w:r w:rsidR="004004F7">
        <w:rPr>
          <w:rFonts w:ascii="Arial" w:hAnsi="Arial" w:cs="Arial"/>
          <w:sz w:val="20"/>
          <w:szCs w:val="20"/>
        </w:rPr>
        <w:t xml:space="preserve">. </w:t>
      </w:r>
    </w:p>
    <w:p w14:paraId="055A68E0" w14:textId="483862FA" w:rsidR="002A5FC3" w:rsidRPr="002A5FC3" w:rsidRDefault="002A5FC3" w:rsidP="002A5F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5FC3">
        <w:rPr>
          <w:rFonts w:ascii="Arial" w:hAnsi="Arial" w:cs="Arial"/>
          <w:sz w:val="20"/>
          <w:szCs w:val="20"/>
        </w:rPr>
        <w:t> </w:t>
      </w:r>
    </w:p>
    <w:p w14:paraId="1F7E74A3" w14:textId="46152467" w:rsidR="00287EA1" w:rsidRPr="002A5FC3" w:rsidRDefault="002A5FC3" w:rsidP="00595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5FC3">
        <w:rPr>
          <w:rFonts w:ascii="Arial" w:hAnsi="Arial" w:cs="Arial"/>
          <w:sz w:val="20"/>
          <w:szCs w:val="20"/>
        </w:rPr>
        <w:t>The results of the poll</w:t>
      </w:r>
      <w:r w:rsidR="003E7655">
        <w:rPr>
          <w:rFonts w:ascii="Arial" w:hAnsi="Arial" w:cs="Arial"/>
          <w:sz w:val="20"/>
          <w:szCs w:val="20"/>
        </w:rPr>
        <w:t xml:space="preserve"> </w:t>
      </w:r>
      <w:r w:rsidR="003E7655" w:rsidRPr="002A5FC3">
        <w:rPr>
          <w:rFonts w:ascii="Arial" w:hAnsi="Arial" w:cs="Arial"/>
          <w:sz w:val="20"/>
          <w:szCs w:val="20"/>
        </w:rPr>
        <w:t>for each resolution</w:t>
      </w:r>
      <w:r w:rsidR="003E7655">
        <w:rPr>
          <w:rFonts w:ascii="Arial" w:hAnsi="Arial" w:cs="Arial"/>
          <w:sz w:val="20"/>
          <w:szCs w:val="20"/>
        </w:rPr>
        <w:t>,</w:t>
      </w:r>
      <w:r w:rsidR="003E7655" w:rsidRPr="002A5FC3">
        <w:rPr>
          <w:rFonts w:ascii="Arial" w:hAnsi="Arial" w:cs="Arial"/>
          <w:sz w:val="20"/>
          <w:szCs w:val="20"/>
        </w:rPr>
        <w:t xml:space="preserve"> </w:t>
      </w:r>
      <w:r w:rsidR="003E7655">
        <w:rPr>
          <w:rFonts w:ascii="Arial" w:hAnsi="Arial" w:cs="Arial"/>
          <w:sz w:val="20"/>
          <w:szCs w:val="20"/>
        </w:rPr>
        <w:t>incorporating proxy votes lodged in advance of the meeting,</w:t>
      </w:r>
      <w:r w:rsidRPr="002A5FC3">
        <w:rPr>
          <w:rFonts w:ascii="Arial" w:hAnsi="Arial" w:cs="Arial"/>
          <w:sz w:val="20"/>
          <w:szCs w:val="20"/>
        </w:rPr>
        <w:t xml:space="preserve"> were as follows:</w:t>
      </w:r>
    </w:p>
    <w:p w14:paraId="7FC09974" w14:textId="77777777" w:rsidR="006803B9" w:rsidRPr="006E705F" w:rsidRDefault="006803B9" w:rsidP="006E70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992"/>
        <w:gridCol w:w="1134"/>
        <w:gridCol w:w="851"/>
        <w:gridCol w:w="1488"/>
        <w:gridCol w:w="1240"/>
        <w:gridCol w:w="1241"/>
      </w:tblGrid>
      <w:tr w:rsidR="00106F1D" w:rsidRPr="006E705F" w14:paraId="2C65804F" w14:textId="77777777" w:rsidTr="00B6138D">
        <w:trPr>
          <w:trHeight w:val="1127"/>
        </w:trPr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E56A" w14:textId="77777777" w:rsidR="006E705F" w:rsidRPr="006E705F" w:rsidRDefault="006E705F" w:rsidP="00106F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143D" w14:textId="77777777" w:rsidR="006E705F" w:rsidRPr="00526076" w:rsidRDefault="006E705F" w:rsidP="00106F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076">
              <w:rPr>
                <w:rFonts w:ascii="Arial" w:hAnsi="Arial" w:cs="Arial"/>
                <w:b/>
                <w:bCs/>
                <w:sz w:val="18"/>
                <w:szCs w:val="18"/>
              </w:rPr>
              <w:t>VOTES FOR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1E08" w14:textId="77777777" w:rsidR="006E705F" w:rsidRPr="00526076" w:rsidRDefault="006E705F" w:rsidP="00106F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076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09BF" w14:textId="77777777" w:rsidR="006E705F" w:rsidRPr="00526076" w:rsidRDefault="006E705F" w:rsidP="00106F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076">
              <w:rPr>
                <w:rFonts w:ascii="Arial" w:hAnsi="Arial" w:cs="Arial"/>
                <w:b/>
                <w:bCs/>
                <w:sz w:val="18"/>
                <w:szCs w:val="18"/>
              </w:rPr>
              <w:t>VOTES AGAINST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D35B" w14:textId="77777777" w:rsidR="006E705F" w:rsidRPr="00526076" w:rsidRDefault="006E705F" w:rsidP="00106F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076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2459" w14:textId="77777777" w:rsidR="006E705F" w:rsidRPr="00526076" w:rsidRDefault="006E705F" w:rsidP="00106F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076">
              <w:rPr>
                <w:rFonts w:ascii="Arial" w:hAnsi="Arial" w:cs="Arial"/>
                <w:b/>
                <w:bCs/>
                <w:sz w:val="18"/>
                <w:szCs w:val="18"/>
              </w:rPr>
              <w:t>TOTAL SHARES VOTED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3F73" w14:textId="77777777" w:rsidR="006E705F" w:rsidRPr="00526076" w:rsidRDefault="006E705F" w:rsidP="00106F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076">
              <w:rPr>
                <w:rFonts w:ascii="Arial" w:hAnsi="Arial" w:cs="Arial"/>
                <w:b/>
                <w:bCs/>
                <w:sz w:val="18"/>
                <w:szCs w:val="18"/>
              </w:rPr>
              <w:t>% OF ISSUED SHARE CAPITAL VOTED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05CE" w14:textId="77777777" w:rsidR="006E705F" w:rsidRPr="00526076" w:rsidRDefault="006E705F" w:rsidP="00106F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076">
              <w:rPr>
                <w:rFonts w:ascii="Arial" w:hAnsi="Arial" w:cs="Arial"/>
                <w:b/>
                <w:bCs/>
                <w:sz w:val="18"/>
                <w:szCs w:val="18"/>
              </w:rPr>
              <w:t>VOTES WITHHELD</w:t>
            </w:r>
          </w:p>
        </w:tc>
      </w:tr>
      <w:tr w:rsidR="00106F1D" w:rsidRPr="006E705F" w14:paraId="4CE95DBF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33AF" w14:textId="77777777" w:rsidR="006E705F" w:rsidRPr="006E705F" w:rsidRDefault="006E705F" w:rsidP="00106F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05F">
              <w:rPr>
                <w:rFonts w:ascii="Arial" w:hAnsi="Arial" w:cs="Arial"/>
                <w:b/>
                <w:bCs/>
                <w:sz w:val="20"/>
                <w:szCs w:val="20"/>
              </w:rPr>
              <w:t>ORDINARY RESOLUTIONS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AA5F" w14:textId="77777777" w:rsidR="006E705F" w:rsidRPr="006E705F" w:rsidRDefault="006E705F" w:rsidP="00106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BEAA3" w14:textId="77777777" w:rsidR="006E705F" w:rsidRPr="006E705F" w:rsidRDefault="006E705F" w:rsidP="00106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26D0" w14:textId="77777777" w:rsidR="006E705F" w:rsidRPr="006E705F" w:rsidRDefault="006E705F" w:rsidP="00106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CADD" w14:textId="77777777" w:rsidR="006E705F" w:rsidRPr="006E705F" w:rsidRDefault="006E705F" w:rsidP="00106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9424C" w14:textId="77777777" w:rsidR="006E705F" w:rsidRPr="006E705F" w:rsidRDefault="006E705F" w:rsidP="00106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386C" w14:textId="77777777" w:rsidR="006E705F" w:rsidRPr="006E705F" w:rsidRDefault="006E705F" w:rsidP="00106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E66C4" w14:textId="77777777" w:rsidR="006E705F" w:rsidRPr="006E705F" w:rsidRDefault="006E705F" w:rsidP="00106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1A" w:rsidRPr="006E705F" w14:paraId="78149118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C246" w14:textId="469C5285" w:rsidR="008F271A" w:rsidRPr="004E0501" w:rsidRDefault="008F271A" w:rsidP="008F271A">
            <w:pPr>
              <w:pStyle w:val="Default"/>
            </w:pPr>
            <w:r w:rsidRPr="006E705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4E0501">
              <w:rPr>
                <w:rFonts w:ascii="Arial" w:hAnsi="Arial" w:cs="Arial"/>
                <w:sz w:val="20"/>
                <w:szCs w:val="20"/>
              </w:rPr>
              <w:t>Receipt of the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E0501">
              <w:rPr>
                <w:rFonts w:ascii="Arial" w:hAnsi="Arial" w:cs="Arial"/>
                <w:sz w:val="20"/>
                <w:szCs w:val="20"/>
              </w:rPr>
              <w:t xml:space="preserve"> Annual Report and Accounts</w:t>
            </w:r>
          </w:p>
          <w:p w14:paraId="2FBE3B7C" w14:textId="1FE924E6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C862" w14:textId="6308F5D3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212,390,948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2442" w14:textId="3E488536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100.00%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A47D" w14:textId="3B5EE021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1,301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FED7" w14:textId="5F975F2F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0.00%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5720" w14:textId="16F33A06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212,392,249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1202" w14:textId="5462B1FD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88.69%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B715" w14:textId="369EBA6B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146,159</w:t>
            </w:r>
          </w:p>
        </w:tc>
      </w:tr>
      <w:tr w:rsidR="008F271A" w:rsidRPr="006E705F" w14:paraId="054DCBF9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F3849" w14:textId="3F915B64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05F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4E0501">
              <w:rPr>
                <w:rFonts w:ascii="Arial" w:hAnsi="Arial" w:cs="Arial"/>
                <w:sz w:val="20"/>
                <w:szCs w:val="20"/>
              </w:rPr>
              <w:t>Approval of the Directors’ Remuneration Report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1806" w14:textId="13DF95EA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198,457,278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46F2" w14:textId="6D128132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93.38%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5E32" w14:textId="07ABDAD5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14,066,374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8B6A" w14:textId="278E9E06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6.62%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4709" w14:textId="318EC922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 xml:space="preserve">212,523,652 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02D4" w14:textId="62990068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61B2" w14:textId="0D2DABC3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14,756</w:t>
            </w:r>
          </w:p>
        </w:tc>
      </w:tr>
      <w:tr w:rsidR="008F271A" w:rsidRPr="006E705F" w14:paraId="3C2B310E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CEED" w14:textId="317C90B8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05F"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t>To pay a final dividend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07CD" w14:textId="5A1C5593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212,522,352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3C08" w14:textId="3DD0AC09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100.00%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E2C8" w14:textId="767098E9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1,301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17BA" w14:textId="1D4183FB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0.00%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2B2F" w14:textId="0914DD51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 xml:space="preserve">212,523,653 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AA93" w14:textId="10E5172D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B706" w14:textId="6418C999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14,755</w:t>
            </w:r>
          </w:p>
        </w:tc>
      </w:tr>
      <w:tr w:rsidR="008F271A" w:rsidRPr="006E705F" w14:paraId="398E93B2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BD4D" w14:textId="2E9988D7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To pay a special dividend 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02D9" w14:textId="24AE984F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212,518,352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0A6F" w14:textId="36284318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100.00%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28BA" w14:textId="1B1E7B8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5,301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0B2" w14:textId="58EC6F81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0.00%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906F" w14:textId="6C962FD2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 xml:space="preserve">212,523,653 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CF03" w14:textId="4473A390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7404" w14:textId="4FBCA750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14,755</w:t>
            </w:r>
          </w:p>
        </w:tc>
      </w:tr>
      <w:tr w:rsidR="008F271A" w:rsidRPr="006E705F" w14:paraId="39B8F678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72B9" w14:textId="05FC41F3" w:rsidR="008F271A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 xml:space="preserve">To elect </w:t>
            </w:r>
            <w:r>
              <w:rPr>
                <w:rFonts w:ascii="Arial" w:hAnsi="Arial" w:cs="Arial"/>
                <w:sz w:val="20"/>
                <w:szCs w:val="20"/>
              </w:rPr>
              <w:t xml:space="preserve">Andrew Holden </w:t>
            </w:r>
            <w:r w:rsidRPr="004E0501">
              <w:rPr>
                <w:rFonts w:ascii="Arial" w:hAnsi="Arial" w:cs="Arial"/>
                <w:sz w:val="20"/>
                <w:szCs w:val="20"/>
              </w:rPr>
              <w:t>as a Director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FCF8" w14:textId="1D0D3BFB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211,678,343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A728" w14:textId="11AEF4F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99.60%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AD68" w14:textId="15C1C1FF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844,847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3CA1" w14:textId="2D119C61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0.40%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E221" w14:textId="480B2E19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212,523,190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C635" w14:textId="0A9004E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BE43" w14:textId="0D5626C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15,218</w:t>
            </w:r>
          </w:p>
        </w:tc>
      </w:tr>
      <w:tr w:rsidR="008F271A" w:rsidRPr="006E705F" w14:paraId="3D139A1A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E38C" w14:textId="1A723202" w:rsidR="008F271A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 xml:space="preserve">To elect </w:t>
            </w:r>
            <w:r>
              <w:rPr>
                <w:rFonts w:ascii="Arial" w:hAnsi="Arial" w:cs="Arial"/>
                <w:sz w:val="20"/>
                <w:szCs w:val="20"/>
              </w:rPr>
              <w:t>Erika Schraner</w:t>
            </w:r>
            <w:r w:rsidRPr="004E0501">
              <w:rPr>
                <w:rFonts w:ascii="Arial" w:hAnsi="Arial" w:cs="Arial"/>
                <w:sz w:val="20"/>
                <w:szCs w:val="20"/>
              </w:rPr>
              <w:t xml:space="preserve"> as a Director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6720" w14:textId="25180186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211,835,944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F471" w14:textId="6C60B445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99.68%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6745" w14:textId="2DF789B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687,245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A233" w14:textId="1C434793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0.32%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5A17" w14:textId="7415F55D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212,523,189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FCD8" w14:textId="186BD8E8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D829" w14:textId="7A8453A7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15,219</w:t>
            </w:r>
          </w:p>
        </w:tc>
      </w:tr>
      <w:tr w:rsidR="008F271A" w:rsidRPr="006E705F" w14:paraId="1EB2092A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86E2" w14:textId="27C4151A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re-</w:t>
            </w:r>
            <w:r w:rsidRPr="004E0501">
              <w:rPr>
                <w:rFonts w:ascii="Arial" w:hAnsi="Arial" w:cs="Arial"/>
                <w:sz w:val="20"/>
                <w:szCs w:val="20"/>
              </w:rPr>
              <w:t>elect Patrick De Smedt as a Director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6B2F" w14:textId="6D92CFCF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189,306,879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D72B" w14:textId="5A802C2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92.09%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7872" w14:textId="598B0D85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16,268,220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6F94" w14:textId="7CD3AB51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7.91%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4327" w14:textId="08F4C2BE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205,575,099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0676" w14:textId="0E37375B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85.84%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A7CB" w14:textId="55F53DB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6,963,309</w:t>
            </w:r>
          </w:p>
        </w:tc>
      </w:tr>
      <w:tr w:rsidR="008F271A" w:rsidRPr="006E705F" w14:paraId="08C6BFA7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51D2" w14:textId="2A1C4BCE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re-</w:t>
            </w:r>
            <w:r w:rsidRPr="004E0501">
              <w:rPr>
                <w:rFonts w:ascii="Arial" w:hAnsi="Arial" w:cs="Arial"/>
                <w:sz w:val="20"/>
                <w:szCs w:val="20"/>
              </w:rPr>
              <w:t>elect Neil Murphy as a Director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BCA9" w14:textId="71556B0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211,744,941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4AED" w14:textId="529DB0A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99.63%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5465" w14:textId="22687817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778,249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688D" w14:textId="074AEAD3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0.37%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DC76" w14:textId="2BB4D5A1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212,523,190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82A5" w14:textId="2F84D259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BD5F" w14:textId="606ED9A8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15,218</w:t>
            </w:r>
          </w:p>
        </w:tc>
      </w:tr>
      <w:tr w:rsidR="008F271A" w:rsidRPr="006E705F" w14:paraId="5AD16FE4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C038E" w14:textId="124197BC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re-</w:t>
            </w:r>
            <w:r w:rsidRPr="004E0501">
              <w:rPr>
                <w:rFonts w:ascii="Arial" w:hAnsi="Arial" w:cs="Arial"/>
                <w:sz w:val="20"/>
                <w:szCs w:val="20"/>
              </w:rPr>
              <w:t>elect Mike Phillips as a Director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1411D" w14:textId="165B4F6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211,446,390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F057" w14:textId="25CEBD72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99.53%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2EB7" w14:textId="397710DB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1,002,726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1F04" w14:textId="3704CDDE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0.47%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8BBC" w14:textId="01254E1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212,449,116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C7661" w14:textId="12AEBD6F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88.71%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1ADD" w14:textId="7EB86561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89,292</w:t>
            </w:r>
          </w:p>
        </w:tc>
      </w:tr>
      <w:tr w:rsidR="008F271A" w:rsidRPr="006E705F" w14:paraId="6DDEA6E8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7557" w14:textId="310D5FCB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re-</w:t>
            </w:r>
            <w:r w:rsidRPr="004E0501">
              <w:rPr>
                <w:rFonts w:ascii="Arial" w:hAnsi="Arial" w:cs="Arial"/>
                <w:sz w:val="20"/>
                <w:szCs w:val="20"/>
              </w:rPr>
              <w:t>elect Alison Vincent as a Director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5995" w14:textId="05DE3D76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211,520,464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6DD7" w14:textId="28A9BDF9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99.53%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9A3C" w14:textId="2D2875A1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1,002,726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D46D" w14:textId="13085458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0.47%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3143" w14:textId="125D28B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212,523,190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C51C" w14:textId="695291B6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A0FB" w14:textId="44BB139B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15,218</w:t>
            </w:r>
          </w:p>
        </w:tc>
      </w:tr>
      <w:tr w:rsidR="008F271A" w:rsidRPr="006E705F" w14:paraId="6D9F11CF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C6DC" w14:textId="0956F689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re-</w:t>
            </w:r>
            <w:r w:rsidRPr="004E0501">
              <w:rPr>
                <w:rFonts w:ascii="Arial" w:hAnsi="Arial" w:cs="Arial"/>
                <w:sz w:val="20"/>
                <w:szCs w:val="20"/>
              </w:rPr>
              <w:t>elect David Maw as a Director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CC46" w14:textId="11F4FF27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210,698,887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77EB" w14:textId="6F1A1F78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99.32%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27B8" w14:textId="31F7822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1,443,744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A447" w14:textId="44AB595B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0.68%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E785" w14:textId="33E47CB2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212,142,631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CE34" w14:textId="44A25AF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88.58%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8883" w14:textId="39011D9D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395,777</w:t>
            </w:r>
          </w:p>
        </w:tc>
      </w:tr>
      <w:tr w:rsidR="008F271A" w:rsidRPr="006E705F" w14:paraId="5D6610FB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F770" w14:textId="484CDD76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05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 xml:space="preserve">Authority to </w:t>
            </w:r>
            <w:r>
              <w:rPr>
                <w:rFonts w:ascii="Arial" w:hAnsi="Arial" w:cs="Arial"/>
                <w:sz w:val="20"/>
                <w:szCs w:val="20"/>
              </w:rPr>
              <w:t>re-</w:t>
            </w:r>
            <w:r w:rsidRPr="004E0501">
              <w:rPr>
                <w:rFonts w:ascii="Arial" w:hAnsi="Arial" w:cs="Arial"/>
                <w:sz w:val="20"/>
                <w:szCs w:val="20"/>
              </w:rPr>
              <w:t>appoint Ernst &amp; Young LLP as auditor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3F8F" w14:textId="1372991F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212,513,509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D0972" w14:textId="0B7231F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100.00%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329B" w14:textId="28F81A23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2,144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3622" w14:textId="59B3D8BE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0.00%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37750" w14:textId="7ACC722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212,515,653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2469" w14:textId="11EFEBE0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9CCC" w14:textId="6548C47A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22,755</w:t>
            </w:r>
          </w:p>
        </w:tc>
      </w:tr>
      <w:tr w:rsidR="008F271A" w:rsidRPr="006E705F" w14:paraId="7908061D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42FA" w14:textId="2CFF3458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05F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>Remuneration of the auditor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449D6" w14:textId="107206FE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212,521,009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687D" w14:textId="15D4D7B2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100.00%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63C4" w14:textId="006F51A5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2,144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A46AB" w14:textId="795250E9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0.00%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009D" w14:textId="4D52FBFA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212,523,153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4F7E" w14:textId="34641551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610D" w14:textId="566D2F4D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15,255</w:t>
            </w:r>
          </w:p>
        </w:tc>
      </w:tr>
      <w:tr w:rsidR="008F271A" w:rsidRPr="006E705F" w14:paraId="3C39DE7D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9A0B" w14:textId="5673C125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05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>Authority to allot new shares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9D0" w14:textId="1C0405C5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194,483,840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C71A" w14:textId="709A0F52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91.52%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28C7" w14:textId="07C6161D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18,031,850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4FB4" w14:textId="3D80A798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8.48%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9E83" w14:textId="1FC74687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212,515,690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AD47" w14:textId="287D6A3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64A6" w14:textId="2770B71F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22,718</w:t>
            </w:r>
          </w:p>
        </w:tc>
      </w:tr>
      <w:tr w:rsidR="008F271A" w:rsidRPr="006E705F" w14:paraId="57D4A814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70EF" w14:textId="00A83B65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05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>Authority to make political donations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57F7" w14:textId="3F035E96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201,104,020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8217" w14:textId="4C696C73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94.66%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5A6F" w14:textId="52F9F459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11,340,767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8495C" w14:textId="115236B6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5.34%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34422" w14:textId="7FF4D243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212,444,787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B3E8" w14:textId="4295665D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88.71%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77FF5" w14:textId="1B062A29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93,621</w:t>
            </w:r>
          </w:p>
        </w:tc>
      </w:tr>
      <w:tr w:rsidR="008F271A" w:rsidRPr="006E705F" w14:paraId="464429B1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57D5" w14:textId="77777777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05F">
              <w:rPr>
                <w:rFonts w:ascii="Arial" w:hAnsi="Arial" w:cs="Arial"/>
                <w:b/>
                <w:bCs/>
                <w:sz w:val="20"/>
                <w:szCs w:val="20"/>
              </w:rPr>
              <w:t>SPECIAL RESOLUTIONS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7DAB" w14:textId="6C3A0EC7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C332" w14:textId="1A313139" w:rsidR="008F271A" w:rsidRPr="006F67C8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FFDF" w14:textId="5D301F6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FC61" w14:textId="272BFA5A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0FE6" w14:textId="3BDCF83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AB5D" w14:textId="247872E8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1390" w14:textId="4C2E3A1E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F271A" w:rsidRPr="006E705F" w14:paraId="06FCCD0F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55D9" w14:textId="50578E4A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05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>Disapplication of pre-emption rights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4AE8" w14:textId="5C5A4C7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211,879,783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A7C2" w14:textId="530E4890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99.70%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9285" w14:textId="0BC8AD89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643,407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D860" w14:textId="5E8FD970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0.30%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AF79" w14:textId="37F41B3A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212,523,190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6B34" w14:textId="704ACEF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9735" w14:textId="1CAEA8E1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15,218</w:t>
            </w:r>
          </w:p>
        </w:tc>
      </w:tr>
      <w:tr w:rsidR="008F271A" w:rsidRPr="006E705F" w14:paraId="423B22A9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A00C9" w14:textId="2A5D00E6" w:rsidR="008F271A" w:rsidRPr="004E0501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05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>Disapplication of pre-emption rights for purposes of</w:t>
            </w:r>
          </w:p>
          <w:p w14:paraId="2B537525" w14:textId="569D0FDC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0501">
              <w:rPr>
                <w:rFonts w:ascii="Arial" w:hAnsi="Arial" w:cs="Arial"/>
                <w:sz w:val="20"/>
                <w:szCs w:val="20"/>
              </w:rPr>
              <w:t>acquisitions and other capital investment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C4DD" w14:textId="2EEC776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208,964,189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2383" w14:textId="75574286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98.33%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082C" w14:textId="298D4FAE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3,559,001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4092" w14:textId="1FD2B07F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1.67%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10E9" w14:textId="0758AEB7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212,523,190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8101" w14:textId="7C196DD0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88.74%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CC58" w14:textId="0DC00AB7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15,218</w:t>
            </w:r>
          </w:p>
        </w:tc>
      </w:tr>
      <w:tr w:rsidR="008F271A" w:rsidRPr="006E705F" w14:paraId="402FA108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29698" w14:textId="6B51F8A4" w:rsidR="008F271A" w:rsidRPr="004E0501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05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>Authority for the company to purchase its ordinary</w:t>
            </w:r>
          </w:p>
          <w:p w14:paraId="71AD8D4D" w14:textId="1278323E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0501">
              <w:rPr>
                <w:rFonts w:ascii="Arial" w:hAnsi="Arial" w:cs="Arial"/>
                <w:sz w:val="20"/>
                <w:szCs w:val="20"/>
              </w:rPr>
              <w:t>shares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AFFF" w14:textId="79A201FB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212,156,012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8834" w14:textId="55F0E56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99.97%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0010" w14:textId="74E6FCE3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71,972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6976" w14:textId="4954F7C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0.03%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B341" w14:textId="05D28875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212,227,984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80EE" w14:textId="6B98FAD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88.62%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0CC4" w14:textId="3E7408AF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310,424</w:t>
            </w:r>
          </w:p>
        </w:tc>
      </w:tr>
      <w:tr w:rsidR="008F271A" w:rsidRPr="006E705F" w14:paraId="520A4BAF" w14:textId="77777777" w:rsidTr="00B6138D"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053E" w14:textId="57345626" w:rsidR="008F271A" w:rsidRPr="004E0501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05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E705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501">
              <w:rPr>
                <w:rFonts w:ascii="Arial" w:hAnsi="Arial" w:cs="Arial"/>
                <w:sz w:val="20"/>
                <w:szCs w:val="20"/>
              </w:rPr>
              <w:t>Notice period for general meetings other than annual</w:t>
            </w:r>
          </w:p>
          <w:p w14:paraId="7E4183F9" w14:textId="772DFFB3" w:rsidR="008F271A" w:rsidRPr="006E705F" w:rsidRDefault="008F271A" w:rsidP="008F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0501">
              <w:rPr>
                <w:rFonts w:ascii="Arial" w:hAnsi="Arial" w:cs="Arial"/>
                <w:sz w:val="20"/>
                <w:szCs w:val="20"/>
              </w:rPr>
              <w:t>general meetings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E005" w14:textId="6F960984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208,247,081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DD55" w14:textId="67D09ABC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98.39%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E496" w14:textId="7B18BFB8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3,406,572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3F1D" w14:textId="69DB69DE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1.61%</w:t>
            </w:r>
          </w:p>
        </w:tc>
        <w:tc>
          <w:tcPr>
            <w:tcW w:w="14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EF50" w14:textId="46E7C402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211,653,653</w:t>
            </w:r>
          </w:p>
        </w:tc>
        <w:tc>
          <w:tcPr>
            <w:tcW w:w="1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9740" w14:textId="6839E753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88.38%</w:t>
            </w:r>
          </w:p>
        </w:tc>
        <w:tc>
          <w:tcPr>
            <w:tcW w:w="12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2042" w14:textId="27360C87" w:rsidR="008F271A" w:rsidRPr="006F67C8" w:rsidRDefault="008F271A" w:rsidP="008F271A">
            <w:pPr>
              <w:spacing w:after="0" w:line="240" w:lineRule="auto"/>
              <w:rPr>
                <w:sz w:val="20"/>
                <w:szCs w:val="20"/>
              </w:rPr>
            </w:pPr>
            <w:r w:rsidRPr="006F67C8">
              <w:rPr>
                <w:sz w:val="20"/>
                <w:szCs w:val="20"/>
              </w:rPr>
              <w:t>884,755</w:t>
            </w:r>
          </w:p>
        </w:tc>
      </w:tr>
    </w:tbl>
    <w:p w14:paraId="3C73E360" w14:textId="5C42896D" w:rsidR="006E705F" w:rsidRPr="006E705F" w:rsidRDefault="006E705F" w:rsidP="006E705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705F">
        <w:rPr>
          <w:rFonts w:ascii="Arial" w:hAnsi="Arial" w:cs="Arial"/>
          <w:b/>
          <w:bCs/>
          <w:sz w:val="20"/>
          <w:szCs w:val="20"/>
        </w:rPr>
        <w:t> </w:t>
      </w:r>
    </w:p>
    <w:p w14:paraId="614FC7BD" w14:textId="48A5DD14" w:rsidR="006E705F" w:rsidRDefault="006E705F" w:rsidP="006E705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705F">
        <w:rPr>
          <w:rFonts w:ascii="Arial" w:hAnsi="Arial" w:cs="Arial"/>
          <w:b/>
          <w:bCs/>
          <w:sz w:val="20"/>
          <w:szCs w:val="20"/>
        </w:rPr>
        <w:t>Notes:</w:t>
      </w:r>
    </w:p>
    <w:p w14:paraId="1E1F2F85" w14:textId="77777777" w:rsidR="00287EA1" w:rsidRPr="006E705F" w:rsidRDefault="00287EA1" w:rsidP="006E705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F4721E" w14:textId="4E3D461A" w:rsidR="006E705F" w:rsidRPr="004004F7" w:rsidRDefault="00595128" w:rsidP="0052607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E705F" w:rsidRPr="004E0501">
        <w:rPr>
          <w:rFonts w:ascii="Arial" w:hAnsi="Arial" w:cs="Arial"/>
          <w:sz w:val="20"/>
          <w:szCs w:val="20"/>
        </w:rPr>
        <w:t xml:space="preserve">roxy appointments giving discretion to the Chair of the </w:t>
      </w:r>
      <w:r>
        <w:rPr>
          <w:rFonts w:ascii="Arial" w:hAnsi="Arial" w:cs="Arial"/>
          <w:sz w:val="20"/>
          <w:szCs w:val="20"/>
        </w:rPr>
        <w:t>m</w:t>
      </w:r>
      <w:r w:rsidR="006E705F" w:rsidRPr="004E0501">
        <w:rPr>
          <w:rFonts w:ascii="Arial" w:hAnsi="Arial" w:cs="Arial"/>
          <w:sz w:val="20"/>
          <w:szCs w:val="20"/>
        </w:rPr>
        <w:t>eeting have been included in the "For" total.</w:t>
      </w:r>
    </w:p>
    <w:p w14:paraId="084F7F4C" w14:textId="734AB7FE" w:rsidR="006E705F" w:rsidRPr="004004F7" w:rsidRDefault="006E705F" w:rsidP="0052607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E0501">
        <w:rPr>
          <w:rFonts w:ascii="Arial" w:hAnsi="Arial" w:cs="Arial"/>
          <w:sz w:val="20"/>
          <w:szCs w:val="20"/>
        </w:rPr>
        <w:t>A vote "Withheld" is not a vote in law and is not counted in the calculation of the votes "For" or "Against" a resolution.</w:t>
      </w:r>
    </w:p>
    <w:p w14:paraId="6CD34206" w14:textId="6691EDB4" w:rsidR="006E705F" w:rsidRPr="004E0501" w:rsidRDefault="006E705F" w:rsidP="0052607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E0501">
        <w:rPr>
          <w:rFonts w:ascii="Arial" w:hAnsi="Arial" w:cs="Arial"/>
          <w:sz w:val="20"/>
          <w:szCs w:val="20"/>
        </w:rPr>
        <w:t xml:space="preserve">The </w:t>
      </w:r>
      <w:r w:rsidRPr="007333D3">
        <w:rPr>
          <w:rFonts w:ascii="Arial" w:hAnsi="Arial" w:cs="Arial"/>
          <w:sz w:val="20"/>
          <w:szCs w:val="20"/>
        </w:rPr>
        <w:t xml:space="preserve">Company's total ordinary shares in issue (total voting rights) as </w:t>
      </w:r>
      <w:proofErr w:type="gramStart"/>
      <w:r w:rsidRPr="007333D3">
        <w:rPr>
          <w:rFonts w:ascii="Arial" w:hAnsi="Arial" w:cs="Arial"/>
          <w:sz w:val="20"/>
          <w:szCs w:val="20"/>
        </w:rPr>
        <w:t>at</w:t>
      </w:r>
      <w:proofErr w:type="gramEnd"/>
      <w:r w:rsidR="007333D3" w:rsidRPr="007333D3">
        <w:rPr>
          <w:rFonts w:ascii="Arial" w:hAnsi="Arial" w:cs="Arial"/>
          <w:sz w:val="20"/>
          <w:szCs w:val="20"/>
        </w:rPr>
        <w:t xml:space="preserve"> 2</w:t>
      </w:r>
      <w:r w:rsidR="00BB2947">
        <w:rPr>
          <w:rFonts w:ascii="Arial" w:hAnsi="Arial" w:cs="Arial"/>
          <w:sz w:val="20"/>
          <w:szCs w:val="20"/>
        </w:rPr>
        <w:t>2</w:t>
      </w:r>
      <w:r w:rsidR="007333D3" w:rsidRPr="007333D3">
        <w:rPr>
          <w:rFonts w:ascii="Arial" w:hAnsi="Arial" w:cs="Arial"/>
          <w:sz w:val="20"/>
          <w:szCs w:val="20"/>
        </w:rPr>
        <w:t xml:space="preserve"> July 202</w:t>
      </w:r>
      <w:r w:rsidR="00BB2947">
        <w:rPr>
          <w:rFonts w:ascii="Arial" w:hAnsi="Arial" w:cs="Arial"/>
          <w:sz w:val="20"/>
          <w:szCs w:val="20"/>
        </w:rPr>
        <w:t>2</w:t>
      </w:r>
      <w:r w:rsidR="007333D3" w:rsidRPr="007333D3">
        <w:rPr>
          <w:rFonts w:ascii="Arial" w:hAnsi="Arial" w:cs="Arial"/>
          <w:sz w:val="20"/>
          <w:szCs w:val="20"/>
        </w:rPr>
        <w:t xml:space="preserve">, being the record date </w:t>
      </w:r>
      <w:r w:rsidRPr="007333D3">
        <w:rPr>
          <w:rFonts w:ascii="Arial" w:hAnsi="Arial" w:cs="Arial"/>
          <w:sz w:val="20"/>
          <w:szCs w:val="20"/>
        </w:rPr>
        <w:t>at which a person had to be registered in the Company's register of members in order to vote at the AGM, was</w:t>
      </w:r>
      <w:r w:rsidR="00106F1D" w:rsidRPr="007333D3">
        <w:rPr>
          <w:rFonts w:ascii="Arial" w:hAnsi="Arial" w:cs="Arial"/>
          <w:sz w:val="20"/>
          <w:szCs w:val="20"/>
        </w:rPr>
        <w:t xml:space="preserve"> </w:t>
      </w:r>
      <w:r w:rsidR="004E0501" w:rsidRPr="007333D3">
        <w:rPr>
          <w:rFonts w:ascii="Arial" w:hAnsi="Arial" w:cs="Arial"/>
          <w:sz w:val="20"/>
          <w:szCs w:val="20"/>
        </w:rPr>
        <w:t>239,482,333</w:t>
      </w:r>
      <w:r w:rsidRPr="007333D3">
        <w:rPr>
          <w:rFonts w:ascii="Arial" w:hAnsi="Arial" w:cs="Arial"/>
          <w:sz w:val="20"/>
          <w:szCs w:val="20"/>
        </w:rPr>
        <w:t xml:space="preserve"> ordinary shares of £0.0</w:t>
      </w:r>
      <w:r w:rsidR="004E0501" w:rsidRPr="007333D3">
        <w:rPr>
          <w:rFonts w:ascii="Arial" w:hAnsi="Arial" w:cs="Arial"/>
          <w:sz w:val="20"/>
          <w:szCs w:val="20"/>
        </w:rPr>
        <w:t>1</w:t>
      </w:r>
      <w:r w:rsidRPr="007333D3">
        <w:rPr>
          <w:rFonts w:ascii="Arial" w:hAnsi="Arial" w:cs="Arial"/>
          <w:sz w:val="20"/>
          <w:szCs w:val="20"/>
        </w:rPr>
        <w:t> each. Ordinary</w:t>
      </w:r>
      <w:r w:rsidR="004004F7">
        <w:rPr>
          <w:rFonts w:ascii="Arial" w:hAnsi="Arial" w:cs="Arial"/>
          <w:sz w:val="20"/>
          <w:szCs w:val="20"/>
        </w:rPr>
        <w:t xml:space="preserve"> </w:t>
      </w:r>
      <w:r w:rsidRPr="007333D3">
        <w:rPr>
          <w:rFonts w:ascii="Arial" w:hAnsi="Arial" w:cs="Arial"/>
          <w:sz w:val="20"/>
          <w:szCs w:val="20"/>
        </w:rPr>
        <w:t>shareholders are entitled to one vote</w:t>
      </w:r>
      <w:r w:rsidRPr="004E0501">
        <w:rPr>
          <w:rFonts w:ascii="Arial" w:hAnsi="Arial" w:cs="Arial"/>
          <w:sz w:val="20"/>
          <w:szCs w:val="20"/>
        </w:rPr>
        <w:t xml:space="preserve"> per ordinary share held.</w:t>
      </w:r>
    </w:p>
    <w:p w14:paraId="224F2C6E" w14:textId="4BCCA301" w:rsidR="006E705F" w:rsidRPr="006E705F" w:rsidRDefault="006E705F" w:rsidP="00106F1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E705F">
        <w:rPr>
          <w:rFonts w:ascii="Arial" w:hAnsi="Arial" w:cs="Arial"/>
          <w:b/>
          <w:bCs/>
          <w:sz w:val="20"/>
          <w:szCs w:val="20"/>
        </w:rPr>
        <w:t> </w:t>
      </w:r>
      <w:r w:rsidRPr="006E705F">
        <w:rPr>
          <w:rFonts w:ascii="Arial" w:hAnsi="Arial" w:cs="Arial"/>
          <w:sz w:val="20"/>
          <w:szCs w:val="20"/>
        </w:rPr>
        <w:t> </w:t>
      </w:r>
    </w:p>
    <w:p w14:paraId="3F69B351" w14:textId="65C25017" w:rsidR="00106F1D" w:rsidRPr="00106F1D" w:rsidRDefault="00106F1D" w:rsidP="003E76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7A72">
        <w:rPr>
          <w:rFonts w:ascii="Arial" w:hAnsi="Arial" w:cs="Arial"/>
          <w:sz w:val="20"/>
          <w:szCs w:val="20"/>
        </w:rPr>
        <w:t>In compliance with Listing Rule 9.6.</w:t>
      </w:r>
      <w:r>
        <w:rPr>
          <w:rFonts w:ascii="Arial" w:hAnsi="Arial" w:cs="Arial"/>
          <w:sz w:val="20"/>
          <w:szCs w:val="20"/>
        </w:rPr>
        <w:t>2</w:t>
      </w:r>
      <w:r w:rsidR="006E705F" w:rsidRPr="006E705F">
        <w:rPr>
          <w:rFonts w:ascii="Arial" w:hAnsi="Arial" w:cs="Arial"/>
          <w:sz w:val="20"/>
          <w:szCs w:val="20"/>
        </w:rPr>
        <w:t xml:space="preserve">, a copy of the resolutions passed at the AGM will be submitted to </w:t>
      </w:r>
      <w:r w:rsidRPr="00106F1D">
        <w:rPr>
          <w:rFonts w:ascii="Arial" w:hAnsi="Arial" w:cs="Arial"/>
          <w:sz w:val="20"/>
          <w:szCs w:val="20"/>
        </w:rPr>
        <w:t xml:space="preserve">the Financial Conduct Authority via the National Storage Mechanism and will shortly be available for inspection at </w:t>
      </w:r>
      <w:hyperlink r:id="rId5" w:anchor="/nsm/nationalstoragemechanism" w:history="1">
        <w:r w:rsidRPr="00106F1D">
          <w:rPr>
            <w:rStyle w:val="Hyperlink"/>
            <w:rFonts w:ascii="Arial" w:hAnsi="Arial" w:cs="Arial"/>
            <w:sz w:val="20"/>
            <w:szCs w:val="20"/>
          </w:rPr>
          <w:t>https://data.fca.org.uk/#/nsm/nationalstoragemechanism</w:t>
        </w:r>
      </w:hyperlink>
      <w:r w:rsidRPr="00106F1D">
        <w:rPr>
          <w:rFonts w:ascii="Arial" w:hAnsi="Arial" w:cs="Arial"/>
          <w:sz w:val="20"/>
          <w:szCs w:val="20"/>
        </w:rPr>
        <w:t xml:space="preserve">. </w:t>
      </w:r>
    </w:p>
    <w:p w14:paraId="05482BF8" w14:textId="2B5A79A7" w:rsidR="006E705F" w:rsidRPr="006E705F" w:rsidRDefault="006E705F" w:rsidP="00106F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CB876F" w14:textId="7ED0CD21" w:rsidR="006E705F" w:rsidRPr="006E705F" w:rsidRDefault="006E705F" w:rsidP="00106F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705F">
        <w:rPr>
          <w:rFonts w:ascii="Arial" w:hAnsi="Arial" w:cs="Arial"/>
          <w:sz w:val="20"/>
          <w:szCs w:val="20"/>
        </w:rPr>
        <w:t>A copy of this announcement will be available at: </w:t>
      </w:r>
      <w:hyperlink r:id="rId6" w:history="1">
        <w:r w:rsidR="00106F1D" w:rsidRPr="006E705F">
          <w:rPr>
            <w:rStyle w:val="Hyperlink"/>
            <w:rFonts w:ascii="Arial" w:hAnsi="Arial" w:cs="Arial"/>
            <w:sz w:val="20"/>
            <w:szCs w:val="20"/>
          </w:rPr>
          <w:t>https://www.</w:t>
        </w:r>
        <w:r w:rsidR="00106F1D" w:rsidRPr="000A16E5">
          <w:rPr>
            <w:rStyle w:val="Hyperlink"/>
            <w:rFonts w:ascii="Arial" w:hAnsi="Arial" w:cs="Arial"/>
            <w:sz w:val="20"/>
            <w:szCs w:val="20"/>
          </w:rPr>
          <w:t>bytesplc</w:t>
        </w:r>
        <w:r w:rsidR="00106F1D" w:rsidRPr="006E705F">
          <w:rPr>
            <w:rStyle w:val="Hyperlink"/>
            <w:rFonts w:ascii="Arial" w:hAnsi="Arial" w:cs="Arial"/>
            <w:sz w:val="20"/>
            <w:szCs w:val="20"/>
          </w:rPr>
          <w:t>.com/investors/shareholder-information/</w:t>
        </w:r>
      </w:hyperlink>
    </w:p>
    <w:p w14:paraId="39CE9ACB" w14:textId="34226846" w:rsidR="00287EA1" w:rsidRDefault="006E705F" w:rsidP="0068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705F">
        <w:rPr>
          <w:rFonts w:ascii="Arial" w:hAnsi="Arial" w:cs="Arial"/>
          <w:sz w:val="20"/>
          <w:szCs w:val="20"/>
        </w:rPr>
        <w:t> </w:t>
      </w:r>
    </w:p>
    <w:p w14:paraId="3351B754" w14:textId="77777777" w:rsidR="00287EA1" w:rsidRDefault="006803B9" w:rsidP="00287EA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87EA1" w:rsidRPr="00D4415A">
        <w:rPr>
          <w:rFonts w:ascii="Arial" w:hAnsi="Arial" w:cs="Arial"/>
          <w:b/>
          <w:bCs/>
          <w:sz w:val="20"/>
          <w:szCs w:val="20"/>
        </w:rPr>
        <w:t>Enquiries</w:t>
      </w:r>
    </w:p>
    <w:p w14:paraId="60F2CE95" w14:textId="77777777" w:rsidR="00287EA1" w:rsidRDefault="00287EA1" w:rsidP="00287EA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06"/>
      </w:tblGrid>
      <w:tr w:rsidR="00287EA1" w14:paraId="50539E84" w14:textId="77777777" w:rsidTr="00503D6F">
        <w:tc>
          <w:tcPr>
            <w:tcW w:w="4508" w:type="dxa"/>
          </w:tcPr>
          <w:p w14:paraId="5DEC0564" w14:textId="77777777" w:rsidR="00287EA1" w:rsidRDefault="00287EA1" w:rsidP="00526076">
            <w:pPr>
              <w:ind w:firstLine="1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415A">
              <w:rPr>
                <w:rFonts w:ascii="Arial" w:hAnsi="Arial" w:cs="Arial"/>
                <w:sz w:val="20"/>
                <w:szCs w:val="20"/>
              </w:rPr>
              <w:t xml:space="preserve">WK Groenewald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</w:tcPr>
          <w:p w14:paraId="4297B04F" w14:textId="77777777" w:rsidR="00287EA1" w:rsidRPr="006708CA" w:rsidRDefault="00287EA1" w:rsidP="00503D6F">
            <w:pPr>
              <w:ind w:right="-1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415A">
              <w:rPr>
                <w:rFonts w:ascii="Arial" w:hAnsi="Arial" w:cs="Arial"/>
                <w:sz w:val="20"/>
                <w:szCs w:val="20"/>
              </w:rPr>
              <w:t>Tel: +44 (0)1372 418992</w:t>
            </w:r>
          </w:p>
        </w:tc>
      </w:tr>
      <w:tr w:rsidR="00287EA1" w14:paraId="2DECB8D2" w14:textId="77777777" w:rsidTr="00503D6F">
        <w:tc>
          <w:tcPr>
            <w:tcW w:w="4508" w:type="dxa"/>
          </w:tcPr>
          <w:p w14:paraId="32F5034C" w14:textId="77777777" w:rsidR="00287EA1" w:rsidRPr="006708CA" w:rsidRDefault="00287EA1" w:rsidP="00526076">
            <w:pPr>
              <w:ind w:firstLine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415A">
              <w:rPr>
                <w:rFonts w:ascii="Arial" w:hAnsi="Arial" w:cs="Arial"/>
                <w:sz w:val="20"/>
                <w:szCs w:val="20"/>
              </w:rPr>
              <w:t xml:space="preserve">Group Company Secretary </w:t>
            </w:r>
          </w:p>
        </w:tc>
        <w:tc>
          <w:tcPr>
            <w:tcW w:w="4706" w:type="dxa"/>
          </w:tcPr>
          <w:p w14:paraId="7C8C502D" w14:textId="77777777" w:rsidR="00287EA1" w:rsidRDefault="00287EA1" w:rsidP="00503D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7EA1" w14:paraId="4935FB71" w14:textId="77777777" w:rsidTr="00503D6F">
        <w:tc>
          <w:tcPr>
            <w:tcW w:w="4508" w:type="dxa"/>
          </w:tcPr>
          <w:p w14:paraId="6D7B2E79" w14:textId="77777777" w:rsidR="00287EA1" w:rsidRDefault="00287EA1" w:rsidP="00526076">
            <w:pPr>
              <w:ind w:firstLine="1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4415A">
              <w:rPr>
                <w:rFonts w:ascii="Arial" w:hAnsi="Arial" w:cs="Arial"/>
                <w:b/>
                <w:bCs/>
                <w:sz w:val="20"/>
                <w:szCs w:val="20"/>
              </w:rPr>
              <w:t>Bytes Technology Group plc</w:t>
            </w:r>
          </w:p>
        </w:tc>
        <w:tc>
          <w:tcPr>
            <w:tcW w:w="4706" w:type="dxa"/>
          </w:tcPr>
          <w:p w14:paraId="29B2BE29" w14:textId="77777777" w:rsidR="00287EA1" w:rsidRDefault="00287EA1" w:rsidP="00503D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FC0202" w14:textId="77777777" w:rsidR="00287EA1" w:rsidRPr="006708CA" w:rsidRDefault="00287EA1" w:rsidP="00287EA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E5C60A" w14:textId="77777777" w:rsidR="00287EA1" w:rsidRPr="00D4415A" w:rsidRDefault="00287EA1" w:rsidP="00287EA1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4415A">
        <w:rPr>
          <w:rFonts w:ascii="Arial" w:hAnsi="Arial" w:cs="Arial"/>
          <w:iCs/>
          <w:sz w:val="20"/>
          <w:szCs w:val="20"/>
        </w:rPr>
        <w:lastRenderedPageBreak/>
        <w:t>The Company has a primary listing on the Main Market of the London Stock Exchange and a secondary listing on the Johannesburg Stock Exchange.</w:t>
      </w:r>
    </w:p>
    <w:p w14:paraId="49C6C086" w14:textId="15EB5A22" w:rsidR="006803B9" w:rsidRPr="0009350F" w:rsidRDefault="006803B9" w:rsidP="0009350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6803B9" w:rsidRPr="00093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078"/>
    <w:multiLevelType w:val="hybridMultilevel"/>
    <w:tmpl w:val="84B0BFAE"/>
    <w:lvl w:ilvl="0" w:tplc="0ACCB854">
      <w:start w:val="20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65C6D"/>
    <w:multiLevelType w:val="hybridMultilevel"/>
    <w:tmpl w:val="E55EEC5A"/>
    <w:lvl w:ilvl="0" w:tplc="BD58943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44045"/>
    <w:multiLevelType w:val="hybridMultilevel"/>
    <w:tmpl w:val="0BC268F8"/>
    <w:lvl w:ilvl="0" w:tplc="710A2606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B54621"/>
    <w:multiLevelType w:val="hybridMultilevel"/>
    <w:tmpl w:val="479A73F2"/>
    <w:lvl w:ilvl="0" w:tplc="710A2606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1E228E"/>
    <w:multiLevelType w:val="hybridMultilevel"/>
    <w:tmpl w:val="C898FC16"/>
    <w:lvl w:ilvl="0" w:tplc="512A4AD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749719">
    <w:abstractNumId w:val="4"/>
  </w:num>
  <w:num w:numId="2" w16cid:durableId="625552594">
    <w:abstractNumId w:val="0"/>
  </w:num>
  <w:num w:numId="3" w16cid:durableId="421687096">
    <w:abstractNumId w:val="2"/>
  </w:num>
  <w:num w:numId="4" w16cid:durableId="1470903693">
    <w:abstractNumId w:val="3"/>
  </w:num>
  <w:num w:numId="5" w16cid:durableId="10481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72"/>
    <w:rsid w:val="00006578"/>
    <w:rsid w:val="00046313"/>
    <w:rsid w:val="0009350F"/>
    <w:rsid w:val="000C723E"/>
    <w:rsid w:val="001046A8"/>
    <w:rsid w:val="00106F1D"/>
    <w:rsid w:val="001730ED"/>
    <w:rsid w:val="00287EA1"/>
    <w:rsid w:val="002A5FC3"/>
    <w:rsid w:val="003D60D1"/>
    <w:rsid w:val="003E7655"/>
    <w:rsid w:val="004004F7"/>
    <w:rsid w:val="004C0E2B"/>
    <w:rsid w:val="004D7355"/>
    <w:rsid w:val="004E0501"/>
    <w:rsid w:val="00526076"/>
    <w:rsid w:val="00585068"/>
    <w:rsid w:val="00595128"/>
    <w:rsid w:val="005B7A72"/>
    <w:rsid w:val="00626A87"/>
    <w:rsid w:val="00644D16"/>
    <w:rsid w:val="006803B9"/>
    <w:rsid w:val="00690861"/>
    <w:rsid w:val="006A4486"/>
    <w:rsid w:val="006E705F"/>
    <w:rsid w:val="006F67C8"/>
    <w:rsid w:val="007333D3"/>
    <w:rsid w:val="0077481D"/>
    <w:rsid w:val="00853440"/>
    <w:rsid w:val="0088738C"/>
    <w:rsid w:val="008D21F9"/>
    <w:rsid w:val="008F271A"/>
    <w:rsid w:val="00990B92"/>
    <w:rsid w:val="009A7C27"/>
    <w:rsid w:val="009F217D"/>
    <w:rsid w:val="00A61AD5"/>
    <w:rsid w:val="00A96BED"/>
    <w:rsid w:val="00AA3838"/>
    <w:rsid w:val="00AD4B9C"/>
    <w:rsid w:val="00B6138D"/>
    <w:rsid w:val="00B97D63"/>
    <w:rsid w:val="00BB2947"/>
    <w:rsid w:val="00C13FDC"/>
    <w:rsid w:val="00C369B3"/>
    <w:rsid w:val="00C9226F"/>
    <w:rsid w:val="00D24AB1"/>
    <w:rsid w:val="00D4415A"/>
    <w:rsid w:val="00D925AA"/>
    <w:rsid w:val="00DB62B7"/>
    <w:rsid w:val="00DD7BD5"/>
    <w:rsid w:val="00E32B40"/>
    <w:rsid w:val="00E66172"/>
    <w:rsid w:val="00EC42D0"/>
    <w:rsid w:val="00EE735F"/>
    <w:rsid w:val="00F41C18"/>
    <w:rsid w:val="00F6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BBBC"/>
  <w15:chartTrackingRefBased/>
  <w15:docId w15:val="{3CC3EDD3-BAC9-4F72-8A2A-228F9B2E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A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A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A72"/>
    <w:rPr>
      <w:color w:val="605E5C"/>
      <w:shd w:val="clear" w:color="auto" w:fill="E1DFDD"/>
    </w:rPr>
  </w:style>
  <w:style w:type="paragraph" w:customStyle="1" w:styleId="ca">
    <w:name w:val="ca"/>
    <w:basedOn w:val="Normal"/>
    <w:rsid w:val="005B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l">
    <w:name w:val="bl"/>
    <w:basedOn w:val="DefaultParagraphFont"/>
    <w:rsid w:val="005B7A72"/>
  </w:style>
  <w:style w:type="character" w:customStyle="1" w:styleId="dz">
    <w:name w:val="dz"/>
    <w:basedOn w:val="DefaultParagraphFont"/>
    <w:rsid w:val="00F41C18"/>
  </w:style>
  <w:style w:type="character" w:styleId="CommentReference">
    <w:name w:val="annotation reference"/>
    <w:basedOn w:val="DefaultParagraphFont"/>
    <w:uiPriority w:val="99"/>
    <w:semiHidden/>
    <w:unhideWhenUsed/>
    <w:rsid w:val="00D24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A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25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0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4E0501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4E050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ytesplc.com/investors/shareholder-information/" TargetMode="External"/><Relationship Id="rId5" Type="http://schemas.openxmlformats.org/officeDocument/2006/relationships/hyperlink" Target="https://data.fca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 Groenewald</dc:creator>
  <cp:keywords/>
  <dc:description/>
  <cp:lastModifiedBy>Craig Cunningham</cp:lastModifiedBy>
  <cp:revision>3</cp:revision>
  <dcterms:created xsi:type="dcterms:W3CDTF">2022-07-26T10:03:00Z</dcterms:created>
  <dcterms:modified xsi:type="dcterms:W3CDTF">2022-07-26T10:05:00Z</dcterms:modified>
</cp:coreProperties>
</file>