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pStyle w:val="PO9"/>
        <w:jc w:val="both"/>
        <w:rPr>
          <w:sz w:val="24"/>
          <w:szCs w:val="24"/>
          <w:u w:val="single"/>
        </w:rPr>
      </w:pPr>
    </w:p>
    <w:p>
      <w:pPr>
        <w:pStyle w:val="PO9"/>
        <w:jc w:val="left"/>
        <w:rPr/>
      </w:pPr>
      <w:r>
        <w:rPr>
          <w:sz w:val="20"/>
        </w:rPr>
        <w:drawing>
          <wp:inline distT="0" distB="0" distL="0" distR="0">
            <wp:extent cx="1295400" cy="714375"/>
            <wp:effectExtent l="0" t="0" r="0" b="9525"/>
            <wp:docPr id="9" name="图片 1" descr="HKEX_BW Logo_RGB_Hr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windows/AppData/Roaming/JisuOffice/ETemp/1788_13075488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8" t="16165" r="11549" b="19614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71501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/>
      </w:pPr>
    </w:p>
    <w:p>
      <w:pPr>
        <w:pStyle w:val="PO9"/>
        <w:jc w:val="left"/>
        <w:spacing w:lineRule="auto" w:line="216"/>
        <w:rPr>
          <w:rFonts w:ascii="Arial" w:hAnsi="Arial" w:cs="Arial"/>
        </w:rPr>
      </w:pPr>
      <w:r>
        <w:rPr>
          <w:rFonts w:ascii="Arial" w:hAnsi="Arial" w:cs="Arial"/>
        </w:rPr>
        <w:t xml:space="preserve">Monthly Return of Equity Issuer on Movements in Securities</w:t>
      </w:r>
    </w:p>
    <w:p>
      <w:pPr>
        <w:spacing w:lineRule="auto" w:line="216"/>
        <w:rPr>
          <w:i w:val="1"/>
          <w:rFonts w:ascii="Arial" w:hAnsi="Arial" w:cs="Arial"/>
        </w:rPr>
      </w:pP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3860"/>
        <w:gridCol w:w="4977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95"/>
          <w:cantSplit/>
        </w:trPr>
        <w:tc>
          <w:tcPr>
            <w:tcW w:type="dxa" w:w="386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hAnsi="Arial" w:cs="Arial"/>
              </w:rPr>
            </w:pPr>
            <w:r>
              <w:rPr>
                <w:b w:val="1"/>
                <w:sz w:val="22"/>
                <w:szCs w:val="22"/>
                <w:rFonts w:ascii="Arial" w:hAnsi="Arial" w:cs="Arial"/>
              </w:rPr>
              <w:t xml:space="preserve">For the month ended </w:t>
            </w:r>
            <w:r>
              <w:rPr>
                <w:b w:val="1"/>
                <w:sz w:val="22"/>
                <w:szCs w:val="22"/>
                <w:rFonts w:ascii="Arial" w:hAnsi="Arial" w:cs="Arial"/>
              </w:rPr>
              <w:t xml:space="preserve">(dd/mm/yyyy) :                                                 </w:t>
            </w:r>
          </w:p>
        </w:tc>
        <w:tc>
          <w:tcPr>
            <w:tcW w:type="dxa" w:w="497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</w:tcBorders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b w:val="1"/>
                <w:sz w:val="22"/>
                <w:szCs w:val="22"/>
                <w:rFonts w:ascii="Arial" w:eastAsia="宋体" w:hAnsi="Arial" w:cs="Arial"/>
              </w:rPr>
              <w:t>3</w:t>
            </w:r>
            <w:r>
              <w:rPr>
                <w:b w:val="1"/>
                <w:sz w:val="22"/>
                <w:szCs w:val="22"/>
                <w:rFonts w:ascii="Arial" w:eastAsia="宋体" w:hAnsi="Arial" w:cs="Arial"/>
              </w:rPr>
              <w:t>1</w:t>
            </w:r>
            <w:r>
              <w:rPr>
                <w:b w:val="1"/>
                <w:sz w:val="22"/>
                <w:szCs w:val="22"/>
                <w:rFonts w:ascii="Arial" w:eastAsia="宋体" w:hAnsi="Arial" w:cs="Arial" w:hint="eastAsia"/>
              </w:rPr>
              <w:t>/</w:t>
            </w:r>
            <w:r>
              <w:rPr>
                <w:b w:val="1"/>
                <w:sz w:val="22"/>
                <w:szCs w:val="22"/>
                <w:rFonts w:ascii="Arial" w:eastAsia="宋体" w:hAnsi="Arial" w:cs="Arial"/>
              </w:rPr>
              <w:t>01</w:t>
            </w:r>
            <w:r>
              <w:rPr>
                <w:b w:val="1"/>
                <w:sz w:val="22"/>
                <w:szCs w:val="22"/>
                <w:rFonts w:ascii="Arial" w:eastAsia="宋体" w:hAnsi="Arial" w:cs="Arial" w:hint="eastAsia"/>
              </w:rPr>
              <w:t>/20</w:t>
            </w:r>
            <w:r>
              <w:rPr>
                <w:b w:val="1"/>
                <w:sz w:val="22"/>
                <w:szCs w:val="22"/>
                <w:rFonts w:ascii="Arial" w:eastAsia="宋体" w:hAnsi="Arial" w:cs="Arial" w:hint="eastAsia"/>
              </w:rPr>
              <w:t>20</w:t>
            </w:r>
          </w:p>
        </w:tc>
      </w:tr>
    </w:tbl>
    <w:p>
      <w:pPr>
        <w:spacing w:lineRule="auto" w:line="216"/>
        <w:rPr>
          <w:sz w:val="22"/>
          <w:szCs w:val="22"/>
          <w:rFonts w:ascii="Arial" w:hAnsi="Arial" w:cs="Arial"/>
        </w:rPr>
      </w:pPr>
    </w:p>
    <w:p>
      <w:pPr>
        <w:spacing w:lineRule="auto" w:line="21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 xml:space="preserve">To : Hong Kong Exchanges and Clearing Limited</w:t>
      </w:r>
    </w:p>
    <w:p>
      <w:pPr>
        <w:spacing w:lineRule="auto" w:line="216"/>
        <w:rPr>
          <w:sz w:val="22"/>
          <w:szCs w:val="22"/>
          <w:rFonts w:ascii="Arial" w:hAnsi="Arial" w:cs="Arial"/>
        </w:rPr>
      </w:pPr>
    </w:p>
    <w:p>
      <w:pPr>
        <w:spacing w:lineRule="auto" w:line="216"/>
        <w:rPr>
          <w:sz w:val="22"/>
          <w:szCs w:val="22"/>
          <w:rFonts w:ascii="Arial" w:hAnsi="Arial" w:cs="Arial"/>
        </w:rPr>
      </w:pP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9108" w:type="dxa"/>
        <w:tblLook w:val="000000" w:firstRow="0" w:lastRow="0" w:firstColumn="0" w:lastColumn="0" w:noHBand="0" w:noVBand="0"/>
        <w:tblLayout w:type="fixed"/>
      </w:tblPr>
      <w:tblGrid>
        <w:gridCol w:w="2808"/>
        <w:gridCol w:w="1440"/>
        <w:gridCol w:w="416"/>
        <w:gridCol w:w="1684"/>
        <w:gridCol w:w="2490"/>
        <w:gridCol w:w="27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  <w:cantSplit/>
        </w:trPr>
        <w:tc>
          <w:tcPr>
            <w:tcW w:type="dxa" w:w="28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Name of Issuer</w:t>
            </w:r>
          </w:p>
        </w:tc>
        <w:tc>
          <w:tcPr>
            <w:tcW w:type="dxa" w:w="603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gridSpan w:val="4"/>
            <w:tcBorders>
              <w:bottom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1"/>
                <w:szCs w:val="21"/>
              </w:rPr>
              <w:t xml:space="preserve">TK Group (Holdings) Limited (the “Company”)</w:t>
            </w: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top"/>
          </w:tcPr>
          <w:p>
            <w:pPr>
              <w:spacing w:lineRule="auto" w:line="216"/>
              <w:rPr>
                <w:i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320"/>
          <w:cantSplit/>
        </w:trPr>
        <w:tc>
          <w:tcPr>
            <w:tcW w:type="dxa" w:w="28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Date Submitted</w:t>
            </w:r>
          </w:p>
        </w:tc>
        <w:tc>
          <w:tcPr>
            <w:tcW w:type="dxa" w:w="14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/>
              </w:rPr>
              <w:t>0</w:t>
            </w:r>
            <w:r>
              <w:rPr>
                <w:sz w:val="22"/>
                <w:szCs w:val="22"/>
                <w:rFonts w:ascii="Arial" w:eastAsia="宋体" w:hAnsi="Arial" w:cs="Arial"/>
              </w:rPr>
              <w:t>3</w:t>
            </w:r>
            <w:r>
              <w:rPr>
                <w:sz w:val="22"/>
                <w:szCs w:val="22"/>
                <w:rFonts w:ascii="Arial" w:eastAsia="宋体" w:hAnsi="Arial" w:cs="Arial" w:hint="eastAsia"/>
              </w:rPr>
              <w:t>/</w:t>
            </w:r>
            <w:r>
              <w:rPr>
                <w:sz w:val="22"/>
                <w:szCs w:val="22"/>
                <w:rFonts w:ascii="Arial" w:eastAsia="宋体" w:hAnsi="Arial" w:cs="Arial"/>
              </w:rPr>
              <w:t>02</w:t>
            </w:r>
            <w:r>
              <w:rPr>
                <w:sz w:val="22"/>
                <w:szCs w:val="22"/>
                <w:rFonts w:ascii="Arial" w:eastAsia="宋体" w:hAnsi="Arial" w:cs="Arial" w:hint="eastAsia"/>
              </w:rPr>
              <w:t>/20</w:t>
            </w:r>
            <w:r>
              <w:rPr>
                <w:sz w:val="22"/>
                <w:szCs w:val="22"/>
                <w:rFonts w:ascii="Arial" w:eastAsia="宋体" w:hAnsi="Arial" w:cs="Arial" w:hint="eastAsia"/>
              </w:rPr>
              <w:t>20</w:t>
            </w:r>
          </w:p>
        </w:tc>
        <w:tc>
          <w:tcPr>
            <w:tcW w:type="dxa" w:w="41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68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9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</w:tcPr>
          <w:p>
            <w:pPr>
              <w:spacing w:lineRule="auto" w:line="216"/>
              <w:rPr>
                <w:i w:val="1"/>
                <w:sz w:val="22"/>
                <w:szCs w:val="22"/>
                <w:rFonts w:ascii="Arial" w:hAnsi="Arial" w:cs="Arial"/>
              </w:rPr>
            </w:pPr>
          </w:p>
        </w:tc>
      </w:tr>
    </w:tbl>
    <w:p>
      <w:pPr>
        <w:spacing w:lineRule="auto" w:line="216"/>
        <w:rPr>
          <w:rFonts w:ascii="Arial" w:hAnsi="Arial" w:cs="Arial"/>
        </w:rPr>
      </w:pPr>
    </w:p>
    <w:p>
      <w:pPr>
        <w:pStyle w:val="PO7"/>
        <w:spacing w:lineRule="auto" w:line="216"/>
        <w:rPr>
          <w:b w:val="0"/>
          <w:sz w:val="22"/>
          <w:szCs w:val="22"/>
          <w:rFonts w:ascii="Arial" w:hAnsi="Arial" w:cs="Arial"/>
        </w:rPr>
      </w:pPr>
      <w:r>
        <w:rPr>
          <w:b w:val="0"/>
          <w:sz w:val="22"/>
          <w:szCs w:val="22"/>
          <w:rFonts w:ascii="Arial" w:hAnsi="Arial" w:cs="Arial"/>
        </w:rPr>
        <w:t xml:space="preserve">I. Movements in Authorised Share Capital</w:t>
      </w:r>
    </w:p>
    <w:p>
      <w:pPr>
        <w:spacing w:lineRule="auto" w:line="216"/>
        <w:rPr>
          <w:rFonts w:ascii="Arial" w:hAnsi="Arial" w:cs="Arial"/>
        </w:rPr>
      </w:pPr>
    </w:p>
    <w:p>
      <w:pPr>
        <w:spacing w:lineRule="auto" w:line="216"/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 xml:space="preserve">1. Ordinary Shares</w:t>
      </w:r>
    </w:p>
    <w:tbl>
      <w:tblID w:val="0"/>
      <w:tblPr>
        <w:tblCellMar>
          <w:left w:w="28" w:type="dxa"/>
          <w:top w:w="0" w:type="dxa"/>
          <w:right w:w="28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480"/>
        <w:gridCol w:w="247"/>
        <w:gridCol w:w="90"/>
        <w:gridCol w:w="18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8"/>
          <w:cantSplit/>
        </w:trPr>
        <w:tc>
          <w:tcPr>
            <w:tcW w:type="dxa" w:w="164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left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(1) Stock code :</w:t>
            </w:r>
          </w:p>
        </w:tc>
        <w:tc>
          <w:tcPr>
            <w:tcW w:type="dxa" w:w="126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02283</w:t>
            </w:r>
          </w:p>
        </w:tc>
        <w:tc>
          <w:tcPr>
            <w:tcW w:type="dxa" w:w="16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Description :</w:t>
            </w:r>
          </w:p>
        </w:tc>
        <w:tc>
          <w:tcPr>
            <w:tcW w:type="dxa" w:w="42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Ordinary Shares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right w:val="single" w:color="auto" w:sz="4"/>
              <w:top w:val="single" w:color="auto" w:sz="4"/>
            </w:tcBorders>
          </w:tcPr>
          <w:p>
            <w:pPr>
              <w:jc w:val="right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35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25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ordinary </w:t>
            </w: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35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Par value</w:t>
            </w:r>
          </w:p>
          <w:p>
            <w:pPr>
              <w:jc w:val="center"/>
              <w:spacing w:lineRule="auto" w:line="216"/>
              <w:rPr>
                <w:i w:val="1"/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</w:t>
            </w:r>
            <w:r>
              <w:rPr>
                <w:i w:val="1"/>
                <w:sz w:val="22"/>
                <w:szCs w:val="22"/>
                <w:rFonts w:ascii="Arial" w:hAnsi="Arial" w:cs="Arial"/>
              </w:rPr>
              <w:t>currency)</w:t>
            </w:r>
          </w:p>
        </w:tc>
        <w:tc>
          <w:tcPr>
            <w:tcW w:type="dxa" w:w="225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5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Authorised share </w:t>
            </w:r>
            <w:r>
              <w:rPr>
                <w:sz w:val="22"/>
                <w:szCs w:val="22"/>
                <w:rFonts w:ascii="Arial" w:hAnsi="Arial" w:cs="Arial"/>
              </w:rPr>
              <w:t xml:space="preserve">capital </w:t>
            </w:r>
          </w:p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currency)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95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preceding month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2,000,000,000</w:t>
            </w: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HK$0.10</w:t>
            </w: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HK$200,000,000.00</w:t>
            </w: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85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Increase/(decrease)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0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30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the month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2,000,000,000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HK$0.10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HK$200,000,000.00</w:t>
            </w: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15"/>
          <w:cantSplit/>
        </w:trPr>
        <w:tc>
          <w:tcPr>
            <w:tcW w:type="dxa" w:w="164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26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nil" w:color="auto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6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nil" w:color="auto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9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4"/>
            <w:tcBorders>
              <w:bottom w:val="nil" w:color="auto"/>
              <w:left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8"/>
          <w:cantSplit/>
        </w:trPr>
        <w:tc>
          <w:tcPr>
            <w:tcW w:type="dxa" w:w="164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left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(2) Stock code :</w:t>
            </w:r>
          </w:p>
        </w:tc>
        <w:tc>
          <w:tcPr>
            <w:tcW w:type="dxa" w:w="126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6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Description :</w:t>
            </w:r>
          </w:p>
        </w:tc>
        <w:tc>
          <w:tcPr>
            <w:tcW w:type="dxa" w:w="42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right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 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35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25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ordinary </w:t>
            </w: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35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Par value</w:t>
            </w:r>
          </w:p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</w:t>
            </w:r>
            <w:r>
              <w:rPr>
                <w:i w:val="1"/>
                <w:sz w:val="22"/>
                <w:szCs w:val="22"/>
                <w:rFonts w:ascii="Arial" w:hAnsi="Arial" w:cs="Arial"/>
              </w:rPr>
              <w:t>currency)</w:t>
            </w:r>
          </w:p>
        </w:tc>
        <w:tc>
          <w:tcPr>
            <w:tcW w:type="dxa" w:w="225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5"/>
            <w:tcBorders>
              <w:bottom w:val="nil" w:color="auto"/>
            </w:tcBorders>
          </w:tcPr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Authorised share </w:t>
            </w:r>
            <w:r>
              <w:rPr>
                <w:sz w:val="22"/>
                <w:szCs w:val="22"/>
                <w:rFonts w:ascii="Arial" w:hAnsi="Arial" w:cs="Arial"/>
              </w:rPr>
              <w:t xml:space="preserve">capital </w:t>
            </w:r>
          </w:p>
          <w:p>
            <w:pPr>
              <w:jc w:val="center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currency)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95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preceding month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7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85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Increase/(decrease)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7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0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74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1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30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the month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74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15"/>
          <w:cantSplit/>
        </w:trPr>
        <w:tc>
          <w:tcPr>
            <w:tcW w:type="dxa" w:w="164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26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6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spacing w:lineRule="auto" w:line="216"/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9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4"/>
            <w:tcBorders>
              <w:bottom w:val="single" w:color="auto" w:sz="4"/>
              <w:left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2"/>
                <w:szCs w:val="22"/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rPr>
          <w:sz w:val="22"/>
          <w:szCs w:val="22"/>
          <w:rFonts w:ascii="Arial" w:hAnsi="Arial" w:cs="Arial"/>
        </w:rPr>
      </w:pPr>
      <w:r>
        <w:br w:type="page"/>
      </w:r>
      <w:r>
        <w:rPr>
          <w:sz w:val="22"/>
          <w:szCs w:val="22"/>
          <w:rFonts w:ascii="Arial" w:hAnsi="Arial" w:cs="Arial"/>
        </w:rPr>
        <w:t xml:space="preserve">2. Preference Shares</w:t>
      </w:r>
    </w:p>
    <w:tbl>
      <w:tblID w:val="0"/>
      <w:tblPr>
        <w:tblCellMar>
          <w:left w:w="28" w:type="dxa"/>
          <w:top w:w="0" w:type="dxa"/>
          <w:right w:w="28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540"/>
        <w:gridCol w:w="90"/>
        <w:gridCol w:w="18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8"/>
          <w:cantSplit/>
        </w:trPr>
        <w:tc>
          <w:tcPr>
            <w:tcW w:type="dxa" w:w="164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left w:val="single" w:color="auto" w:sz="4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Stock code :</w:t>
            </w:r>
          </w:p>
        </w:tc>
        <w:tc>
          <w:tcPr>
            <w:tcW w:type="dxa" w:w="126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6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Description :</w:t>
            </w:r>
          </w:p>
        </w:tc>
        <w:tc>
          <w:tcPr>
            <w:tcW w:type="dxa" w:w="40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7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right w:val="single" w:color="auto" w:sz="4"/>
              <w:top w:val="single" w:color="auto" w:sz="4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35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0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4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</w:t>
            </w:r>
            <w:r>
              <w:rPr>
                <w:sz w:val="22"/>
                <w:szCs w:val="22"/>
                <w:rFonts w:ascii="Arial" w:hAnsi="Arial" w:cs="Arial"/>
              </w:rPr>
              <w:t xml:space="preserve">preference </w:t>
            </w: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35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Par value</w:t>
            </w:r>
          </w:p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</w:t>
            </w:r>
            <w:r>
              <w:rPr>
                <w:i w:val="1"/>
                <w:sz w:val="22"/>
                <w:szCs w:val="22"/>
                <w:rFonts w:ascii="Arial" w:hAnsi="Arial" w:cs="Arial"/>
              </w:rPr>
              <w:t>currency)</w:t>
            </w:r>
          </w:p>
        </w:tc>
        <w:tc>
          <w:tcPr>
            <w:tcW w:type="dxa" w:w="20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4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Authorised share </w:t>
            </w:r>
            <w:r>
              <w:rPr>
                <w:sz w:val="22"/>
                <w:szCs w:val="22"/>
                <w:rFonts w:ascii="Arial" w:hAnsi="Arial" w:cs="Arial"/>
              </w:rPr>
              <w:t xml:space="preserve">capital </w:t>
            </w:r>
          </w:p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currency)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95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preceding month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85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Increase/(decrease)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0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                            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30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the month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15"/>
          <w:cantSplit/>
        </w:trPr>
        <w:tc>
          <w:tcPr>
            <w:tcW w:type="dxa" w:w="164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right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26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6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81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single" w:color="auto" w:sz="4"/>
              <w:left w:val="nil" w:color="auto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 xml:space="preserve">3. Other Classes of Shares</w:t>
      </w:r>
    </w:p>
    <w:tbl>
      <w:tblID w:val="0"/>
      <w:tblPr>
        <w:tblCellMar>
          <w:left w:w="28" w:type="dxa"/>
          <w:top w:w="0" w:type="dxa"/>
          <w:right w:w="28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540"/>
        <w:gridCol w:w="90"/>
        <w:gridCol w:w="18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58"/>
          <w:cantSplit/>
        </w:trPr>
        <w:tc>
          <w:tcPr>
            <w:tcW w:type="dxa" w:w="164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left w:val="single" w:color="auto" w:sz="4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Stock code :</w:t>
            </w:r>
          </w:p>
        </w:tc>
        <w:tc>
          <w:tcPr>
            <w:tcW w:type="dxa" w:w="126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6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Description :</w:t>
            </w:r>
          </w:p>
        </w:tc>
        <w:tc>
          <w:tcPr>
            <w:tcW w:type="dxa" w:w="40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7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right w:val="single" w:color="auto" w:sz="4"/>
              <w:top w:val="single" w:color="auto" w:sz="4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35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07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4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68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other </w:t>
            </w:r>
            <w:r>
              <w:rPr>
                <w:sz w:val="22"/>
                <w:szCs w:val="22"/>
                <w:rFonts w:ascii="Arial" w:hAnsi="Arial" w:cs="Arial"/>
              </w:rPr>
              <w:t xml:space="preserve">classes of </w:t>
            </w: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35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Par value</w:t>
            </w:r>
          </w:p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</w:t>
            </w:r>
            <w:r>
              <w:rPr>
                <w:i w:val="1"/>
                <w:sz w:val="22"/>
                <w:szCs w:val="22"/>
                <w:rFonts w:ascii="Arial" w:hAnsi="Arial" w:cs="Arial"/>
              </w:rPr>
              <w:t>currency)</w:t>
            </w:r>
          </w:p>
        </w:tc>
        <w:tc>
          <w:tcPr>
            <w:tcW w:type="dxa" w:w="207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4"/>
            <w:tcBorders>
              <w:bottom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Authorised share </w:t>
            </w:r>
            <w:r>
              <w:rPr>
                <w:sz w:val="22"/>
                <w:szCs w:val="22"/>
                <w:rFonts w:ascii="Arial" w:hAnsi="Arial" w:cs="Arial"/>
              </w:rPr>
              <w:t xml:space="preserve">capital </w:t>
            </w:r>
          </w:p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currency)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95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preceding month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85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Increase/(decrease)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60"/>
          <w:cantSplit/>
        </w:trPr>
        <w:tc>
          <w:tcPr>
            <w:tcW w:type="dxa" w:w="362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                              </w:t>
            </w:r>
          </w:p>
        </w:tc>
        <w:tc>
          <w:tcPr>
            <w:tcW w:type="dxa" w:w="171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30"/>
          <w:cantSplit/>
        </w:trPr>
        <w:tc>
          <w:tcPr>
            <w:tcW w:type="dxa" w:w="362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the month</w:t>
            </w:r>
          </w:p>
        </w:tc>
        <w:tc>
          <w:tcPr>
            <w:tcW w:type="dxa" w:w="171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15"/>
          <w:cantSplit/>
        </w:trPr>
        <w:tc>
          <w:tcPr>
            <w:tcW w:type="dxa" w:w="164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right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26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6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2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gridSpan w:val="5"/>
            <w:tcBorders>
              <w:bottom w:val="single" w:color="auto" w:sz="4"/>
              <w:left w:val="nil" w:color="auto"/>
              <w:right w:val="nil" w:color="auto"/>
              <w:top w:val="nil" w:color="auto"/>
            </w:tcBorders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81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gridSpan w:val="3"/>
            <w:tcBorders>
              <w:bottom w:val="single" w:color="auto" w:sz="4"/>
              <w:left w:val="nil" w:color="auto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</w:p>
        </w:tc>
      </w:tr>
    </w:tbl>
    <w:p>
      <w:pPr>
        <w:rPr>
          <w:sz w:val="22"/>
          <w:szCs w:val="22"/>
          <w:rFonts w:ascii="Arial" w:hAnsi="Arial" w:cs="Arial"/>
        </w:rPr>
      </w:pPr>
    </w:p>
    <w:tbl>
      <w:tblID w:val="0"/>
      <w:tblPr>
        <w:tblBorders>
          <w:insideH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6048"/>
        <w:gridCol w:w="2520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type="dxa" w:w="604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top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Total authorised share capital at the end of the month </w:t>
            </w:r>
            <w:r>
              <w:rPr>
                <w:i w:val="1"/>
                <w:sz w:val="22"/>
                <w:szCs w:val="22"/>
                <w:rFonts w:ascii="Arial" w:hAnsi="Arial" w:cs="Arial"/>
              </w:rPr>
              <w:t xml:space="preserve">(State currency)</w:t>
            </w:r>
            <w:r>
              <w:rPr>
                <w:sz w:val="22"/>
                <w:szCs w:val="22"/>
                <w:rFonts w:ascii="Arial" w:hAnsi="Arial" w:cs="Arial"/>
              </w:rPr>
              <w:t xml:space="preserve"> :</w:t>
            </w:r>
          </w:p>
        </w:tc>
        <w:tc>
          <w:tcPr>
            <w:tcW w:type="dxa" w:w="252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HK$2,000,000,000.00</w:t>
            </w:r>
          </w:p>
        </w:tc>
      </w:tr>
    </w:tbl>
    <w:p>
      <w:pPr>
        <w:rPr>
          <w:rFonts w:ascii="Arial" w:hAnsi="Arial" w:cs="Arial"/>
        </w:rPr>
      </w:pPr>
    </w:p>
    <w:p>
      <w:pPr>
        <w:pStyle w:val="PO7"/>
        <w:rPr>
          <w:sz w:val="24"/>
          <w:szCs w:val="24"/>
          <w:rFonts w:ascii="Arial" w:hAnsi="Arial" w:cs="Arial"/>
        </w:rPr>
      </w:pPr>
    </w:p>
    <w:p>
      <w:pPr>
        <w:pStyle w:val="PO7"/>
        <w:rPr>
          <w:b w:val="0"/>
          <w:sz w:val="22"/>
          <w:szCs w:val="22"/>
          <w:rFonts w:ascii="Arial" w:hAnsi="Arial" w:cs="Arial"/>
        </w:rPr>
      </w:pPr>
      <w:r>
        <w:br w:type="page"/>
      </w:r>
      <w:r>
        <w:rPr>
          <w:b w:val="0"/>
          <w:sz w:val="22"/>
          <w:szCs w:val="22"/>
          <w:rFonts w:ascii="Arial" w:hAnsi="Arial" w:cs="Arial"/>
        </w:rPr>
        <w:t xml:space="preserve">II. Movements in Issued Share Capital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top w:w="0" w:type="dxa"/>
          <w:right w:w="28" w:type="dxa"/>
          <w:bottom w:w="0" w:type="dxa"/>
        </w:tblCellMar>
        <w:tblW w:w="0" w:type="auto"/>
        <w:tblLook w:val="000000" w:firstRow="0" w:lastRow="0" w:firstColumn="0" w:lastColumn="0" w:noHBand="0" w:noVBand="0"/>
        <w:tblLayout w:type="auto"/>
      </w:tblPr>
      <w:tblGrid>
        <w:gridCol w:w="2188"/>
        <w:gridCol w:w="1440"/>
        <w:gridCol w:w="90"/>
        <w:gridCol w:w="90"/>
        <w:gridCol w:w="1350"/>
        <w:gridCol w:w="90"/>
        <w:gridCol w:w="90"/>
        <w:gridCol w:w="1530"/>
        <w:gridCol w:w="90"/>
        <w:gridCol w:w="90"/>
        <w:gridCol w:w="1530"/>
        <w:gridCol w:w="180"/>
      </w:tblGrid>
      <w:tr>
        <w:trPr>
          <w:trHeight w:hRule="atleast" w:val="332"/>
          <w:cantSplit/>
        </w:trPr>
        <w:tc>
          <w:tcPr>
            <w:tcW w:type="dxa" w:w="2188"/>
            <w:vAlign w:val="bottom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5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ordinary shares</w:t>
            </w:r>
          </w:p>
        </w:tc>
        <w:tc>
          <w:tcPr>
            <w:tcW w:type="dxa" w:w="1710"/>
            <w:vAlign w:val="bottom"/>
            <w:gridSpan w:val="3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 of preference </w:t>
            </w: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800"/>
            <w:vAlign w:val="bottom"/>
            <w:gridSpan w:val="3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No. of other </w:t>
            </w:r>
            <w:r>
              <w:rPr>
                <w:sz w:val="22"/>
                <w:szCs w:val="22"/>
                <w:rFonts w:ascii="Arial" w:hAnsi="Arial" w:cs="Arial"/>
              </w:rPr>
              <w:t xml:space="preserve">classes of shares</w:t>
            </w:r>
          </w:p>
        </w:tc>
      </w:tr>
      <w:tr>
        <w:trPr>
          <w:trHeight w:hRule="atleast" w:val="332"/>
          <w:cantSplit/>
        </w:trPr>
        <w:tc>
          <w:tcPr>
            <w:tcW w:type="dxa" w:w="2188"/>
            <w:vAlign w:val="bottom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(1)</w:t>
            </w:r>
          </w:p>
        </w:tc>
        <w:tc>
          <w:tcPr>
            <w:tcW w:type="dxa" w:w="153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(2)</w:t>
            </w:r>
          </w:p>
        </w:tc>
        <w:tc>
          <w:tcPr>
            <w:tcW w:type="dxa" w:w="1710"/>
            <w:vAlign w:val="bottom"/>
            <w:gridSpan w:val="3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1800"/>
            <w:vAlign w:val="bottom"/>
            <w:gridSpan w:val="3"/>
            <w:vMerge/>
            <w:tcBorders>
              <w:bottom w:val="single" w:color="auto" w:sz="4"/>
              <w:top w:val="single" w:color="auto" w:sz="4"/>
            </w:tcBorders>
          </w:tcPr>
          <w:p/>
        </w:tc>
      </w:tr>
      <w:tr>
        <w:trPr>
          <w:trHeight w:hRule="atleast" w:val="782"/>
          <w:cantSplit/>
        </w:trPr>
        <w:tc>
          <w:tcPr>
            <w:tcW w:type="dxa" w:w="2188"/>
            <w:vAlign w:val="bottom"/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</w:t>
            </w:r>
            <w:r>
              <w:rPr>
                <w:sz w:val="22"/>
                <w:szCs w:val="22"/>
                <w:rFonts w:ascii="Arial" w:hAnsi="Arial" w:cs="Arial"/>
              </w:rPr>
              <w:t xml:space="preserve">preceding month</w:t>
            </w:r>
          </w:p>
        </w:tc>
        <w:tc>
          <w:tcPr>
            <w:tcW w:type="dxa" w:w="144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b w:val="1"/>
                <w:sz w:val="20"/>
                <w:szCs w:val="20"/>
                <w:rFonts w:ascii="Arial" w:eastAsia="宋体" w:hAnsi="Arial" w:cs="Arial" w:hint="eastAsia"/>
              </w:rPr>
              <w:t>833,</w:t>
            </w:r>
            <w:r>
              <w:rPr>
                <w:b w:val="1"/>
                <w:sz w:val="20"/>
                <w:szCs w:val="20"/>
                <w:rFonts w:ascii="Arial" w:eastAsia="宋体" w:hAnsi="Arial" w:cs="Arial"/>
              </w:rPr>
              <w:t>26</w:t>
            </w:r>
            <w:r>
              <w:rPr>
                <w:b w:val="1"/>
                <w:sz w:val="20"/>
                <w:szCs w:val="20"/>
                <w:rFonts w:ascii="Arial" w:eastAsia="宋体" w:hAnsi="Arial" w:cs="Arial" w:hint="eastAsia"/>
              </w:rPr>
              <w:t>0,000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38"/>
          <w:cantSplit/>
        </w:trPr>
        <w:tc>
          <w:tcPr>
            <w:tcW w:type="dxa" w:w="2188"/>
            <w:vAlign w:val="bottom"/>
            <w:tcBorders>
              <w:bottom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Increase/ (decrease) </w:t>
            </w:r>
            <w:r>
              <w:rPr>
                <w:sz w:val="22"/>
                <w:szCs w:val="22"/>
                <w:rFonts w:ascii="Arial" w:hAnsi="Arial" w:cs="Arial"/>
              </w:rPr>
              <w:t xml:space="preserve">during the month</w:t>
            </w:r>
          </w:p>
        </w:tc>
        <w:tc>
          <w:tcPr>
            <w:tcW w:type="dxa" w:w="144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02"/>
          <w:cantSplit/>
        </w:trPr>
        <w:tc>
          <w:tcPr>
            <w:tcW w:type="dxa" w:w="2188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Balance at close of </w:t>
            </w:r>
            <w:r>
              <w:rPr>
                <w:sz w:val="22"/>
                <w:szCs w:val="22"/>
                <w:rFonts w:ascii="Arial" w:hAnsi="Arial" w:cs="Arial"/>
              </w:rPr>
              <w:t xml:space="preserve">the month</w:t>
            </w:r>
          </w:p>
        </w:tc>
        <w:tc>
          <w:tcPr>
            <w:tcW w:type="dxa" w:w="144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b w:val="1"/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b w:val="1"/>
                <w:sz w:val="20"/>
                <w:szCs w:val="20"/>
                <w:rFonts w:ascii="Arial" w:eastAsia="宋体" w:hAnsi="Arial" w:cs="Arial" w:hint="eastAsia"/>
              </w:rPr>
              <w:t>833,</w:t>
            </w:r>
            <w:r>
              <w:rPr>
                <w:b w:val="1"/>
                <w:sz w:val="20"/>
                <w:szCs w:val="20"/>
                <w:rFonts w:ascii="Arial" w:eastAsia="宋体" w:hAnsi="Arial" w:cs="Arial"/>
              </w:rPr>
              <w:t>26</w:t>
            </w:r>
            <w:r>
              <w:rPr>
                <w:b w:val="1"/>
                <w:sz w:val="20"/>
                <w:szCs w:val="20"/>
                <w:rFonts w:ascii="Arial" w:eastAsia="宋体" w:hAnsi="Arial" w:cs="Arial" w:hint="eastAsia"/>
              </w:rPr>
              <w:t>0,000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pStyle w:val="PO159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  <w:snapToGrid w:val="on"/>
            </w:pPr>
          </w:p>
        </w:tc>
        <w:tc>
          <w:tcPr>
            <w:tcW w:type="dxa" w:w="135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pStyle w:val="PO159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  <w:snapToGrid w:val="on"/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314"/>
          <w:cantSplit/>
        </w:trPr>
        <w:tc>
          <w:tcPr>
            <w:tcW w:type="dxa" w:w="5338"/>
            <w:vAlign w:val="bottom"/>
            <w:gridSpan w:val="7"/>
            <w:tcBorders>
              <w:bottom w:val="single" w:color="auto" w:sz="4"/>
              <w:right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vAlign w:val="bottom"/>
            <w:gridSpan w:val="5"/>
            <w:tcBorders>
              <w:bottom w:val="single" w:color="auto" w:sz="4"/>
              <w:left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pStyle w:val="PO7"/>
        <w:rPr>
          <w:b w:val="0"/>
          <w:sz w:val="22"/>
          <w:szCs w:val="22"/>
          <w:rFonts w:ascii="Arial" w:hAnsi="Arial" w:cs="Arial"/>
        </w:rPr>
      </w:pPr>
      <w:r>
        <w:rPr>
          <w:b w:val="0"/>
          <w:sz w:val="22"/>
          <w:szCs w:val="22"/>
          <w:rFonts w:ascii="Arial" w:hAnsi="Arial" w:cs="Arial"/>
        </w:rPr>
        <w:t xml:space="preserve">III. Details of Movements in Issued Share Capital</w:t>
      </w:r>
    </w:p>
    <w:p>
      <w:pPr>
        <w:rPr>
          <w:rFonts w:ascii="Arial" w:hAnsi="Arial" w:cs="Arial"/>
        </w:rPr>
      </w:pPr>
    </w:p>
    <w:p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 w:cs="Arial"/>
        </w:rPr>
        <w:t xml:space="preserve">Share Options (under Share Option Schemes of the Issuer)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top w:w="0" w:type="dxa"/>
          <w:right w:w="28" w:type="dxa"/>
          <w:bottom w:w="0" w:type="dxa"/>
        </w:tblCellMar>
        <w:tblW w:w="10691" w:type="dxa"/>
        <w:tblInd w:w="-398" w:type="dxa"/>
        <w:tblLook w:val="000000" w:firstRow="0" w:lastRow="0" w:firstColumn="0" w:lastColumn="0" w:noHBand="0" w:noVBand="0"/>
        <w:tblLayout w:type="fixed"/>
      </w:tblPr>
      <w:tblGrid>
        <w:gridCol w:w="118"/>
        <w:gridCol w:w="1753"/>
        <w:gridCol w:w="90"/>
        <w:gridCol w:w="90"/>
        <w:gridCol w:w="1080"/>
        <w:gridCol w:w="90"/>
        <w:gridCol w:w="90"/>
        <w:gridCol w:w="1080"/>
        <w:gridCol w:w="90"/>
        <w:gridCol w:w="90"/>
        <w:gridCol w:w="330"/>
        <w:gridCol w:w="750"/>
        <w:gridCol w:w="90"/>
        <w:gridCol w:w="90"/>
        <w:gridCol w:w="360"/>
        <w:gridCol w:w="540"/>
        <w:gridCol w:w="90"/>
        <w:gridCol w:w="600"/>
        <w:gridCol w:w="480"/>
        <w:gridCol w:w="720"/>
        <w:gridCol w:w="120"/>
        <w:gridCol w:w="120"/>
        <w:gridCol w:w="1830"/>
      </w:tblGrid>
      <w:tr>
        <w:trPr>
          <w:trHeight w:hRule="atleast" w:val="982"/>
          <w:cantSplit/>
        </w:trPr>
        <w:tc>
          <w:tcPr>
            <w:tcW w:type="dxa" w:w="1961"/>
            <w:vAlign w:val="center"/>
            <w:gridSpan w:val="3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Particulars of share </w:t>
            </w:r>
            <w:r>
              <w:rPr>
                <w:sz w:val="20"/>
                <w:szCs w:val="20"/>
                <w:rFonts w:ascii="Arial" w:hAnsi="Arial" w:cs="Arial"/>
              </w:rPr>
              <w:t xml:space="preserve">option scheme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including EGM </w:t>
            </w:r>
            <w:r>
              <w:rPr>
                <w:sz w:val="20"/>
                <w:szCs w:val="20"/>
                <w:rFonts w:ascii="Arial" w:hAnsi="Arial" w:cs="Arial"/>
              </w:rPr>
              <w:t xml:space="preserve">approval date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(dd/mm/yyyy) and </w:t>
            </w: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>issuable</w:t>
            </w:r>
          </w:p>
        </w:tc>
        <w:tc>
          <w:tcPr>
            <w:tcW w:type="dxa" w:w="4860"/>
            <w:vAlign w:val="bottom"/>
            <w:gridSpan w:val="14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Movement during the month</w:t>
            </w:r>
          </w:p>
        </w:tc>
        <w:tc>
          <w:tcPr>
            <w:tcW w:type="dxa" w:w="1920"/>
            <w:vAlign w:val="top"/>
            <w:gridSpan w:val="4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issued during </w:t>
            </w:r>
            <w:r>
              <w:rPr>
                <w:sz w:val="20"/>
                <w:szCs w:val="20"/>
                <w:rFonts w:ascii="Arial" w:hAnsi="Arial" w:cs="Arial"/>
              </w:rPr>
              <w:t xml:space="preserve">the month pursuant </w:t>
            </w:r>
            <w:r>
              <w:rPr>
                <w:sz w:val="20"/>
                <w:szCs w:val="20"/>
                <w:rFonts w:ascii="Arial" w:hAnsi="Arial" w:cs="Arial"/>
              </w:rPr>
              <w:t>thereto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50"/>
            <w:vAlign w:val="top"/>
            <w:gridSpan w:val="2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which may be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pursuant </w:t>
            </w:r>
            <w:r>
              <w:rPr>
                <w:sz w:val="20"/>
                <w:szCs w:val="20"/>
                <w:rFonts w:ascii="Arial" w:hAnsi="Arial" w:cs="Arial"/>
              </w:rPr>
              <w:t xml:space="preserve">thereto as at close of </w:t>
            </w:r>
            <w:r>
              <w:rPr>
                <w:sz w:val="20"/>
                <w:szCs w:val="20"/>
                <w:rFonts w:ascii="Arial" w:hAnsi="Arial" w:cs="Arial"/>
              </w:rPr>
              <w:t xml:space="preserve">the month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982"/>
          <w:cantSplit/>
        </w:trPr>
        <w:tc>
          <w:tcPr>
            <w:tcW w:type="dxa" w:w="1961"/>
            <w:vAlign w:val="center"/>
            <w:gridSpan w:val="3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126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Granted</w:t>
            </w:r>
          </w:p>
        </w:tc>
        <w:tc>
          <w:tcPr>
            <w:tcW w:type="dxa" w:w="126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Exercised</w:t>
            </w:r>
          </w:p>
        </w:tc>
        <w:tc>
          <w:tcPr>
            <w:tcW w:type="dxa" w:w="126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Cancelled</w:t>
            </w:r>
          </w:p>
        </w:tc>
        <w:tc>
          <w:tcPr>
            <w:tcW w:type="dxa" w:w="108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Lapsed</w:t>
            </w:r>
          </w:p>
        </w:tc>
        <w:tc>
          <w:tcPr>
            <w:tcW w:type="dxa" w:w="1920"/>
            <w:vAlign w:val="top"/>
            <w:gridSpan w:val="4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950"/>
            <w:vAlign w:val="top"/>
            <w:gridSpan w:val="2"/>
            <w:vMerge/>
            <w:tcBorders>
              <w:bottom w:val="single" w:color="auto" w:sz="4"/>
              <w:top w:val="single" w:color="auto" w:sz="4"/>
            </w:tcBorders>
          </w:tcPr>
          <w:p/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numPr>
                <w:ilvl w:val="0"/>
                <w:numId w:val="10"/>
              </w:num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N/A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/>
              </w:rPr>
              <w:t xml:space="preserve"> 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sz w:val="22"/>
                <w:szCs w:val="22"/>
                <w:rFonts w:ascii="Arial" w:eastAsia="宋体" w:hAnsi="Arial" w:cs="Arial"/>
              </w:rPr>
              <w:t xml:space="preserve">  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</w:t>
            </w: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  <w:wordWrap w:val="off"/>
            </w:pPr>
            <w:r>
              <w:rPr>
                <w:sz w:val="22"/>
                <w:szCs w:val="22"/>
                <w:rFonts w:ascii="Arial" w:hAnsi="Arial" w:cs="Arial"/>
              </w:rPr>
              <w:t xml:space="preserve">Ordinary shares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90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2"/>
                <w:szCs w:val="22"/>
                <w:rFonts w:ascii="Arial" w:eastAsia="宋体" w:hAnsi="Arial" w:cs="Arial" w:hint="eastAsia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2.N/A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</w:t>
            </w: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3.N/A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  </w:t>
            </w: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>shares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80"/>
            <w:vAlign w:val="center"/>
            <w:gridSpan w:val="2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3420"/>
            <w:vAlign w:val="center"/>
            <w:gridSpan w:val="9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Total A.   (Ordinary shares)</w:t>
            </w: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/>
              </w:rPr>
              <w:t>NIL</w:t>
            </w: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160"/>
            <w:vAlign w:val="center"/>
            <w:gridSpan w:val="6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(Preference shares)</w:t>
            </w: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cantSplit/>
        </w:trPr>
        <w:tc>
          <w:tcPr>
            <w:tcW w:type="dxa" w:w="118"/>
            <w:vAlign w:val="center"/>
            <w:tcBorders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753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08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2160"/>
            <w:vAlign w:val="center"/>
            <w:gridSpan w:val="6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2"/>
                <w:szCs w:val="22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(Other class)</w:t>
            </w:r>
          </w:p>
        </w:tc>
        <w:tc>
          <w:tcPr>
            <w:tcW w:type="dxa" w:w="9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00"/>
            <w:vAlign w:val="center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240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2"/>
                <w:szCs w:val="22"/>
                <w:rFonts w:ascii="Arial" w:hAnsi="Arial" w:cs="Arial"/>
              </w:rPr>
            </w:pPr>
          </w:p>
        </w:tc>
        <w:tc>
          <w:tcPr>
            <w:tcW w:type="dxa" w:w="1830"/>
            <w:vAlign w:val="center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502"/>
          <w:cantSplit/>
        </w:trPr>
        <w:tc>
          <w:tcPr>
            <w:tcW w:type="dxa" w:w="4901"/>
            <w:vAlign w:val="bottom"/>
            <w:gridSpan w:val="11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funds raised during the month from exercise of </w:t>
            </w:r>
            <w:r>
              <w:rPr>
                <w:sz w:val="20"/>
                <w:szCs w:val="20"/>
                <w:rFonts w:ascii="Arial" w:hAnsi="Arial" w:cs="Arial"/>
              </w:rPr>
              <w:t xml:space="preserve">options (State currency)</w:t>
            </w:r>
          </w:p>
        </w:tc>
        <w:tc>
          <w:tcPr>
            <w:tcW w:type="dxa" w:w="2520"/>
            <w:vAlign w:val="center"/>
            <w:gridSpan w:val="7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/>
              </w:rPr>
              <w:t>NIL</w:t>
            </w:r>
          </w:p>
        </w:tc>
        <w:tc>
          <w:tcPr>
            <w:tcW w:type="dxa" w:w="3270"/>
            <w:vAlign w:val="bottom"/>
            <w:gridSpan w:val="5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53"/>
          <w:cantSplit/>
        </w:trPr>
        <w:tc>
          <w:tcPr>
            <w:tcW w:type="dxa" w:w="1961"/>
            <w:vAlign w:val="center"/>
            <w:gridSpan w:val="3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4230"/>
            <w:vAlign w:val="center"/>
            <w:gridSpan w:val="12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710"/>
            <w:vAlign w:val="center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center"/>
            <w:gridSpan w:val="4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</w:tbl>
    <w:p>
      <w:pPr>
        <w:rPr>
          <w:sz w:val="20"/>
          <w:szCs w:val="20"/>
          <w:rFonts w:ascii="Arial" w:hAnsi="Arial" w:cs="Arial"/>
        </w:rPr>
      </w:pPr>
      <w:r>
        <w:br w:type="page"/>
      </w:r>
      <w:r>
        <w:rPr>
          <w:sz w:val="20"/>
          <w:szCs w:val="20"/>
          <w:rFonts w:ascii="Arial" w:hAnsi="Arial" w:cs="Arial"/>
        </w:rPr>
        <w:t xml:space="preserve">Warrants to Issue Shares of the Issuer which are to be Listed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top w:w="0" w:type="dxa"/>
          <w:right w:w="28" w:type="dxa"/>
          <w:bottom w:w="0" w:type="dxa"/>
        </w:tblCellMar>
        <w:tblW w:w="10378" w:type="dxa"/>
        <w:tblLook w:val="000000" w:firstRow="0" w:lastRow="0" w:firstColumn="0" w:lastColumn="0" w:noHBand="0" w:noVBand="0"/>
        <w:tblLayout w:type="fixed"/>
      </w:tblPr>
      <w:tblGrid>
        <w:gridCol w:w="118"/>
        <w:gridCol w:w="2250"/>
        <w:gridCol w:w="360"/>
        <w:gridCol w:w="180"/>
        <w:gridCol w:w="180"/>
        <w:gridCol w:w="810"/>
        <w:gridCol w:w="90"/>
        <w:gridCol w:w="180"/>
        <w:gridCol w:w="1080"/>
        <w:gridCol w:w="180"/>
        <w:gridCol w:w="1080"/>
        <w:gridCol w:w="90"/>
        <w:gridCol w:w="90"/>
        <w:gridCol w:w="900"/>
        <w:gridCol w:w="180"/>
        <w:gridCol w:w="180"/>
        <w:gridCol w:w="1170"/>
        <w:gridCol w:w="76"/>
        <w:gridCol w:w="104"/>
        <w:gridCol w:w="1080"/>
      </w:tblGrid>
      <w:tr>
        <w:trPr>
          <w:trHeight w:hRule="atleast" w:val="818"/>
          <w:tblHeader/>
          <w:cantSplit/>
        </w:trPr>
        <w:tc>
          <w:tcPr>
            <w:tcW w:type="dxa" w:w="2908"/>
            <w:vAlign w:val="bottom"/>
            <w:gridSpan w:val="4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Description of warrants</w:t>
            </w:r>
          </w:p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(Date of expiry - dd/mm/yyyy)</w:t>
            </w:r>
          </w:p>
        </w:tc>
        <w:tc>
          <w:tcPr>
            <w:tcW w:type="dxa" w:w="108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Currency </w:t>
            </w:r>
            <w:r>
              <w:rPr>
                <w:sz w:val="20"/>
                <w:szCs w:val="20"/>
                <w:rFonts w:ascii="Arial" w:hAnsi="Arial" w:cs="Arial"/>
              </w:rPr>
              <w:t xml:space="preserve">of nominal </w:t>
            </w:r>
            <w:r>
              <w:rPr>
                <w:sz w:val="20"/>
                <w:szCs w:val="20"/>
                <w:rFonts w:ascii="Arial" w:hAnsi="Arial" w:cs="Arial"/>
              </w:rPr>
              <w:t>value</w:t>
            </w:r>
          </w:p>
        </w:tc>
        <w:tc>
          <w:tcPr>
            <w:tcW w:type="dxa" w:w="144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Nominal value </w:t>
            </w:r>
            <w:r>
              <w:rPr>
                <w:sz w:val="20"/>
                <w:szCs w:val="20"/>
                <w:rFonts w:ascii="Arial" w:hAnsi="Arial" w:cs="Arial"/>
              </w:rPr>
              <w:t xml:space="preserve">at close of </w:t>
            </w:r>
            <w:r>
              <w:rPr>
                <w:sz w:val="20"/>
                <w:szCs w:val="20"/>
                <w:rFonts w:ascii="Arial" w:hAnsi="Arial" w:cs="Arial"/>
              </w:rPr>
              <w:t xml:space="preserve">preceding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17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Exercised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350"/>
            <w:vAlign w:val="bottom"/>
            <w:gridSpan w:val="4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Nominal value </w:t>
            </w:r>
            <w:r>
              <w:rPr>
                <w:sz w:val="20"/>
                <w:szCs w:val="20"/>
                <w:rFonts w:ascii="Arial" w:hAnsi="Arial" w:cs="Arial"/>
              </w:rPr>
              <w:t xml:space="preserve">at close of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170"/>
            <w:vAlign w:val="top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</w:t>
            </w:r>
            <w:r>
              <w:rPr>
                <w:sz w:val="20"/>
                <w:szCs w:val="20"/>
                <w:rFonts w:ascii="Arial" w:hAnsi="Arial" w:cs="Arial"/>
              </w:rPr>
              <w:t xml:space="preserve">month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>thereto</w:t>
            </w:r>
          </w:p>
        </w:tc>
        <w:tc>
          <w:tcPr>
            <w:tcW w:type="dxa" w:w="126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which </w:t>
            </w:r>
            <w:r>
              <w:rPr>
                <w:sz w:val="20"/>
                <w:szCs w:val="20"/>
                <w:rFonts w:ascii="Arial" w:hAnsi="Arial" w:cs="Arial"/>
              </w:rPr>
              <w:t xml:space="preserve">may be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 xml:space="preserve">thereto as at </w:t>
            </w:r>
            <w:r>
              <w:rPr>
                <w:sz w:val="20"/>
                <w:szCs w:val="20"/>
                <w:rFonts w:ascii="Arial" w:hAnsi="Arial" w:cs="Arial"/>
              </w:rPr>
              <w:t xml:space="preserve">close of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numPr>
                <w:ilvl w:val="0"/>
                <w:numId w:val="2"/>
              </w:numPr>
              <w:ind w:left="242" w:hanging="242"/>
              <w:tabs>
                <w:tab w:val="left" w:pos="242"/>
                <w:tab w:val="clear" w:pos="360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ind w:left="152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  /     /            )</w:t>
            </w:r>
          </w:p>
        </w:tc>
        <w:tc>
          <w:tcPr>
            <w:tcW w:type="dxa" w:w="360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340"/>
            <w:vAlign w:val="bottom"/>
            <w:gridSpan w:val="5"/>
            <w:tcBorders>
              <w:bottom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3"/>
            <w:vMerge w:val="restart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260"/>
            <w:vAlign w:val="top"/>
            <w:gridSpan w:val="3"/>
            <w:vMerge w:val="restart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3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260"/>
            <w:vAlign w:val="top"/>
            <w:gridSpan w:val="3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3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260"/>
            <w:vAlign w:val="top"/>
            <w:gridSpan w:val="3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3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260"/>
            <w:vAlign w:val="top"/>
            <w:gridSpan w:val="3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30"/>
            <w:vAlign w:val="bottom"/>
            <w:gridSpan w:val="3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260"/>
            <w:vAlign w:val="top"/>
            <w:gridSpan w:val="3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2.N/A</w:t>
            </w: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ind w:left="152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  /     /            )</w:t>
            </w:r>
          </w:p>
        </w:tc>
        <w:tc>
          <w:tcPr>
            <w:tcW w:type="dxa" w:w="360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340"/>
            <w:vAlign w:val="bottom"/>
            <w:gridSpan w:val="5"/>
            <w:tcBorders>
              <w:bottom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 w:val="restart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3.N/A</w:t>
            </w: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ind w:left="152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  /     /            )</w:t>
            </w:r>
          </w:p>
        </w:tc>
        <w:tc>
          <w:tcPr>
            <w:tcW w:type="dxa" w:w="360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340"/>
            <w:vAlign w:val="bottom"/>
            <w:gridSpan w:val="5"/>
            <w:tcBorders>
              <w:bottom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 w:val="restart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4.N/A</w:t>
            </w: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6"/>
            <w:vAlign w:val="bottom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4"/>
            <w:vAlign w:val="top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ind w:left="152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  /     /            )</w:t>
            </w:r>
          </w:p>
        </w:tc>
        <w:tc>
          <w:tcPr>
            <w:tcW w:type="dxa" w:w="360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b w:val="1"/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340"/>
            <w:vAlign w:val="bottom"/>
            <w:gridSpan w:val="5"/>
            <w:tcBorders>
              <w:bottom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 w:val="restart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26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vMerge/>
            <w:tcBorders>
              <w:bottom w:val="nil" w:color="auto"/>
              <w:top w:val="nil" w:color="auto"/>
            </w:tcBorders>
          </w:tcPr>
          <w:p/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22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B.      </w:t>
            </w:r>
            <w:r>
              <w:rPr>
                <w:sz w:val="22"/>
                <w:szCs w:val="22"/>
                <w:rFonts w:ascii="Arial" w:hAnsi="Arial" w:cs="Arial"/>
              </w:rPr>
              <w:t xml:space="preserve">(Ordinary shares)</w:t>
            </w:r>
          </w:p>
        </w:tc>
        <w:tc>
          <w:tcPr>
            <w:tcW w:type="dxa" w:w="153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NIL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(Preference shares)</w:t>
            </w:r>
          </w:p>
        </w:tc>
        <w:tc>
          <w:tcPr>
            <w:tcW w:type="dxa" w:w="153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2"/>
                <w:szCs w:val="22"/>
                <w:rFonts w:ascii="Arial" w:hAnsi="Arial" w:cs="Arial"/>
              </w:rPr>
              <w:t xml:space="preserve">(Other class</w:t>
            </w:r>
            <w:r>
              <w:rPr>
                <w:sz w:val="20"/>
                <w:szCs w:val="20"/>
                <w:rFonts w:ascii="Arial" w:hAnsi="Arial" w:cs="Arial"/>
              </w:rPr>
              <w:t>)</w:t>
            </w:r>
          </w:p>
        </w:tc>
        <w:tc>
          <w:tcPr>
            <w:tcW w:type="dxa" w:w="1530"/>
            <w:vAlign w:val="bottom"/>
            <w:gridSpan w:val="3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</w:tbl>
    <w:p>
      <w:pPr>
        <w:rPr>
          <w:sz w:val="20"/>
          <w:szCs w:val="20"/>
          <w:rFonts w:ascii="Arial" w:hAnsi="Arial" w:cs="Arial"/>
        </w:rPr>
      </w:pPr>
      <w:r>
        <w:br w:type="page"/>
      </w:r>
      <w:r>
        <w:rPr>
          <w:sz w:val="20"/>
          <w:szCs w:val="20"/>
          <w:rFonts w:ascii="Arial" w:hAnsi="Arial" w:cs="Arial"/>
        </w:rPr>
        <w:t xml:space="preserve">Convertibles (i.e. Convertible into Shares of the Issuer which are to be Listed)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top w:w="0" w:type="dxa"/>
          <w:right w:w="28" w:type="dxa"/>
          <w:bottom w:w="0" w:type="dxa"/>
        </w:tblCellMar>
        <w:tblW w:w="10378" w:type="dxa"/>
        <w:tblLook w:val="000000" w:firstRow="0" w:lastRow="0" w:firstColumn="0" w:lastColumn="0" w:noHBand="0" w:noVBand="0"/>
        <w:tblLayout w:type="fixed"/>
      </w:tblPr>
      <w:tblGrid>
        <w:gridCol w:w="118"/>
        <w:gridCol w:w="2250"/>
        <w:gridCol w:w="360"/>
        <w:gridCol w:w="90"/>
        <w:gridCol w:w="90"/>
        <w:gridCol w:w="900"/>
        <w:gridCol w:w="180"/>
        <w:gridCol w:w="450"/>
        <w:gridCol w:w="900"/>
        <w:gridCol w:w="90"/>
        <w:gridCol w:w="1170"/>
        <w:gridCol w:w="90"/>
        <w:gridCol w:w="900"/>
        <w:gridCol w:w="270"/>
        <w:gridCol w:w="90"/>
        <w:gridCol w:w="1080"/>
        <w:gridCol w:w="90"/>
        <w:gridCol w:w="180"/>
        <w:gridCol w:w="18"/>
        <w:gridCol w:w="1062"/>
      </w:tblGrid>
      <w:tr>
        <w:trPr>
          <w:trHeight w:hRule="atleast" w:val="692"/>
          <w:tblHeader/>
          <w:cantSplit/>
        </w:trPr>
        <w:tc>
          <w:tcPr>
            <w:tcW w:type="dxa" w:w="2818"/>
            <w:vAlign w:val="bottom"/>
            <w:gridSpan w:val="4"/>
            <w:tcBorders>
              <w:bottom w:val="single" w:color="auto" w:sz="4"/>
              <w:top w:val="single" w:color="auto" w:sz="4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and description</w:t>
            </w:r>
          </w:p>
        </w:tc>
        <w:tc>
          <w:tcPr>
            <w:tcW w:type="dxa" w:w="117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Currency of </w:t>
            </w:r>
            <w:r>
              <w:rPr>
                <w:sz w:val="20"/>
                <w:szCs w:val="20"/>
                <w:rFonts w:ascii="Arial" w:hAnsi="Arial" w:cs="Arial"/>
              </w:rPr>
              <w:t xml:space="preserve">amount </w:t>
            </w:r>
            <w:r>
              <w:rPr>
                <w:sz w:val="20"/>
                <w:szCs w:val="20"/>
                <w:rFonts w:ascii="Arial" w:hAnsi="Arial" w:cs="Arial"/>
              </w:rPr>
              <w:t>outstanding</w:t>
            </w:r>
          </w:p>
        </w:tc>
        <w:tc>
          <w:tcPr>
            <w:tcW w:type="dxa" w:w="144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Amount at </w:t>
            </w:r>
            <w:r>
              <w:rPr>
                <w:sz w:val="20"/>
                <w:szCs w:val="20"/>
                <w:rFonts w:ascii="Arial" w:hAnsi="Arial" w:cs="Arial"/>
              </w:rPr>
              <w:t xml:space="preserve">close of </w:t>
            </w:r>
            <w:r>
              <w:rPr>
                <w:sz w:val="20"/>
                <w:szCs w:val="20"/>
                <w:rFonts w:ascii="Arial" w:hAnsi="Arial" w:cs="Arial"/>
              </w:rPr>
              <w:t xml:space="preserve">preceding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26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Converted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26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Amount at </w:t>
            </w:r>
            <w:r>
              <w:rPr>
                <w:sz w:val="20"/>
                <w:szCs w:val="20"/>
                <w:rFonts w:ascii="Arial" w:hAnsi="Arial" w:cs="Arial"/>
              </w:rPr>
              <w:t xml:space="preserve">close of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  <w:tc>
          <w:tcPr>
            <w:tcW w:type="dxa" w:w="1170"/>
            <w:vAlign w:val="top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</w:t>
            </w:r>
            <w:r>
              <w:rPr>
                <w:sz w:val="20"/>
                <w:szCs w:val="20"/>
                <w:rFonts w:ascii="Arial" w:hAnsi="Arial" w:cs="Arial"/>
              </w:rPr>
              <w:t xml:space="preserve">month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>thereto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26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which </w:t>
            </w:r>
            <w:r>
              <w:rPr>
                <w:sz w:val="20"/>
                <w:szCs w:val="20"/>
                <w:rFonts w:ascii="Arial" w:hAnsi="Arial" w:cs="Arial"/>
              </w:rPr>
              <w:t xml:space="preserve">may be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 xml:space="preserve">thereto as at </w:t>
            </w:r>
            <w:r>
              <w:rPr>
                <w:sz w:val="20"/>
                <w:szCs w:val="20"/>
                <w:rFonts w:ascii="Arial" w:hAnsi="Arial" w:cs="Arial"/>
              </w:rPr>
              <w:t xml:space="preserve">close of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numPr>
                <w:ilvl w:val="0"/>
                <w:numId w:val="3"/>
              </w:numPr>
              <w:ind w:left="242" w:hanging="242"/>
              <w:tabs>
                <w:tab w:val="left" w:pos="242"/>
                <w:tab w:val="clear" w:pos="360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8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150"/>
            <w:vAlign w:val="bottom"/>
            <w:gridSpan w:val="5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7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numPr>
                <w:ilvl w:val="0"/>
                <w:numId w:val="3"/>
              </w:numPr>
              <w:ind w:left="242" w:hanging="242"/>
              <w:tabs>
                <w:tab w:val="left" w:pos="242"/>
                <w:tab w:val="clear" w:pos="360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8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150"/>
            <w:vAlign w:val="bottom"/>
            <w:gridSpan w:val="5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7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numPr>
                <w:ilvl w:val="0"/>
                <w:numId w:val="3"/>
              </w:numPr>
              <w:ind w:left="242" w:hanging="242"/>
              <w:tabs>
                <w:tab w:val="left" w:pos="242"/>
                <w:tab w:val="clear" w:pos="360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8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150"/>
            <w:vAlign w:val="bottom"/>
            <w:gridSpan w:val="5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7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numPr>
                <w:ilvl w:val="0"/>
                <w:numId w:val="3"/>
              </w:numPr>
              <w:ind w:left="242" w:hanging="242"/>
              <w:tabs>
                <w:tab w:val="left" w:pos="242"/>
                <w:tab w:val="clear" w:pos="360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60"/>
          <w:cantSplit/>
        </w:trPr>
        <w:tc>
          <w:tcPr>
            <w:tcW w:type="dxa" w:w="118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61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gridSpan w:val="2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35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90"/>
            <w:vAlign w:val="bottom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8"/>
            <w:vAlign w:val="top"/>
            <w:gridSpan w:val="2"/>
            <w:tcBorders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62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8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Stock code (if listed)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150"/>
            <w:vAlign w:val="bottom"/>
            <w:gridSpan w:val="5"/>
            <w:tcBorders>
              <w:bottom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90"/>
            <w:vAlign w:val="bottom"/>
            <w:gridSpan w:val="7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Subscription price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(if applicable)</w:t>
            </w:r>
          </w:p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2070"/>
            <w:vAlign w:val="bottom"/>
            <w:gridSpan w:val="6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5940"/>
            <w:vAlign w:val="bottom"/>
            <w:gridSpan w:val="12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220"/>
            <w:vAlign w:val="bottom"/>
            <w:gridSpan w:val="11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C.  (Ordinary shares)</w:t>
            </w:r>
          </w:p>
        </w:tc>
        <w:tc>
          <w:tcPr>
            <w:tcW w:type="dxa" w:w="153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NIL</w:t>
            </w: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(Preference shares)</w:t>
            </w:r>
          </w:p>
        </w:tc>
        <w:tc>
          <w:tcPr>
            <w:tcW w:type="dxa" w:w="153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8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6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(Other class)</w:t>
            </w:r>
          </w:p>
        </w:tc>
        <w:tc>
          <w:tcPr>
            <w:tcW w:type="dxa" w:w="153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80"/>
            <w:vAlign w:val="bottom"/>
            <w:gridSpan w:val="2"/>
            <w:tcBorders>
              <w:bottom w:val="nil" w:color="auto"/>
              <w:right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215"/>
          <w:cantSplit/>
        </w:trPr>
        <w:tc>
          <w:tcPr>
            <w:tcW w:type="dxa" w:w="2368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440"/>
            <w:vAlign w:val="bottom"/>
            <w:gridSpan w:val="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570"/>
            <w:vAlign w:val="bottom"/>
            <w:gridSpan w:val="14"/>
            <w:tcBorders>
              <w:bottom w:val="single" w:color="auto" w:sz="4"/>
              <w:top w:val="nil" w:color="auto"/>
            </w:tcBorders>
          </w:tcPr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</w:tr>
    </w:tbl>
    <w:p>
      <w:pPr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sz w:val="20"/>
          <w:szCs w:val="20"/>
          <w:rFonts w:ascii="Arial" w:hAnsi="Arial" w:cs="Arial" w:hint="eastAsia"/>
        </w:rPr>
      </w:pPr>
    </w:p>
    <w:p>
      <w:pPr>
        <w:spacing w:lineRule="auto" w:line="216"/>
        <w:rPr>
          <w:sz w:val="20"/>
          <w:szCs w:val="20"/>
          <w:rFonts w:ascii="Arial" w:hAnsi="Arial" w:cs="Arial"/>
        </w:rPr>
      </w:pPr>
    </w:p>
    <w:p>
      <w:pPr>
        <w:spacing w:lineRule="auto" w:line="216"/>
        <w:rPr>
          <w:rFonts w:ascii="Arial" w:hAnsi="Arial" w:cs="Arial"/>
        </w:rPr>
      </w:pPr>
      <w:r>
        <w:rPr>
          <w:sz w:val="20"/>
          <w:szCs w:val="20"/>
          <w:rFonts w:ascii="Arial" w:hAnsi="Arial" w:cs="Arial"/>
        </w:rPr>
        <w:t xml:space="preserve">Any other Agreements or Arrangements to Issue Shares of the Issuer which are to be Listed, including </w:t>
      </w:r>
      <w:r>
        <w:rPr>
          <w:sz w:val="20"/>
          <w:szCs w:val="20"/>
          <w:rFonts w:ascii="Arial" w:hAnsi="Arial" w:cs="Arial"/>
        </w:rPr>
        <w:t xml:space="preserve">Options (other than under Share Option Schemes) 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0080" w:type="dxa"/>
        <w:tblInd w:w="108" w:type="dxa"/>
        <w:tblLook w:val="0001E0" w:firstRow="1" w:lastRow="1" w:firstColumn="1" w:lastColumn="1" w:noHBand="0" w:noVBand="0"/>
        <w:tblLayout w:type="fixed"/>
      </w:tblPr>
      <w:tblGrid>
        <w:gridCol w:w="383"/>
        <w:gridCol w:w="5628"/>
        <w:gridCol w:w="1919"/>
        <w:gridCol w:w="240"/>
        <w:gridCol w:w="1910"/>
      </w:tblGrid>
      <w:tr>
        <w:trPr/>
        <w:tc>
          <w:tcPr>
            <w:tcW w:type="dxa" w:w="6011"/>
            <w:tcMar>
              <w:left w:w="108" w:type="dxa"/>
              <w:right w:w="108" w:type="dxa"/>
            </w:tcMar>
            <w:vAlign w:val="bottom"/>
            <w:gridSpan w:val="2"/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Full particulars including EGM approval date (dd/mm/yyyy),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if applicable, and class of shares issuable: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right w:val="nil" w:color="auto"/>
            </w:tcBorders>
            <w:shd w:val="clear" w:color="000000"/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of issuer 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month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thereto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50"/>
            <w:tcMar>
              <w:left w:w="108" w:type="dxa"/>
              <w:right w:w="108" w:type="dxa"/>
            </w:tcMar>
            <w:vAlign w:val="top"/>
            <w:gridSpan w:val="2"/>
            <w:tcBorders>
              <w:bottom w:val="single" w:color="auto" w:sz="4"/>
              <w:left w:val="nil" w:color="auto"/>
            </w:tcBorders>
            <w:shd w:val="clear" w:color="000000"/>
          </w:tcPr>
          <w:p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which may be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pursuant </w:t>
            </w:r>
            <w:r>
              <w:rPr>
                <w:sz w:val="20"/>
                <w:szCs w:val="20"/>
                <w:rFonts w:ascii="Arial" w:hAnsi="Arial" w:cs="Arial"/>
              </w:rPr>
              <w:t xml:space="preserve">thereto as at close of </w:t>
            </w:r>
            <w:r>
              <w:rPr>
                <w:sz w:val="20"/>
                <w:szCs w:val="20"/>
                <w:rFonts w:ascii="Arial" w:hAnsi="Arial" w:cs="Arial"/>
              </w:rPr>
              <w:t xml:space="preserve">the month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1.</w:t>
            </w: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shares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bottom"/>
            <w:tcBorders>
              <w:bottom w:val="nil" w:color="auto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2.</w:t>
            </w: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shares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3.</w:t>
            </w: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 /    /        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shares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nil" w:color="auto"/>
              <w:right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D.     (Ordinary shares)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tabs>
                <w:tab w:val="right" w:pos="1704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N/A</w:t>
            </w:r>
            <w:r>
              <w:rPr>
                <w:sz w:val="20"/>
                <w:szCs w:val="20"/>
                <w:rFonts w:ascii="Arial" w:hAnsi="Arial" w:cs="Arial"/>
              </w:rPr>
              <w:tab/>
            </w: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(Preference shares)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single" w:color="auto" w:sz="4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tabs>
                <w:tab w:val="right" w:pos="1704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N/A</w:t>
            </w:r>
            <w:r>
              <w:rPr>
                <w:sz w:val="20"/>
                <w:szCs w:val="20"/>
                <w:rFonts w:ascii="Arial" w:hAnsi="Arial" w:cs="Arial"/>
              </w:rPr>
              <w:tab/>
            </w: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9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</w:tcBorders>
            <w:shd w:val="clear" w:color="000000"/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(Other class)</w:t>
            </w: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single" w:color="auto" w:sz="4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tabs>
                <w:tab w:val="right" w:pos="1704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N/A</w:t>
            </w:r>
            <w:r>
              <w:rPr>
                <w:sz w:val="20"/>
                <w:szCs w:val="20"/>
                <w:rFonts w:ascii="Arial" w:hAnsi="Arial" w:cs="Arial"/>
              </w:rPr>
              <w:tab/>
            </w:r>
          </w:p>
        </w:tc>
        <w:tc>
          <w:tcPr>
            <w:tcW w:type="dxa" w:w="24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0"/>
            <w:tcMar>
              <w:left w:w="108" w:type="dxa"/>
              <w:right w:w="108" w:type="dxa"/>
            </w:tcMar>
            <w:vAlign w:val="top"/>
            <w:tcBorders>
              <w:bottom w:val="nil" w:color="auto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8"/>
        </w:trPr>
        <w:tc>
          <w:tcPr>
            <w:tcW w:type="dxa" w:w="383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left w:val="single" w:color="auto" w:sz="4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628"/>
            <w:tcMar>
              <w:left w:w="108" w:type="dxa"/>
              <w:right w:w="108" w:type="dxa"/>
            </w:tcMar>
            <w:vAlign w:val="top"/>
            <w:tcBorders>
              <w:lef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919"/>
            <w:tcMar>
              <w:left w:w="108" w:type="dxa"/>
              <w:right w:w="108" w:type="dxa"/>
            </w:tcMar>
            <w:vAlign w:val="top"/>
            <w:tcBorders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150"/>
            <w:tcMar>
              <w:left w:w="108" w:type="dxa"/>
              <w:right w:w="108" w:type="dxa"/>
            </w:tcMar>
            <w:vAlign w:val="top"/>
            <w:gridSpan w:val="2"/>
            <w:tcBorders>
              <w:lef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</w:tbl>
    <w:p>
      <w:pPr>
        <w:spacing w:lineRule="auto" w:line="216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 w:cs="Arial"/>
        </w:rPr>
        <w:t xml:space="preserve"> </w:t>
      </w:r>
    </w:p>
    <w:p>
      <w:pPr>
        <w:spacing w:lineRule="auto" w:line="216"/>
        <w:rPr>
          <w:sz w:val="20"/>
          <w:szCs w:val="20"/>
          <w:rFonts w:ascii="Arial" w:hAnsi="Arial" w:cs="Arial"/>
        </w:rPr>
      </w:pPr>
      <w:r>
        <w:br w:type="page"/>
      </w:r>
    </w:p>
    <w:p>
      <w:pPr>
        <w:spacing w:lineRule="auto" w:line="216"/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 w:cs="Arial"/>
        </w:rPr>
        <w:t xml:space="preserve">Other Movements in Issued Share Capital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top w:w="0" w:type="dxa"/>
          <w:right w:w="28" w:type="dxa"/>
          <w:bottom w:w="0" w:type="dxa"/>
        </w:tblCellMar>
        <w:tblW w:w="10108" w:type="dxa"/>
        <w:tblInd w:w="-256" w:type="dxa"/>
        <w:tblLook w:val="000000" w:firstRow="0" w:lastRow="0" w:firstColumn="0" w:lastColumn="0" w:noHBand="0" w:noVBand="0"/>
        <w:tblLayout w:type="fixed"/>
      </w:tblPr>
      <w:tblGrid>
        <w:gridCol w:w="298"/>
        <w:gridCol w:w="1573"/>
        <w:gridCol w:w="497"/>
        <w:gridCol w:w="540"/>
        <w:gridCol w:w="840"/>
        <w:gridCol w:w="600"/>
        <w:gridCol w:w="240"/>
        <w:gridCol w:w="840"/>
        <w:gridCol w:w="1200"/>
        <w:gridCol w:w="1140"/>
        <w:gridCol w:w="180"/>
        <w:gridCol w:w="180"/>
        <w:gridCol w:w="810"/>
        <w:gridCol w:w="360"/>
        <w:gridCol w:w="36"/>
        <w:gridCol w:w="774"/>
      </w:tblGrid>
      <w:tr>
        <w:trPr>
          <w:trHeight w:hRule="atleast" w:val="1914"/>
          <w:tblHeader/>
          <w:cantSplit/>
        </w:trPr>
        <w:tc>
          <w:tcPr>
            <w:tcW w:type="dxa" w:w="298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573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Type of Issue</w:t>
            </w:r>
          </w:p>
        </w:tc>
        <w:tc>
          <w:tcPr>
            <w:tcW w:type="dxa" w:w="1037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180"/>
            <w:vAlign w:val="bottom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70"/>
            <w:vAlign w:val="top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during the </w:t>
            </w:r>
            <w:r>
              <w:rPr>
                <w:sz w:val="20"/>
                <w:szCs w:val="20"/>
                <w:rFonts w:ascii="Arial" w:hAnsi="Arial" w:cs="Arial"/>
              </w:rPr>
              <w:t xml:space="preserve">month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>thereto</w:t>
            </w:r>
          </w:p>
        </w:tc>
        <w:tc>
          <w:tcPr>
            <w:tcW w:type="dxa" w:w="1170"/>
            <w:vAlign w:val="top"/>
            <w:gridSpan w:val="3"/>
            <w:tcBorders>
              <w:bottom w:val="single" w:color="auto" w:sz="4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No. of new </w:t>
            </w:r>
            <w:r>
              <w:rPr>
                <w:sz w:val="20"/>
                <w:szCs w:val="20"/>
                <w:rFonts w:ascii="Arial" w:hAnsi="Arial" w:cs="Arial"/>
              </w:rPr>
              <w:t xml:space="preserve">shares of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issuer which </w:t>
            </w:r>
            <w:r>
              <w:rPr>
                <w:sz w:val="20"/>
                <w:szCs w:val="20"/>
                <w:rFonts w:ascii="Arial" w:hAnsi="Arial" w:cs="Arial"/>
              </w:rPr>
              <w:t xml:space="preserve">may be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</w:t>
            </w:r>
            <w:r>
              <w:rPr>
                <w:sz w:val="20"/>
                <w:szCs w:val="20"/>
                <w:rFonts w:ascii="Arial" w:hAnsi="Arial" w:cs="Arial"/>
              </w:rPr>
              <w:t xml:space="preserve">pursuant </w:t>
            </w:r>
            <w:r>
              <w:rPr>
                <w:sz w:val="20"/>
                <w:szCs w:val="20"/>
                <w:rFonts w:ascii="Arial" w:hAnsi="Arial" w:cs="Arial"/>
              </w:rPr>
              <w:t xml:space="preserve">thereto as at </w:t>
            </w:r>
            <w:r>
              <w:rPr>
                <w:sz w:val="20"/>
                <w:szCs w:val="20"/>
                <w:rFonts w:ascii="Arial" w:hAnsi="Arial" w:cs="Arial"/>
              </w:rPr>
              <w:t xml:space="preserve">close of the </w:t>
            </w:r>
            <w:r>
              <w:rPr>
                <w:sz w:val="20"/>
                <w:szCs w:val="20"/>
                <w:rFonts w:ascii="Arial" w:hAnsi="Arial" w:cs="Arial"/>
              </w:rPr>
              <w:t>month</w:t>
            </w:r>
          </w:p>
        </w:tc>
      </w:tr>
      <w:tr>
        <w:trPr>
          <w:trHeight w:hRule="atleast" w:val="1111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nil" w:color="auto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Rights issue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bottom"/>
            <w:gridSpan w:val="2"/>
            <w:vMerge w:val="restart"/>
            <w:tcBorders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1111"/>
          <w:cantSplit/>
        </w:trPr>
        <w:tc>
          <w:tcPr>
            <w:tcW w:type="dxa" w:w="1871"/>
            <w:vAlign w:val="center"/>
            <w:gridSpan w:val="2"/>
            <w:vMerge/>
            <w:tcBorders>
              <w:top w:val="nil" w:color="auto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top w:val="nil" w:color="auto"/>
            </w:tcBorders>
          </w:tcPr>
          <w:p/>
        </w:tc>
        <w:tc>
          <w:tcPr>
            <w:tcW w:type="dxa" w:w="840"/>
            <w:vAlign w:val="center"/>
            <w:vMerge/>
            <w:tcBorders>
              <w:top w:val="nil" w:color="auto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top w:val="nil" w:color="auto"/>
            </w:tcBorders>
          </w:tcPr>
          <w:p/>
        </w:tc>
        <w:tc>
          <w:tcPr>
            <w:tcW w:type="dxa" w:w="2040"/>
            <w:vAlign w:val="bottom"/>
            <w:gridSpan w:val="2"/>
            <w:vMerge/>
            <w:tcBorders>
              <w:top w:val="nil" w:color="auto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80"/>
            <w:vAlign w:val="top"/>
            <w:vMerge/>
            <w:tcBorders>
              <w:top w:val="nil" w:color="auto"/>
            </w:tcBorders>
          </w:tcPr>
          <w:p/>
        </w:tc>
        <w:tc>
          <w:tcPr>
            <w:tcW w:type="dxa" w:w="180"/>
            <w:vAlign w:val="bottom"/>
            <w:vMerge/>
            <w:tcBorders>
              <w:top w:val="nil" w:color="auto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nil" w:color="auto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top w:val="nil" w:color="auto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nil" w:color="auto"/>
            </w:tcBorders>
            <w:shd w:val="clear" w:color="000000"/>
          </w:tcPr>
          <w:p/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02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Open offer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1102"/>
          <w:cantSplit/>
        </w:trPr>
        <w:tc>
          <w:tcPr>
            <w:tcW w:type="dxa" w:w="1871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840"/>
            <w:vAlign w:val="center"/>
            <w:vMerge/>
            <w:tcBorders>
              <w:top w:val="single" w:color="auto" w:sz="4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top"/>
            <w:vMerge/>
            <w:tcBorders>
              <w:top w:val="single" w:color="auto" w:sz="4"/>
            </w:tcBorders>
          </w:tcPr>
          <w:p/>
        </w:tc>
        <w:tc>
          <w:tcPr>
            <w:tcW w:type="dxa" w:w="18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top w:val="single" w:color="auto" w:sz="4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single" w:color="auto" w:sz="4"/>
            </w:tcBorders>
            <w:shd w:val="clear" w:color="000000"/>
          </w:tcPr>
          <w:p/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084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Placing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1084"/>
          <w:cantSplit/>
        </w:trPr>
        <w:tc>
          <w:tcPr>
            <w:tcW w:type="dxa" w:w="1871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840"/>
            <w:vAlign w:val="center"/>
            <w:vMerge/>
            <w:tcBorders>
              <w:top w:val="single" w:color="auto" w:sz="4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top"/>
            <w:vMerge/>
            <w:tcBorders>
              <w:top w:val="single" w:color="auto" w:sz="4"/>
            </w:tcBorders>
          </w:tcPr>
          <w:p/>
        </w:tc>
        <w:tc>
          <w:tcPr>
            <w:tcW w:type="dxa" w:w="18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top w:val="single" w:color="auto" w:sz="4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single" w:color="auto" w:sz="4"/>
            </w:tcBorders>
            <w:shd w:val="clear" w:color="000000"/>
          </w:tcPr>
          <w:p/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952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Bonus issue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952"/>
          <w:cantSplit/>
        </w:trPr>
        <w:tc>
          <w:tcPr>
            <w:tcW w:type="dxa" w:w="1871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840"/>
            <w:vAlign w:val="center"/>
            <w:vMerge/>
            <w:tcBorders>
              <w:top w:val="single" w:color="auto" w:sz="4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top"/>
            <w:vMerge/>
            <w:tcBorders>
              <w:top w:val="single" w:color="auto" w:sz="4"/>
            </w:tcBorders>
          </w:tcPr>
          <w:p/>
        </w:tc>
        <w:tc>
          <w:tcPr>
            <w:tcW w:type="dxa" w:w="18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top w:val="single" w:color="auto" w:sz="4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single" w:color="auto" w:sz="4"/>
            </w:tcBorders>
            <w:shd w:val="clear" w:color="000000"/>
          </w:tcPr>
          <w:p/>
        </w:tc>
      </w:tr>
      <w:tr>
        <w:trPr>
          <w:trHeight w:hRule="atleast" w:val="979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nil" w:color="auto"/>
              <w:left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 w:hint="eastAsia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nil" w:color="auto"/>
              <w:right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nil" w:color="auto"/>
              <w:left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nil" w:color="auto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nil" w:color="auto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nil" w:color="auto"/>
              <w:top w:val="nil" w:color="auto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nil" w:color="auto"/>
              <w:right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476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nil" w:color="auto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Scrip dividend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bottom w:val="nil" w:color="auto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bottom w:val="nil" w:color="auto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476"/>
          <w:cantSplit/>
        </w:trPr>
        <w:tc>
          <w:tcPr>
            <w:tcW w:type="dxa" w:w="1871"/>
            <w:vAlign w:val="center"/>
            <w:gridSpan w:val="2"/>
            <w:vMerge/>
            <w:tcBorders>
              <w:top w:val="nil" w:color="auto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840"/>
            <w:vAlign w:val="center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80"/>
            <w:vAlign w:val="top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80"/>
            <w:vAlign w:val="bottom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nil" w:color="auto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bottom w:val="nil" w:color="auto"/>
              <w:top w:val="nil" w:color="auto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nil" w:color="auto"/>
            </w:tcBorders>
            <w:shd w:val="clear" w:color="000000"/>
          </w:tcPr>
          <w:p/>
        </w:tc>
      </w:tr>
      <w:tr>
        <w:trPr>
          <w:trHeight w:hRule="atleast" w:val="476"/>
          <w:cantSplit/>
        </w:trPr>
        <w:tc>
          <w:tcPr>
            <w:tcW w:type="dxa" w:w="1871"/>
            <w:vAlign w:val="center"/>
            <w:gridSpan w:val="2"/>
            <w:vMerge/>
            <w:tcBorders>
              <w:top w:val="nil" w:color="auto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840"/>
            <w:vAlign w:val="center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80"/>
            <w:vAlign w:val="top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180"/>
            <w:vAlign w:val="bottom"/>
            <w:vMerge/>
            <w:tcBorders>
              <w:bottom w:val="nil" w:color="auto"/>
              <w:top w:val="nil" w:color="auto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nil" w:color="auto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bottom w:val="nil" w:color="auto"/>
              <w:top w:val="nil" w:color="auto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nil" w:color="auto"/>
            </w:tcBorders>
            <w:shd w:val="clear" w:color="000000"/>
          </w:tcPr>
          <w:p/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Repurchase of </w:t>
            </w:r>
            <w:r>
              <w:rPr>
                <w:sz w:val="20"/>
                <w:szCs w:val="20"/>
                <w:rFonts w:ascii="Arial" w:hAnsi="Arial" w:cs="Arial"/>
              </w:rPr>
              <w:t>shares</w:t>
            </w:r>
          </w:p>
        </w:tc>
        <w:tc>
          <w:tcPr>
            <w:tcW w:type="dxa" w:w="1037"/>
            <w:vAlign w:val="center"/>
            <w:gridSpan w:val="2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repurchased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Cancellation date : </w:t>
            </w: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Redemption of </w:t>
            </w:r>
            <w:r>
              <w:rPr>
                <w:sz w:val="20"/>
                <w:szCs w:val="20"/>
                <w:rFonts w:ascii="Arial" w:hAnsi="Arial" w:cs="Arial"/>
              </w:rPr>
              <w:t>shares</w:t>
            </w:r>
          </w:p>
        </w:tc>
        <w:tc>
          <w:tcPr>
            <w:tcW w:type="dxa" w:w="1037"/>
            <w:vAlign w:val="center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>redeemed</w:t>
            </w:r>
            <w:r>
              <w:rPr>
                <w:sz w:val="20"/>
                <w:szCs w:val="20"/>
                <w:rFonts w:ascii="Arial" w:hAnsi="Arial" w:cs="Arial"/>
              </w:rPr>
              <w:t xml:space="preserve">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Redemption date : </w:t>
            </w: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tcBorders>
              <w:bottom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  <w:top w:val="nil" w:color="auto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138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Consideration </w:t>
            </w:r>
            <w:r>
              <w:rPr>
                <w:sz w:val="20"/>
                <w:szCs w:val="20"/>
                <w:rFonts w:ascii="Arial" w:hAnsi="Arial" w:cs="Arial"/>
              </w:rPr>
              <w:t>issue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1138"/>
          <w:cantSplit/>
        </w:trPr>
        <w:tc>
          <w:tcPr>
            <w:tcW w:type="dxa" w:w="1871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840"/>
            <w:vAlign w:val="center"/>
            <w:vMerge/>
            <w:tcBorders>
              <w:top w:val="single" w:color="auto" w:sz="4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top w:val="single" w:color="auto" w:sz="4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top"/>
            <w:vMerge/>
            <w:tcBorders>
              <w:top w:val="single" w:color="auto" w:sz="4"/>
            </w:tcBorders>
          </w:tcPr>
          <w:p/>
        </w:tc>
        <w:tc>
          <w:tcPr>
            <w:tcW w:type="dxa" w:w="180"/>
            <w:vAlign w:val="bottom"/>
            <w:vMerge/>
            <w:tcBorders>
              <w:top w:val="single" w:color="auto" w:sz="4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top w:val="single" w:color="auto" w:sz="4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single" w:color="auto" w:sz="4"/>
            </w:tcBorders>
            <w:shd w:val="clear" w:color="000000"/>
          </w:tcPr>
          <w:p/>
        </w:tc>
      </w:tr>
      <w:tr>
        <w:trPr>
          <w:trHeight w:hRule="atleast" w:val="264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934"/>
          <w:cantSplit/>
        </w:trPr>
        <w:tc>
          <w:tcPr>
            <w:tcW w:type="dxa" w:w="1871"/>
            <w:vAlign w:val="center"/>
            <w:gridSpan w:val="2"/>
            <w:tcBorders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Capital </w:t>
            </w:r>
            <w:r>
              <w:rPr>
                <w:sz w:val="20"/>
                <w:szCs w:val="20"/>
                <w:rFonts w:ascii="Arial" w:hAnsi="Arial" w:cs="Arial"/>
              </w:rPr>
              <w:t>reorganisation</w:t>
            </w:r>
          </w:p>
        </w:tc>
        <w:tc>
          <w:tcPr>
            <w:tcW w:type="dxa" w:w="1037"/>
            <w:vAlign w:val="center"/>
            <w:gridSpan w:val="2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tcBorders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728"/>
          <w:cantSplit/>
        </w:trPr>
        <w:tc>
          <w:tcPr>
            <w:tcW w:type="dxa" w:w="1871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037"/>
            <w:vAlign w:val="center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40"/>
            <w:vAlign w:val="center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60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14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top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96"/>
            <w:vAlign w:val="bottom"/>
            <w:gridSpan w:val="2"/>
            <w:tcBorders>
              <w:bottom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985"/>
          <w:cantSplit/>
        </w:trPr>
        <w:tc>
          <w:tcPr>
            <w:tcW w:type="dxa" w:w="1871"/>
            <w:vAlign w:val="center"/>
            <w:gridSpan w:val="2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numPr>
                <w:ilvl w:val="0"/>
                <w:numId w:val="4"/>
              </w:num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Other</w:t>
            </w:r>
          </w:p>
          <w:p>
            <w:pPr>
              <w:spacing w:lineRule="auto" w:line="216"/>
              <w:ind w:left="360" w:hanging="36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ab/>
            </w:r>
            <w:r>
              <w:rPr>
                <w:sz w:val="20"/>
                <w:szCs w:val="20"/>
                <w:rFonts w:ascii="Arial" w:hAnsi="Arial" w:cs="Arial"/>
              </w:rPr>
              <w:t xml:space="preserve">(Please specify)</w:t>
            </w:r>
          </w:p>
        </w:tc>
        <w:tc>
          <w:tcPr>
            <w:tcW w:type="dxa" w:w="1037"/>
            <w:vAlign w:val="center"/>
            <w:gridSpan w:val="2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At price :</w:t>
            </w:r>
          </w:p>
        </w:tc>
        <w:tc>
          <w:tcPr>
            <w:tcW w:type="dxa" w:w="840"/>
            <w:vAlign w:val="center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State </w:t>
            </w:r>
            <w:r>
              <w:rPr>
                <w:sz w:val="20"/>
                <w:szCs w:val="20"/>
                <w:rFonts w:ascii="Arial" w:hAnsi="Arial" w:cs="Arial"/>
              </w:rPr>
              <w:t>currency</w:t>
            </w:r>
          </w:p>
        </w:tc>
        <w:tc>
          <w:tcPr>
            <w:tcW w:type="dxa" w:w="600"/>
            <w:vAlign w:val="bottom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040"/>
            <w:vAlign w:val="top"/>
            <w:gridSpan w:val="2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Class of shares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issuable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1)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Issue and allotment </w:t>
            </w:r>
            <w:r>
              <w:rPr>
                <w:sz w:val="20"/>
                <w:szCs w:val="20"/>
                <w:rFonts w:ascii="Arial" w:hAnsi="Arial" w:cs="Arial"/>
              </w:rPr>
              <w:t xml:space="preserve">date : (dd/mm/yyyy)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EGM approval date:</w:t>
            </w:r>
          </w:p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(dd/mm/yyyy)</w:t>
            </w:r>
          </w:p>
        </w:tc>
        <w:tc>
          <w:tcPr>
            <w:tcW w:type="dxa" w:w="114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>________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center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   /   /       )</w:t>
            </w:r>
          </w:p>
        </w:tc>
        <w:tc>
          <w:tcPr>
            <w:tcW w:type="dxa" w:w="180"/>
            <w:vAlign w:val="top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180"/>
            <w:vAlign w:val="bottom"/>
            <w:vMerge w:val="restart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vMerge w:val="restart"/>
            <w:tcBorders>
              <w:bottom w:val="single" w:color="auto" w:sz="4"/>
              <w:top w:val="single" w:color="auto" w:sz="4"/>
            </w:tcBorders>
          </w:tcPr>
          <w:p>
            <w:pPr>
              <w:jc w:val="both"/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96"/>
            <w:vAlign w:val="bottom"/>
            <w:gridSpan w:val="2"/>
            <w:vMerge w:val="restart"/>
            <w:tcBorders>
              <w:bottom w:val="nil" w:color="auto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774"/>
            <w:vAlign w:val="bottom"/>
            <w:vMerge w:val="restart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985"/>
          <w:cantSplit/>
        </w:trPr>
        <w:tc>
          <w:tcPr>
            <w:tcW w:type="dxa" w:w="1871"/>
            <w:vAlign w:val="center"/>
            <w:gridSpan w:val="2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037"/>
            <w:vAlign w:val="center"/>
            <w:gridSpan w:val="2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840"/>
            <w:vAlign w:val="center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60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40"/>
            <w:vAlign w:val="bottom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2040"/>
            <w:vAlign w:val="top"/>
            <w:gridSpan w:val="2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14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top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180"/>
            <w:vAlign w:val="bottom"/>
            <w:vMerge/>
            <w:tcBorders>
              <w:bottom w:val="nil" w:color="auto"/>
              <w:top w:val="single" w:color="auto" w:sz="4"/>
            </w:tcBorders>
          </w:tcPr>
          <w:p/>
        </w:tc>
        <w:tc>
          <w:tcPr>
            <w:tcW w:type="dxa" w:w="810"/>
            <w:vAlign w:val="bottom"/>
            <w:vMerge/>
            <w:tcBorders>
              <w:bottom w:val="single" w:color="auto" w:sz="4"/>
              <w:top w:val="single" w:color="auto" w:sz="4"/>
            </w:tcBorders>
          </w:tcPr>
          <w:p/>
        </w:tc>
        <w:tc>
          <w:tcPr>
            <w:tcW w:type="dxa" w:w="396"/>
            <w:vAlign w:val="bottom"/>
            <w:gridSpan w:val="2"/>
            <w:vMerge/>
            <w:tcBorders>
              <w:bottom w:val="nil" w:color="auto"/>
              <w:top w:val="single" w:color="auto" w:sz="4"/>
            </w:tcBorders>
            <w:shd w:val="clear" w:color="000000"/>
          </w:tcPr>
          <w:p/>
        </w:tc>
        <w:tc>
          <w:tcPr>
            <w:tcW w:type="dxa" w:w="774"/>
            <w:vAlign w:val="bottom"/>
            <w:vMerge/>
            <w:tcBorders>
              <w:bottom w:val="single" w:color="auto" w:sz="4"/>
              <w:top w:val="single" w:color="auto" w:sz="4"/>
            </w:tcBorders>
            <w:shd w:val="clear" w:color="000000"/>
          </w:tcPr>
          <w:p/>
        </w:tc>
      </w:tr>
      <w:tr>
        <w:trPr>
          <w:trHeight w:hRule="atleast" w:val="305"/>
          <w:cantSplit/>
        </w:trPr>
        <w:tc>
          <w:tcPr>
            <w:tcW w:type="dxa" w:w="1871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717"/>
            <w:vAlign w:val="bottom"/>
            <w:gridSpan w:val="5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5520"/>
            <w:vAlign w:val="bottom"/>
            <w:gridSpan w:val="9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5"/>
            <w:tcBorders>
              <w:bottom w:val="nil" w:color="auto"/>
              <w:top w:val="single" w:color="auto" w:sz="4"/>
            </w:tcBorders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520"/>
            <w:vAlign w:val="bottom"/>
            <w:gridSpan w:val="3"/>
            <w:tcBorders>
              <w:bottom w:val="nil" w:color="auto"/>
              <w:top w:val="single" w:color="auto" w:sz="4"/>
            </w:tcBorders>
          </w:tcPr>
          <w:p>
            <w:pPr>
              <w:jc w:val="right"/>
              <w:spacing w:lineRule="auto" w:line="216" w:before="240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E.     (Ordinary </w:t>
            </w:r>
            <w:r>
              <w:rPr>
                <w:sz w:val="20"/>
                <w:szCs w:val="20"/>
                <w:rFonts w:ascii="Arial" w:hAnsi="Arial" w:cs="Arial"/>
              </w:rPr>
              <w:t>shares)</w:t>
            </w: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NIL</w:t>
            </w:r>
          </w:p>
        </w:tc>
        <w:tc>
          <w:tcPr>
            <w:tcW w:type="dxa" w:w="360"/>
            <w:vAlign w:val="bottom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gridSpan w:val="2"/>
            <w:tcBorders>
              <w:bottom w:val="nil" w:color="auto"/>
              <w:top w:val="single" w:color="auto" w:sz="4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5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52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(Preference shares)</w:t>
            </w: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6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2368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ind w:left="480" w:firstLine="0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3060"/>
            <w:vAlign w:val="bottom"/>
            <w:gridSpan w:val="5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2520"/>
            <w:vAlign w:val="bottom"/>
            <w:gridSpan w:val="3"/>
            <w:tcBorders>
              <w:bottom w:val="nil" w:color="auto"/>
              <w:top w:val="nil" w:color="auto"/>
            </w:tcBorders>
          </w:tcPr>
          <w:p>
            <w:pPr>
              <w:jc w:val="right"/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(Other class)</w:t>
            </w:r>
          </w:p>
        </w:tc>
        <w:tc>
          <w:tcPr>
            <w:tcW w:type="dxa" w:w="990"/>
            <w:vAlign w:val="bottom"/>
            <w:gridSpan w:val="2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eastAsia="宋体" w:hAnsi="Arial" w:cs="Arial" w:hint="eastAsia"/>
              </w:rPr>
            </w:pPr>
            <w:r>
              <w:rPr>
                <w:sz w:val="20"/>
                <w:szCs w:val="20"/>
                <w:rFonts w:ascii="Arial" w:eastAsia="宋体" w:hAnsi="Arial" w:cs="Arial" w:hint="eastAsia"/>
              </w:rPr>
              <w:t>N/A</w:t>
            </w:r>
          </w:p>
        </w:tc>
        <w:tc>
          <w:tcPr>
            <w:tcW w:type="dxa" w:w="360"/>
            <w:vAlign w:val="bottom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  <w:tc>
          <w:tcPr>
            <w:tcW w:type="dxa" w:w="810"/>
            <w:vAlign w:val="bottom"/>
            <w:gridSpan w:val="2"/>
            <w:tcBorders>
              <w:bottom w:val="nil" w:color="auto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/>
              </w:rPr>
            </w:pPr>
          </w:p>
        </w:tc>
      </w:tr>
      <w:tr>
        <w:trPr>
          <w:trHeight w:hRule="atleast" w:val="170"/>
          <w:cantSplit/>
        </w:trPr>
        <w:tc>
          <w:tcPr>
            <w:tcW w:type="dxa" w:w="10108"/>
            <w:vAlign w:val="bottom"/>
            <w:gridSpan w:val="16"/>
            <w:tcBorders>
              <w:bottom w:val="single" w:color="auto" w:sz="4"/>
              <w:top w:val="nil" w:color="auto"/>
            </w:tcBorders>
          </w:tcPr>
          <w:p>
            <w:pPr>
              <w:spacing w:lineRule="auto" w:line="216"/>
              <w:rPr>
                <w:sz w:val="20"/>
                <w:szCs w:val="20"/>
                <w:rFonts w:ascii="Arial" w:hAnsi="Arial" w:cs="Arial" w:hint="eastAsia"/>
              </w:rPr>
            </w:pPr>
          </w:p>
        </w:tc>
      </w:tr>
    </w:tbl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0080" w:type="dxa"/>
        <w:tblInd w:w="108" w:type="dxa"/>
        <w:tblLook w:val="0001E0" w:firstRow="1" w:lastRow="1" w:firstColumn="1" w:lastColumn="1" w:noHBand="0" w:noVBand="0"/>
        <w:tblLayout w:type="fixed"/>
      </w:tblPr>
      <w:tblGrid>
        <w:gridCol w:w="8059"/>
        <w:gridCol w:w="2021"/>
      </w:tblGrid>
      <w:tr>
        <w:trPr/>
        <w:tc>
          <w:tcPr>
            <w:tcW w:type="dxa" w:w="10080"/>
            <w:tcMar>
              <w:left w:w="108" w:type="dxa"/>
              <w:right w:w="108" w:type="dxa"/>
            </w:tcMar>
            <w:vAlign w:val="top"/>
            <w:gridSpan w:val="2"/>
            <w:shd w:val="clear" w:color="000000"/>
          </w:tcPr>
          <w:p>
            <w:pPr>
              <w:rPr>
                <w:rFonts w:ascii="Arial" w:hAnsi="Arial" w:cs="Arial"/>
              </w:rPr>
            </w:pPr>
          </w:p>
        </w:tc>
      </w:tr>
      <w:tr>
        <w:trPr>
          <w:trHeight w:hRule="atleast" w:val="383"/>
        </w:trPr>
        <w:tc>
          <w:tcPr>
            <w:tcW w:type="dxa" w:w="8059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tabs>
                <w:tab w:val="left" w:pos="7572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increase / (decrease) in ordinary shares during the month (i.e. Total of A to E):</w:t>
            </w:r>
            <w:r>
              <w:rPr>
                <w:sz w:val="20"/>
                <w:szCs w:val="20"/>
                <w:rFonts w:ascii="Arial" w:hAnsi="Arial" w:cs="Arial"/>
              </w:rPr>
              <w:tab/>
            </w:r>
            <w:r>
              <w:rPr>
                <w:sz w:val="20"/>
                <w:szCs w:val="20"/>
                <w:rFonts w:ascii="Arial" w:hAnsi="Arial" w:cs="Arial"/>
              </w:rPr>
              <w:t>(1)</w:t>
            </w:r>
          </w:p>
        </w:tc>
        <w:tc>
          <w:tcPr>
            <w:tcW w:type="dxa" w:w="202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top w:val="nil" w:color="auto"/>
            </w:tcBorders>
            <w:shd w:val="clear" w:color="000000"/>
          </w:tcPr>
          <w:p>
            <w:pPr>
              <w:rPr>
                <w:rFonts w:ascii="Arial" w:eastAsia="宋体" w:hAnsi="Arial" w:cs="Arial" w:hint="eastAsia"/>
              </w:rPr>
            </w:pPr>
            <w:r>
              <w:rPr>
                <w:rFonts w:ascii="Arial" w:eastAsia="宋体" w:hAnsi="Arial" w:cs="Arial"/>
              </w:rPr>
              <w:t>NIL</w:t>
            </w:r>
          </w:p>
        </w:tc>
      </w:tr>
      <w:tr>
        <w:trPr>
          <w:trHeight w:hRule="atleast" w:val="383"/>
        </w:trPr>
        <w:tc>
          <w:tcPr>
            <w:tcW w:type="dxa" w:w="8059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tabs>
                <w:tab w:val="left" w:pos="7572"/>
              </w:tabs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ab/>
            </w:r>
            <w:r>
              <w:rPr>
                <w:sz w:val="20"/>
                <w:szCs w:val="20"/>
                <w:rFonts w:ascii="Arial" w:hAnsi="Arial" w:cs="Arial"/>
              </w:rPr>
              <w:t>(2)</w:t>
            </w:r>
          </w:p>
        </w:tc>
        <w:tc>
          <w:tcPr>
            <w:tcW w:type="dxa" w:w="202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rPr>
                <w:rFonts w:ascii="Arial" w:eastAsia="宋体" w:hAnsi="Arial" w:cs="Arial" w:hint="eastAsia"/>
              </w:rPr>
            </w:pPr>
            <w:r>
              <w:rPr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383"/>
        </w:trPr>
        <w:tc>
          <w:tcPr>
            <w:tcW w:type="dxa" w:w="8059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increase / (decrease) in preference shares during the month (i.e. Total of A to E):</w:t>
            </w:r>
          </w:p>
        </w:tc>
        <w:tc>
          <w:tcPr>
            <w:tcW w:type="dxa" w:w="202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rPr>
                <w:rFonts w:ascii="Arial" w:eastAsia="宋体" w:hAnsi="Arial" w:cs="Arial" w:hint="eastAsia"/>
              </w:rPr>
            </w:pPr>
            <w:r>
              <w:rPr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383"/>
        </w:trPr>
        <w:tc>
          <w:tcPr>
            <w:tcW w:type="dxa" w:w="8059"/>
            <w:tcMar>
              <w:left w:w="108" w:type="dxa"/>
              <w:right w:w="108" w:type="dxa"/>
            </w:tcMar>
            <w:vAlign w:val="center"/>
            <w:shd w:val="clear" w:color="000000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Total increase / (decrease) in other classes of shares during the month (i.e. Total of A to </w:t>
            </w:r>
            <w:r>
              <w:rPr>
                <w:sz w:val="20"/>
                <w:szCs w:val="20"/>
                <w:rFonts w:ascii="Arial" w:hAnsi="Arial" w:cs="Arial"/>
              </w:rPr>
              <w:t>E):</w:t>
            </w:r>
          </w:p>
        </w:tc>
        <w:tc>
          <w:tcPr>
            <w:tcW w:type="dxa" w:w="2021"/>
            <w:tcMar>
              <w:left w:w="108" w:type="dxa"/>
              <w:right w:w="108" w:type="dxa"/>
            </w:tcMar>
            <w:vAlign w:val="top"/>
            <w:tcBorders>
              <w:bottom w:val="single" w:color="auto" w:sz="4"/>
              <w:top w:val="single" w:color="auto" w:sz="4"/>
            </w:tcBorders>
            <w:shd w:val="clear" w:color="000000"/>
          </w:tcPr>
          <w:p>
            <w:pPr>
              <w:rPr>
                <w:rFonts w:ascii="Arial" w:eastAsia="宋体" w:hAnsi="Arial" w:cs="Arial" w:hint="eastAsia"/>
              </w:rPr>
            </w:pPr>
            <w:r>
              <w:rPr>
                <w:rFonts w:ascii="Arial" w:eastAsia="宋体" w:hAnsi="Arial" w:cs="Arial" w:hint="eastAsia"/>
              </w:rPr>
              <w:t>N/A</w:t>
            </w:r>
          </w:p>
        </w:tc>
      </w:tr>
      <w:tr>
        <w:trPr/>
        <w:tc>
          <w:tcPr>
            <w:tcW w:type="dxa" w:w="10080"/>
            <w:tcMar>
              <w:left w:w="108" w:type="dxa"/>
              <w:right w:w="108" w:type="dxa"/>
            </w:tcMar>
            <w:vAlign w:val="top"/>
            <w:gridSpan w:val="2"/>
            <w:shd w:val="clear" w:color="000000"/>
          </w:tcPr>
          <w:p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(These figures should be the same as the relevant figures under II above (“Movements in Issued Share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>Capital”).)</w:t>
            </w:r>
          </w:p>
        </w:tc>
      </w:tr>
    </w:tbl>
    <w:p>
      <w:pPr>
        <w:pStyle w:val="PO7"/>
        <w:rPr>
          <w:b w:val="0"/>
          <w:sz w:val="22"/>
          <w:szCs w:val="22"/>
          <w:rFonts w:ascii="Arial" w:hAnsi="Arial" w:cs="Arial"/>
        </w:rPr>
      </w:pPr>
      <w:r>
        <w:rPr>
          <w:b w:val="0"/>
          <w:sz w:val="22"/>
          <w:szCs w:val="22"/>
          <w:rFonts w:ascii="Arial" w:hAnsi="Arial" w:cs="Arial"/>
        </w:rPr>
        <w:t xml:space="preserve">IV. Confirmations </w:t>
      </w:r>
    </w:p>
    <w:p>
      <w:pPr>
        <w:rPr>
          <w:sz w:val="20"/>
          <w:szCs w:val="20"/>
          <w:rFonts w:ascii="Arial" w:hAnsi="Arial" w:cs="Arial"/>
        </w:rPr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0065" w:type="dxa"/>
        <w:tblInd w:w="108" w:type="dxa"/>
        <w:tblLook w:val="0004A0" w:firstRow="1" w:lastRow="0" w:firstColumn="1" w:lastColumn="0" w:noHBand="0" w:noVBand="1"/>
        <w:tblLayout w:type="fixed"/>
      </w:tblPr>
      <w:tblGrid>
        <w:gridCol w:w="10065"/>
      </w:tblGrid>
      <w:tr>
        <w:trPr/>
        <w:tc>
          <w:tcPr>
            <w:tcW w:type="dxa" w:w="10065"/>
            <w:tcMar>
              <w:left w:w="108" w:type="dxa"/>
              <w:right w:w="108" w:type="dxa"/>
            </w:tcMar>
            <w:vAlign w:val="top"/>
            <w:shd w:val="clear" w:color="000000"/>
          </w:tcPr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We hereby confirm to the best knowledge, information and belief that, in relation to each of the securities </w:t>
            </w:r>
            <w:r>
              <w:rPr>
                <w:sz w:val="20"/>
                <w:szCs w:val="20"/>
                <w:rFonts w:ascii="Arial" w:hAnsi="Arial" w:cs="Arial"/>
              </w:rPr>
              <w:t xml:space="preserve">issued by the issuer during the month as set out in Part III which has not been previously disclosed in a return </w:t>
            </w:r>
            <w:r>
              <w:rPr>
                <w:sz w:val="20"/>
                <w:szCs w:val="20"/>
                <w:rFonts w:ascii="Arial" w:hAnsi="Arial" w:cs="Arial"/>
              </w:rPr>
              <w:t xml:space="preserve">published under rule 13.25A, it has been duly authorized by the board of directors of the listed issuer and, </w:t>
            </w:r>
            <w:r>
              <w:rPr>
                <w:sz w:val="20"/>
                <w:szCs w:val="20"/>
                <w:rFonts w:ascii="Arial" w:hAnsi="Arial" w:cs="Arial"/>
              </w:rPr>
              <w:t xml:space="preserve">insofar as applicable: </w:t>
            </w:r>
          </w:p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jc w:val="both"/>
              <w:rPr>
                <w:i w:val="1"/>
                <w:sz w:val="20"/>
                <w:szCs w:val="20"/>
                <w:rFonts w:ascii="Arial" w:hAnsi="Arial" w:cs="Arial"/>
              </w:rPr>
            </w:pP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2)</w:t>
            </w:r>
          </w:p>
          <w:p>
            <w:pPr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money due to the listed issuer in respect of the issue of securities has been received by it; </w:t>
            </w:r>
          </w:p>
          <w:p>
            <w:pPr>
              <w:pStyle w:val="PO26"/>
              <w:jc w:val="both"/>
              <w:ind w:left="720" w:firstLine="0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pre-conditions for listing imposed by the Rules Governing the Listing of Securities on The Stock </w:t>
            </w:r>
            <w:r>
              <w:rPr>
                <w:sz w:val="20"/>
                <w:szCs w:val="20"/>
                <w:rFonts w:ascii="Arial" w:hAnsi="Arial" w:cs="Arial"/>
              </w:rPr>
              <w:t xml:space="preserve">Exchange of Hong Kong Limited under “Qualifications of listing” have been fulfilled;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(if any) conditions contained in the formal letter granting listing of and permission to deal in the </w:t>
            </w:r>
            <w:r>
              <w:rPr>
                <w:sz w:val="20"/>
                <w:szCs w:val="20"/>
                <w:rFonts w:ascii="Arial" w:hAnsi="Arial" w:cs="Arial"/>
              </w:rPr>
              <w:t xml:space="preserve">securities have been fulfilled;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the securities of each class are in all respects identical </w:t>
            </w:r>
            <w:r>
              <w:rPr>
                <w:i w:val="1"/>
                <w:sz w:val="20"/>
                <w:szCs w:val="20"/>
                <w:rFonts w:ascii="Arial" w:hAnsi="Arial" w:cs="Arial"/>
              </w:rPr>
              <w:t xml:space="preserve">(Note 3)</w:t>
            </w:r>
            <w:r>
              <w:rPr>
                <w:sz w:val="20"/>
                <w:szCs w:val="20"/>
                <w:rFonts w:ascii="Arial" w:hAnsi="Arial" w:cs="Arial"/>
              </w:rPr>
              <w:t xml:space="preserve">;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documents required by the Companies (Winding Up and Miscellaneous Provisions) Ordinance to be </w:t>
            </w:r>
            <w:r>
              <w:rPr>
                <w:sz w:val="20"/>
                <w:szCs w:val="20"/>
                <w:rFonts w:ascii="Arial" w:hAnsi="Arial" w:cs="Arial"/>
              </w:rPr>
              <w:t xml:space="preserve">filed with the Registrar of Companies have been duly filed and that compliance has been made with </w:t>
            </w:r>
            <w:r>
              <w:rPr>
                <w:sz w:val="20"/>
                <w:szCs w:val="20"/>
                <w:rFonts w:ascii="Arial" w:hAnsi="Arial" w:cs="Arial"/>
              </w:rPr>
              <w:t xml:space="preserve">other legal requirements;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all the definitive documents of title have been delivered/are ready to be delivered/are being prepared </w:t>
            </w:r>
            <w:r>
              <w:rPr>
                <w:sz w:val="20"/>
                <w:szCs w:val="20"/>
                <w:rFonts w:ascii="Arial" w:hAnsi="Arial" w:cs="Arial"/>
              </w:rPr>
              <w:t xml:space="preserve">and will be delivered in accordance with the terms of issue;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completion has taken place of the purchase by the issuer of all property shown in the listing document </w:t>
            </w:r>
            <w:r>
              <w:rPr>
                <w:sz w:val="20"/>
                <w:szCs w:val="20"/>
                <w:rFonts w:ascii="Arial" w:hAnsi="Arial" w:cs="Arial"/>
              </w:rPr>
              <w:t xml:space="preserve">to have been purchased or agreed to be purchased by it and the purchase consideration for all such </w:t>
            </w:r>
            <w:r>
              <w:rPr>
                <w:sz w:val="20"/>
                <w:szCs w:val="20"/>
                <w:rFonts w:ascii="Arial" w:hAnsi="Arial" w:cs="Arial"/>
              </w:rPr>
              <w:t xml:space="preserve">property has been duly satisfied; and </w:t>
            </w:r>
          </w:p>
          <w:p>
            <w:pPr>
              <w:pStyle w:val="PO26"/>
              <w:jc w:val="both"/>
              <w:rPr>
                <w:sz w:val="20"/>
                <w:szCs w:val="20"/>
                <w:rFonts w:ascii="Arial" w:hAnsi="Arial" w:cs="Arial"/>
              </w:rPr>
            </w:pPr>
          </w:p>
          <w:p>
            <w:pPr>
              <w:pStyle w:val="PO26"/>
              <w:numPr>
                <w:ilvl w:val="0"/>
                <w:numId w:val="11"/>
              </w:numPr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szCs w:val="20"/>
                <w:rFonts w:ascii="Arial" w:hAnsi="Arial" w:cs="Arial"/>
              </w:rPr>
              <w:t xml:space="preserve">the trust deed/deed poll relating to the debenture, loan stock, notes or bonds has been completed and </w:t>
            </w:r>
            <w:r>
              <w:rPr>
                <w:sz w:val="20"/>
                <w:szCs w:val="20"/>
                <w:rFonts w:ascii="Arial" w:hAnsi="Arial" w:cs="Arial"/>
              </w:rPr>
              <w:t xml:space="preserve">executed, and particulars thereof, if so required by law, have been filed with the Registrar of </w:t>
            </w:r>
            <w:r>
              <w:rPr>
                <w:sz w:val="20"/>
                <w:szCs w:val="20"/>
                <w:rFonts w:ascii="Arial" w:hAnsi="Arial" w:cs="Arial"/>
              </w:rPr>
              <w:t xml:space="preserve">Companies. </w:t>
            </w:r>
          </w:p>
        </w:tc>
      </w:tr>
    </w:tbl>
    <w:p>
      <w:pPr>
        <w:rPr>
          <w:sz w:val="16"/>
          <w:szCs w:val="16"/>
          <w:rFonts w:ascii="Arial" w:hAnsi="Arial" w:cs="Arial"/>
        </w:rPr>
      </w:pPr>
    </w:p>
    <w:p>
      <w:pPr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 xml:space="preserve">Remarks (if any):</w:t>
      </w:r>
    </w:p>
    <w:tbl>
      <w:tblID w:val="0"/>
      <w:tblPr>
        <w:tblBorders>
          <w:bottom w:val="single" w:sz="4" w:space="0" w:color="000000"/>
          <w:insideH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10188" w:type="dxa"/>
        <w:tblLook w:val="000000" w:firstRow="0" w:lastRow="0" w:firstColumn="0" w:lastColumn="0" w:noHBand="0" w:noVBand="0"/>
        <w:tblLayout w:type="fixed"/>
      </w:tblPr>
      <w:tblGrid>
        <w:gridCol w:w="10188"/>
      </w:tblGrid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eastAsia="宋体" w:hAnsi="Arial" w:cs="Arial" w:hint="eastAsia"/>
              </w:rPr>
            </w:pPr>
            <w:r>
              <w:rPr>
                <w:b w:val="1"/>
                <w:sz w:val="22"/>
                <w:szCs w:val="22"/>
                <w:rFonts w:ascii="Arial" w:eastAsia="宋体" w:hAnsi="Arial" w:cs="Arial" w:hint="eastAsia"/>
              </w:rPr>
              <w:t>N/A</w:t>
            </w: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  <w:tr>
        <w:trPr>
          <w:trHeight w:hRule="atleast" w:val="320"/>
        </w:trPr>
        <w:tc>
          <w:tcPr>
            <w:tcW w:type="dxa" w:w="10188"/>
            <w:tcMar>
              <w:left w:w="108" w:type="dxa"/>
              <w:right w:w="108" w:type="dxa"/>
            </w:tcMar>
            <w:vAlign w:val="bottom"/>
          </w:tcPr>
          <w:p>
            <w:pPr>
              <w:rPr>
                <w:b w:val="1"/>
                <w:sz w:val="22"/>
                <w:szCs w:val="22"/>
                <w:rFonts w:ascii="Arial" w:hAnsi="Arial" w:cs="Arial"/>
              </w:rPr>
            </w:pPr>
          </w:p>
        </w:tc>
      </w:tr>
    </w:tbl>
    <w:p>
      <w:pPr>
        <w:pStyle w:val="PO176"/>
        <w:ind w:firstLine="0"/>
        <w:tabs>
          <w:tab w:val="right" w:pos="2040"/>
          <w:tab w:val="left" w:pos="2250"/>
        </w:tabs>
        <w:rPr>
          <w:rFonts w:ascii="Arial" w:hAnsi="Arial" w:cs="Arial"/>
        </w:rPr>
      </w:pPr>
    </w:p>
    <w:p>
      <w:pPr>
        <w:pStyle w:val="PO176"/>
        <w:ind w:firstLine="0"/>
        <w:tabs>
          <w:tab w:val="left" w:pos="-120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 xml:space="preserve">Submitted by: </w:t>
      </w:r>
      <w:r>
        <w:rPr>
          <w:sz w:val="22"/>
          <w:szCs w:val="22"/>
          <w:rFonts w:ascii="Arial" w:hAnsi="Arial" w:cs="Arial"/>
        </w:rPr>
        <w:tab/>
      </w:r>
      <w:r>
        <w:rPr>
          <w:sz w:val="22"/>
          <w:szCs w:val="22"/>
          <w:rFonts w:ascii="Arial" w:hAnsi="Arial" w:cs="Arial"/>
        </w:rPr>
        <w:t>_</w:t>
      </w:r>
      <w:r>
        <w:rPr>
          <w:sz w:val="22"/>
          <w:szCs w:val="22"/>
          <w:u w:val="single"/>
          <w:rFonts w:ascii="Arial" w:hAnsi="Arial" w:cs="Arial"/>
        </w:rPr>
        <w:t xml:space="preserve">Franky Cheung Fong Wa</w:t>
      </w:r>
      <w:r>
        <w:rPr>
          <w:sz w:val="22"/>
          <w:szCs w:val="22"/>
          <w:rFonts w:ascii="Arial" w:hAnsi="Arial" w:cs="Arial"/>
        </w:rPr>
        <w:t>_____________________________</w:t>
      </w:r>
    </w:p>
    <w:p>
      <w:pPr>
        <w:pStyle w:val="PO176"/>
        <w:ind w:firstLine="0"/>
        <w:tabs>
          <w:tab w:val="right" w:pos="2040"/>
          <w:tab w:val="left" w:pos="2250"/>
        </w:tabs>
        <w:rPr>
          <w:sz w:val="22"/>
          <w:szCs w:val="22"/>
          <w:rFonts w:ascii="Arial" w:hAnsi="Arial" w:cs="Arial"/>
        </w:rPr>
      </w:pPr>
    </w:p>
    <w:p>
      <w:pPr>
        <w:pStyle w:val="PO176"/>
        <w:ind w:firstLine="0"/>
        <w:tabs>
          <w:tab w:val="left" w:pos="-120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>Title:</w:t>
      </w:r>
      <w:r>
        <w:rPr>
          <w:sz w:val="22"/>
          <w:szCs w:val="22"/>
          <w:rFonts w:ascii="Arial" w:hAnsi="Arial" w:cs="Arial"/>
        </w:rPr>
        <w:tab/>
      </w:r>
      <w:r>
        <w:rPr>
          <w:sz w:val="22"/>
          <w:szCs w:val="22"/>
          <w:rFonts w:ascii="Arial" w:hAnsi="Arial" w:cs="Arial"/>
        </w:rPr>
        <w:t>_______</w:t>
      </w:r>
      <w:r>
        <w:rPr>
          <w:sz w:val="22"/>
          <w:szCs w:val="22"/>
          <w:u w:val="single"/>
          <w:rFonts w:ascii="Arial" w:hAnsi="Arial" w:cs="Arial"/>
        </w:rPr>
        <w:t xml:space="preserve">Executive Director__</w:t>
      </w:r>
      <w:r>
        <w:rPr>
          <w:sz w:val="22"/>
          <w:szCs w:val="22"/>
          <w:rFonts w:ascii="Arial" w:hAnsi="Arial" w:cs="Arial"/>
        </w:rPr>
        <w:t>________________________________</w:t>
      </w:r>
    </w:p>
    <w:p>
      <w:pPr>
        <w:pStyle w:val="PO176"/>
        <w:ind w:firstLine="0"/>
        <w:tabs>
          <w:tab w:val="left" w:pos="0"/>
        </w:tabs>
        <w:rPr>
          <w:sz w:val="22"/>
          <w:szCs w:val="22"/>
          <w:rFonts w:ascii="Arial" w:hAnsi="Arial" w:cs="Arial"/>
        </w:rPr>
      </w:pPr>
      <w:r>
        <w:rPr>
          <w:sz w:val="22"/>
          <w:szCs w:val="22"/>
          <w:rFonts w:ascii="Arial" w:hAnsi="Arial" w:cs="Arial"/>
        </w:rPr>
        <w:tab/>
      </w:r>
      <w:r>
        <w:rPr>
          <w:sz w:val="22"/>
          <w:szCs w:val="22"/>
          <w:rFonts w:ascii="Arial" w:hAnsi="Arial" w:cs="Arial"/>
        </w:rPr>
        <w:t xml:space="preserve">(Director, Secretary or other duly authorised officer)</w:t>
      </w: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0" w:type="auto"/>
        <w:tblInd w:w="108" w:type="dxa"/>
        <w:tblLook w:val="000000" w:firstRow="0" w:lastRow="0" w:firstColumn="0" w:lastColumn="0" w:noHBand="0" w:noVBand="0"/>
        <w:tblLayout w:type="auto"/>
      </w:tblPr>
      <w:tblGrid>
        <w:gridCol w:w="10440"/>
      </w:tblGrid>
      <w:tr>
        <w:trPr>
          <w:trHeight w:hRule="exact" w:val="360"/>
          <w:cantSplit/>
        </w:trPr>
        <w:tc>
          <w:tcPr>
            <w:tcW w:type="dxa" w:w="10440"/>
            <w:tcMar>
              <w:left w:w="108" w:type="dxa"/>
              <w:right w:w="108" w:type="dxa"/>
            </w:tcMar>
            <w:vAlign w:val="top"/>
            <w:tcBorders>
              <w:bottom w:val="single" w:color="auto" w:sz="18"/>
            </w:tcBorders>
          </w:tcPr>
          <w:p>
            <w:pPr>
              <w:rPr>
                <w:i w:val="1"/>
                <w:sz w:val="16"/>
                <w:szCs w:val="16"/>
                <w:rFonts w:ascii="Arial" w:hAnsi="Arial" w:cs="Arial"/>
              </w:rPr>
            </w:pPr>
          </w:p>
        </w:tc>
      </w:tr>
    </w:tbl>
    <w:p>
      <w:pPr>
        <w:pStyle w:val="PO176"/>
        <w:ind w:firstLine="0"/>
        <w:rPr>
          <w:sz w:val="16"/>
          <w:szCs w:val="16"/>
          <w:rFonts w:ascii="Arial" w:hAnsi="Arial" w:cs="Arial"/>
        </w:rPr>
      </w:pPr>
    </w:p>
    <w:p>
      <w:pPr>
        <w:jc w:val="both"/>
        <w:spacing w:before="60" w:after="60"/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 xml:space="preserve">Notes : </w:t>
      </w:r>
      <w:r>
        <w:rPr>
          <w:i w:val="1"/>
          <w:sz w:val="22"/>
          <w:szCs w:val="22"/>
          <w:rFonts w:ascii="Arial" w:hAnsi="Arial" w:cs="Arial"/>
        </w:rPr>
        <w:tab/>
      </w:r>
    </w:p>
    <w:p>
      <w:pPr>
        <w:jc w:val="both"/>
        <w:spacing w:before="60" w:after="60"/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>1.</w:t>
      </w:r>
      <w:r>
        <w:rPr>
          <w:i w:val="1"/>
          <w:sz w:val="22"/>
          <w:szCs w:val="22"/>
          <w:rFonts w:ascii="Arial" w:hAnsi="Arial" w:cs="Arial"/>
        </w:rPr>
        <w:tab/>
      </w:r>
      <w:r>
        <w:rPr>
          <w:i w:val="1"/>
          <w:sz w:val="22"/>
          <w:szCs w:val="22"/>
          <w:rFonts w:ascii="Arial" w:hAnsi="Arial" w:cs="Arial"/>
        </w:rPr>
        <w:t xml:space="preserve">State the class of shares (e.g. ordinary, preference or other).</w:t>
      </w:r>
    </w:p>
    <w:p>
      <w:pPr>
        <w:jc w:val="both"/>
        <w:spacing w:before="60" w:after="60"/>
        <w:ind w:left="720" w:hanging="720"/>
        <w:rPr>
          <w:i w:val="1"/>
          <w:sz w:val="16"/>
          <w:szCs w:val="16"/>
          <w:rFonts w:ascii="Arial" w:hAnsi="Arial" w:cs="Arial"/>
        </w:rPr>
      </w:pPr>
    </w:p>
    <w:p>
      <w:pPr>
        <w:jc w:val="both"/>
        <w:spacing w:before="60" w:after="60"/>
        <w:ind w:left="705" w:hanging="705"/>
        <w:tabs>
          <w:tab w:val="left" w:pos="709"/>
        </w:tabs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>2.</w:t>
      </w:r>
      <w:r>
        <w:rPr>
          <w:i w:val="1"/>
          <w:sz w:val="22"/>
          <w:szCs w:val="22"/>
          <w:rFonts w:ascii="Arial" w:hAnsi="Arial" w:cs="Arial"/>
        </w:rPr>
        <w:tab/>
      </w:r>
      <w:r>
        <w:rPr>
          <w:i w:val="1"/>
          <w:sz w:val="22"/>
          <w:szCs w:val="22"/>
          <w:rFonts w:ascii="Arial" w:hAnsi="Arial" w:cs="Arial"/>
        </w:rPr>
        <w:t xml:space="preserve">Items (i) to (viii) are suggested forms of confirmation which may be amended to meet </w:t>
      </w:r>
      <w:r>
        <w:rPr>
          <w:i w:val="1"/>
          <w:sz w:val="22"/>
          <w:szCs w:val="22"/>
          <w:rFonts w:ascii="Arial" w:hAnsi="Arial" w:cs="Arial"/>
        </w:rPr>
        <w:t xml:space="preserve">individual cases.  Where the issuer has already made the relevant confirmations in a return </w:t>
      </w:r>
      <w:r>
        <w:rPr>
          <w:i w:val="1"/>
          <w:sz w:val="22"/>
          <w:szCs w:val="22"/>
          <w:rFonts w:ascii="Arial" w:hAnsi="Arial" w:cs="Arial"/>
        </w:rPr>
        <w:t xml:space="preserve">published under rule 13.25A in relation to the securities issued, no further confirmation is </w:t>
      </w:r>
      <w:r>
        <w:rPr>
          <w:i w:val="1"/>
          <w:sz w:val="22"/>
          <w:szCs w:val="22"/>
          <w:rFonts w:ascii="Arial" w:hAnsi="Arial" w:cs="Arial"/>
        </w:rPr>
        <w:t xml:space="preserve">required to be made in this return. </w:t>
      </w:r>
    </w:p>
    <w:p>
      <w:pPr>
        <w:jc w:val="both"/>
        <w:spacing w:before="60" w:after="60"/>
        <w:ind w:left="705" w:hanging="705"/>
        <w:tabs>
          <w:tab w:val="left" w:pos="709"/>
        </w:tabs>
        <w:rPr>
          <w:i w:val="1"/>
          <w:sz w:val="16"/>
          <w:szCs w:val="16"/>
          <w:rFonts w:ascii="Arial" w:hAnsi="Arial" w:cs="Arial"/>
        </w:rPr>
      </w:pPr>
    </w:p>
    <w:p>
      <w:pPr>
        <w:jc w:val="both"/>
        <w:spacing w:before="60" w:after="60"/>
        <w:tabs>
          <w:tab w:val="left" w:pos="709"/>
        </w:tabs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 xml:space="preserve">3. </w:t>
      </w:r>
      <w:r>
        <w:rPr>
          <w:i w:val="1"/>
          <w:sz w:val="22"/>
          <w:szCs w:val="22"/>
          <w:rFonts w:ascii="Arial" w:hAnsi="Arial" w:cs="Arial"/>
        </w:rPr>
        <w:tab/>
      </w:r>
      <w:r>
        <w:rPr>
          <w:i w:val="1"/>
          <w:sz w:val="22"/>
          <w:szCs w:val="22"/>
          <w:rFonts w:ascii="Arial" w:hAnsi="Arial" w:cs="Arial"/>
        </w:rPr>
        <w:t xml:space="preserve">“Identical” means in this context: </w:t>
      </w:r>
    </w:p>
    <w:p>
      <w:pPr>
        <w:pStyle w:val="PO26"/>
        <w:numPr>
          <w:ilvl w:val="0"/>
          <w:numId w:val="12"/>
        </w:numPr>
        <w:jc w:val="both"/>
        <w:spacing w:before="60" w:after="60"/>
        <w:tabs>
          <w:tab w:val="left" w:pos="709"/>
        </w:tabs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 xml:space="preserve">the securities are of the same nominal value with the same amount called up or paid up; </w:t>
      </w:r>
    </w:p>
    <w:p>
      <w:pPr>
        <w:pStyle w:val="PO26"/>
        <w:numPr>
          <w:ilvl w:val="0"/>
          <w:numId w:val="12"/>
        </w:numPr>
        <w:jc w:val="both"/>
        <w:spacing w:before="60" w:after="60"/>
        <w:tabs>
          <w:tab w:val="left" w:pos="709"/>
        </w:tabs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 xml:space="preserve">they are entitled to dividend/interest at the same rate and for the same period, so that at </w:t>
      </w:r>
      <w:r>
        <w:rPr>
          <w:i w:val="1"/>
          <w:sz w:val="22"/>
          <w:szCs w:val="22"/>
          <w:rFonts w:ascii="Arial" w:hAnsi="Arial" w:cs="Arial"/>
        </w:rPr>
        <w:t xml:space="preserve">the next ensuing distribution, the dividend/interest payable per unit will amount to </w:t>
      </w:r>
      <w:r>
        <w:rPr>
          <w:i w:val="1"/>
          <w:sz w:val="22"/>
          <w:szCs w:val="22"/>
          <w:rFonts w:ascii="Arial" w:hAnsi="Arial" w:cs="Arial"/>
        </w:rPr>
        <w:t xml:space="preserve">exactly the same sum (gross and net); and </w:t>
      </w:r>
    </w:p>
    <w:p>
      <w:pPr>
        <w:pStyle w:val="PO26"/>
        <w:numPr>
          <w:ilvl w:val="0"/>
          <w:numId w:val="12"/>
        </w:numPr>
        <w:jc w:val="both"/>
        <w:spacing w:before="60" w:after="60"/>
        <w:tabs>
          <w:tab w:val="left" w:pos="709"/>
        </w:tabs>
        <w:rPr>
          <w:i w:val="1"/>
          <w:sz w:val="22"/>
          <w:szCs w:val="22"/>
          <w:rFonts w:ascii="Arial" w:hAnsi="Arial" w:cs="Arial"/>
        </w:rPr>
      </w:pPr>
      <w:r>
        <w:rPr>
          <w:i w:val="1"/>
          <w:sz w:val="22"/>
          <w:szCs w:val="22"/>
          <w:rFonts w:ascii="Arial" w:hAnsi="Arial" w:cs="Arial"/>
        </w:rPr>
        <w:t xml:space="preserve">they carry the same rights as to unrestricted transfer, attendance and voting at meetings </w:t>
      </w:r>
      <w:r>
        <w:rPr>
          <w:i w:val="1"/>
          <w:sz w:val="22"/>
          <w:szCs w:val="22"/>
          <w:rFonts w:ascii="Arial" w:hAnsi="Arial" w:cs="Arial"/>
        </w:rPr>
        <w:t xml:space="preserve">and rank pari passu in all other respects. </w:t>
      </w:r>
    </w:p>
    <w:p>
      <w:pPr>
        <w:jc w:val="both"/>
        <w:spacing w:before="60" w:after="60"/>
        <w:rPr>
          <w:i w:val="1"/>
          <w:sz w:val="16"/>
          <w:szCs w:val="16"/>
          <w:rFonts w:ascii="Arial" w:hAnsi="Arial" w:cs="Arial"/>
        </w:rPr>
      </w:pPr>
    </w:p>
    <w:p>
      <w:pPr>
        <w:jc w:val="both"/>
        <w:spacing w:before="60" w:after="60"/>
        <w:rPr>
          <w:i w:val="1"/>
          <w:sz w:val="22"/>
          <w:szCs w:val="22"/>
          <w:rFonts w:ascii="Arial" w:hAnsi="Arial" w:cs="Arial" w:hint="eastAsia"/>
        </w:rPr>
      </w:pPr>
      <w:r>
        <w:rPr>
          <w:i w:val="1"/>
          <w:sz w:val="22"/>
          <w:szCs w:val="22"/>
          <w:rFonts w:ascii="Arial" w:hAnsi="Arial" w:cs="Arial"/>
        </w:rPr>
        <w:t>4.</w:t>
      </w:r>
      <w:r>
        <w:rPr>
          <w:i w:val="1"/>
          <w:sz w:val="22"/>
          <w:szCs w:val="22"/>
          <w:rFonts w:ascii="Arial" w:hAnsi="Arial" w:cs="Arial"/>
        </w:rPr>
        <w:tab/>
      </w:r>
      <w:r>
        <w:rPr>
          <w:i w:val="1"/>
          <w:sz w:val="22"/>
          <w:szCs w:val="22"/>
          <w:rFonts w:ascii="Arial" w:hAnsi="Arial" w:cs="Arial"/>
        </w:rPr>
        <w:t xml:space="preserve">If there is insufficient space, please append the prescribed continuation sheet.</w:t>
      </w:r>
    </w:p>
    <w:p>
      <w:pPr>
        <w:pStyle w:val="PO176"/>
        <w:ind w:firstLine="0"/>
        <w:tabs>
          <w:tab w:val="left" w:pos="2040"/>
        </w:tabs>
        <w:rPr>
          <w:rFonts w:ascii="Microsoft JhengHei" w:eastAsia="Microsoft JhengHei" w:hAnsi="Microsoft JhengHei"/>
        </w:rPr>
      </w:pPr>
    </w:p>
    <w:sectPr>
      <w:pgSz w:w="11909" w:h="16834" w:code="9"/>
      <w:pgMar w:top="454" w:left="1077" w:bottom="284" w:right="1077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PMingLiU">
    <w:altName w:val="æ°ç´°æé«"/>
    <w:panose1 w:val="02020500000000000000"/>
    <w:charset w:val="136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"/>
    <w:family w:val="swiss"/>
    <w:pitch w:val="variable"/>
    <w:sig w:usb0="a10006ff" w:usb1="4000205b" w:usb2="00000010" w:usb3="00000000" w:csb0="0000019f" w:csb1="00000000"/>
  </w:font>
  <w:font w:name="TimesNewRomanPS">
    <w:altName w:val="Times New Roman"/>
    <w:panose1/>
    <w:charset w:val="0"/>
    <w:family w:val="auto"/>
    <w:pitch w:val="default"/>
    <w:sig w:usb0="00000000" w:usb1="00000000" w:usb2="00000000" w:usb3="00000000" w:csb0="00000000" w:csb1="00000000"/>
  </w:font>
  <w:font w:name="TimesNewRomanPS Bold">
    <w:altName w:val="Arial"/>
    <w:panose1 w:val="00000000000000000000"/>
    <w:charset w:val="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"/>
    <w:family w:val="modern"/>
    <w:pitch w:val="fixed"/>
    <w:sig w:usb0="e0002aff" w:usb1="c0007843" w:usb2="00000009" w:usb3="00000000" w:csb0="000001ff" w:csb1="00000000"/>
  </w:font>
  <w:font w:name="FMJJNB+Garamond">
    <w:altName w:val="Arial Unicode MS"/>
    <w:panose1 w:val="00000000000000000000"/>
    <w:charset w:val="136"/>
    <w:family w:val="roman"/>
    <w:pitch w:val="default"/>
    <w:sig w:usb0="00000001" w:usb1="08080000" w:usb2="00000010" w:usb3="00000000" w:csb0="00100000" w:csb1="00000000"/>
  </w:font>
  <w:font w:name="宋＋45 Univers">
    <w:altName w:val="Arial Unicode MS"/>
    <w:panose1 w:val="00000000000000000000"/>
    <w:charset w:val="136"/>
    <w:family w:val="swiss"/>
    <w:pitch w:val="default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"/>
    <w:family w:val="roman"/>
    <w:pitch w:val="variable"/>
    <w:sig w:usb0="00000003" w:usb1="00000000" w:usb2="00000000" w:usb3="00000000" w:csb0="00000001" w:csb1="00000000"/>
  </w:font>
  <w:font w:name="Univers 45 Light">
    <w:altName w:val="Times New Roman"/>
    <w:panose1 w:val="00000000000000000000"/>
    <w:charset w:val="0"/>
    <w:family w:val="auto"/>
    <w:pitch w:val="default"/>
    <w:sig w:usb0="00000003" w:usb1="00000000" w:usb2="00000000" w:usb3="00000000" w:csb0="00000001" w:csb1="00000000"/>
  </w:font>
  <w:font w:name="CG Times">
    <w:panose1 w:val="00000000000000000000"/>
    <w:charset w:val="0"/>
    <w:family w:val="roman"/>
    <w:pitch w:val="variable"/>
    <w:sig w:usb0="00000003" w:usb1="00000000" w:usb2="00000000" w:usb3="00000000" w:csb0="00000001" w:csb1="00000000"/>
  </w:font>
  <w:font w:name="MS Mincho">
    <w:altName w:val="ï¼­ï¼³ ææ"/>
    <w:panose1 w:val="02020609040205080304"/>
    <w:charset w:val="128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134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136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tabs>
          <w:tab w:val="left" w:pos="1440"/>
        </w:tabs>
        <w:rPr/>
      </w:pPr>
      <w:lvlText w:val="%2."/>
    </w:lvl>
    <w:lvl w:ilvl="2">
      <w:lvlJc w:val="right"/>
      <w:numFmt w:val="lowerRoman"/>
      <w:start w:val="1"/>
      <w:suff w:val="tab"/>
      <w:pPr>
        <w:ind w:left="2160" w:hanging="180"/>
        <w:tabs>
          <w:tab w:val="left" w:pos="2160"/>
        </w:tabs>
        <w:rPr/>
      </w:p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lvlText w:val="%4."/>
    </w:lvl>
    <w:lvl w:ilvl="4">
      <w:lvlJc w:val="left"/>
      <w:numFmt w:val="lowerLetter"/>
      <w:start w:val="1"/>
      <w:suff w:val="tab"/>
      <w:pPr>
        <w:ind w:left="3600" w:hanging="360"/>
        <w:tabs>
          <w:tab w:val="left" w:pos="3600"/>
        </w:tabs>
        <w:rPr/>
      </w:pPr>
      <w:lvlText w:val="%5."/>
    </w:lvl>
    <w:lvl w:ilvl="5">
      <w:lvlJc w:val="right"/>
      <w:numFmt w:val="lowerRoman"/>
      <w:start w:val="1"/>
      <w:suff w:val="tab"/>
      <w:pPr>
        <w:ind w:left="4320" w:hanging="180"/>
        <w:tabs>
          <w:tab w:val="left" w:pos="4320"/>
        </w:tabs>
        <w:rPr/>
      </w:p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lvlText w:val="%7."/>
    </w:lvl>
    <w:lvl w:ilvl="7">
      <w:lvlJc w:val="left"/>
      <w:numFmt w:val="lowerLetter"/>
      <w:start w:val="1"/>
      <w:suff w:val="tab"/>
      <w:pPr>
        <w:ind w:left="5760" w:hanging="360"/>
        <w:tabs>
          <w:tab w:val="left" w:pos="5760"/>
        </w:tabs>
        <w:rPr/>
      </w:pPr>
      <w:lvlText w:val="%8."/>
    </w:lvl>
    <w:lvl w:ilvl="8">
      <w:lvlJc w:val="right"/>
      <w:numFmt w:val="lowerRoman"/>
      <w:start w:val="1"/>
      <w:suff w:val="tab"/>
      <w:pPr>
        <w:ind w:left="6480" w:hanging="180"/>
        <w:tabs>
          <w:tab w:val="left" w:pos="6480"/>
        </w:tabs>
        <w:rPr/>
      </w:p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bullet"/>
      <w:start w:val="1"/>
      <w:suff w:val="tab"/>
      <w:pPr>
        <w:ind w:left="1185" w:hanging="480"/>
        <w:rPr/>
      </w:pPr>
      <w:rPr>
        <w:rFonts w:ascii="Wingdings" w:hAnsi="Wingdings" w:hint="default"/>
      </w:rPr>
      <w:lvlText w:val=""/>
    </w:lvl>
    <w:lvl w:ilvl="1">
      <w:lvlJc w:val="left"/>
      <w:numFmt w:val="bullet"/>
      <w:start w:val="1"/>
      <w:suff w:val="tab"/>
      <w:pPr>
        <w:ind w:left="1665" w:hanging="480"/>
        <w:rPr/>
      </w:pPr>
      <w:rPr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2145" w:hanging="480"/>
        <w:rPr/>
      </w:pPr>
      <w:rPr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625" w:hanging="480"/>
        <w:rPr/>
      </w:pPr>
      <w:rPr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3105" w:hanging="480"/>
        <w:rPr/>
      </w:pPr>
      <w:rPr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3585" w:hanging="480"/>
        <w:rPr/>
      </w:pPr>
      <w:rPr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4065" w:hanging="480"/>
        <w:rPr/>
      </w:pPr>
      <w:rPr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4545" w:hanging="480"/>
        <w:rPr/>
      </w:pPr>
      <w:rPr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5025" w:hanging="480"/>
        <w:rPr/>
      </w:pPr>
      <w:rPr>
        <w:rFonts w:ascii="Wingdings" w:hAnsi="Wingdings" w:hint="default"/>
      </w:rPr>
      <w:lvlText w:val="u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</w:abstractNum>
  <w:abstractNum w:abstractNumId="3">
    <w:multiLevelType w:val="multilevel"/>
    <w:nsid w:val="2F000003"/>
    <w:tmpl w:val="1F0033C2"/>
    <w:lvl w:ilvl="0">
      <w:lvlJc w:val="left"/>
      <w:numFmt w:val="lowerRoman"/>
      <w:start w:val="1"/>
      <w:suff w:val="tab"/>
      <w:pPr>
        <w:ind w:left="624" w:hanging="624"/>
        <w:tabs>
          <w:tab w:val="left" w:pos="624"/>
        </w:tabs>
        <w:rPr/>
      </w:pPr>
      <w:rPr>
        <w:i w:val="0"/>
        <w:b w:val="0"/>
        <w:sz w:val="18"/>
        <w:szCs w:val="18"/>
      </w:rPr>
      <w:lvlText w:val="(%1)"/>
    </w:lvl>
    <w:lvl w:ilvl="1">
      <w:lvlJc w:val="left"/>
      <w:numFmt w:val="lowerRoman"/>
      <w:start w:val="1"/>
      <w:suff w:val="tab"/>
      <w:pPr>
        <w:ind w:left="1417" w:hanging="793"/>
        <w:tabs>
          <w:tab w:val="left" w:pos="1417"/>
        </w:tabs>
        <w:rPr/>
      </w:pPr>
      <w:rPr>
        <w:i w:val="0"/>
        <w:b w:val="0"/>
        <w:sz w:val="18"/>
        <w:szCs w:val="18"/>
      </w:rPr>
      <w:lvlText w:val="(%2)"/>
    </w:lvl>
    <w:lvl w:ilvl="2">
      <w:lvlJc w:val="left"/>
      <w:numFmt w:val="lowerRoman"/>
      <w:start w:val="1"/>
      <w:suff w:val="tab"/>
      <w:pPr>
        <w:ind w:left="1928" w:hanging="511"/>
        <w:tabs>
          <w:tab w:val="left" w:pos="1928"/>
        </w:tabs>
        <w:rPr/>
      </w:pPr>
      <w:rPr>
        <w:i w:val="0"/>
        <w:b w:val="0"/>
        <w:sz w:val="18"/>
        <w:szCs w:val="18"/>
      </w:rPr>
      <w:lvlText w:val="(%3)"/>
    </w:lvl>
    <w:lvl w:ilvl="3">
      <w:lvlJc w:val="left"/>
      <w:numFmt w:val="decimal"/>
      <w:start w:val="1"/>
      <w:suff w:val="tab"/>
      <w:pPr>
        <w:ind w:left="2438" w:hanging="510"/>
        <w:tabs>
          <w:tab w:val="left" w:pos="2438"/>
        </w:tabs>
        <w:rPr/>
      </w:pPr>
      <w:rPr>
        <w:i w:val="0"/>
        <w:b w:val="0"/>
        <w:sz w:val="20"/>
        <w:szCs w:val="20"/>
      </w:rPr>
      <w:lvlText w:val="(%4)"/>
    </w:lvl>
    <w:lvl w:ilvl="4">
      <w:lvlJc w:val="left"/>
      <w:numFmt w:val="bullet"/>
      <w:start w:val="1"/>
      <w:suff w:val="nothing"/>
      <w:pPr>
        <w:ind w:firstLine="0"/>
        <w:rPr/>
      </w:pPr>
      <w:lvlText w:val=""/>
    </w:lvl>
    <w:lvl w:ilvl="5">
      <w:lvlJc w:val="left"/>
      <w:numFmt w:val="bullet"/>
      <w:start w:val="1"/>
      <w:suff w:val="nothing"/>
      <w:pPr>
        <w:ind w:firstLine="0"/>
        <w:rPr/>
      </w:pPr>
      <w:lvlText w:val=""/>
    </w:lvl>
    <w:lvl w:ilvl="6">
      <w:lvlJc w:val="left"/>
      <w:numFmt w:val="bullet"/>
      <w:start w:val="1"/>
      <w:suff w:val="nothing"/>
      <w:pPr>
        <w:ind w:firstLine="0"/>
        <w:rPr/>
      </w:pPr>
      <w:lvlText w:val=""/>
    </w:lvl>
    <w:lvl w:ilvl="7">
      <w:lvlJc w:val="left"/>
      <w:numFmt w:val="bullet"/>
      <w:start w:val="1"/>
      <w:suff w:val="nothing"/>
      <w:pPr>
        <w:ind w:firstLine="0"/>
        <w:rPr/>
      </w:pPr>
      <w:lvlText w:val=""/>
    </w:lvl>
    <w:lvl w:ilvl="8">
      <w:lvlJc w:val="left"/>
      <w:numFmt w:val="bullet"/>
      <w:start w:val="1"/>
      <w:suff w:val="nothing"/>
      <w:pPr>
        <w:ind w:firstLine="0"/>
        <w:rPr/>
      </w:pPr>
      <w:lvlText w:val=""/>
    </w:lvl>
  </w:abstractNum>
  <w:abstractNum w:abstractNumId="4">
    <w:multiLevelType w:val="multilevel"/>
    <w:nsid w:val="2F000004"/>
    <w:tmpl w:val="1F002570"/>
    <w:lvl w:ilvl="0">
      <w:lvlJc w:val="left"/>
      <w:numFmt w:val="lowerLetter"/>
      <w:start w:val="1"/>
      <w:suff w:val="tab"/>
      <w:pPr>
        <w:ind w:left="624" w:hanging="624"/>
        <w:tabs>
          <w:tab w:val="left" w:pos="624"/>
        </w:tabs>
        <w:rPr/>
      </w:pPr>
      <w:rPr>
        <w:i w:val="0"/>
        <w:b w:val="0"/>
        <w:sz w:val="20"/>
        <w:szCs w:val="20"/>
      </w:rPr>
      <w:lvlText w:val="(%1)"/>
    </w:lvl>
    <w:lvl w:ilvl="1">
      <w:lvlJc w:val="left"/>
      <w:numFmt w:val="lowerLetter"/>
      <w:start w:val="1"/>
      <w:suff w:val="tab"/>
      <w:pPr>
        <w:ind w:left="1417" w:hanging="793"/>
        <w:tabs>
          <w:tab w:val="left" w:pos="1417"/>
        </w:tabs>
        <w:rPr/>
      </w:pPr>
      <w:rPr>
        <w:i w:val="0"/>
        <w:b w:val="0"/>
        <w:sz w:val="20"/>
        <w:szCs w:val="20"/>
      </w:rPr>
      <w:lvlText w:val="(%2)"/>
    </w:lvl>
    <w:lvl w:ilvl="2">
      <w:lvlJc w:val="left"/>
      <w:numFmt w:val="lowerLetter"/>
      <w:start w:val="1"/>
      <w:suff w:val="tab"/>
      <w:pPr>
        <w:ind w:left="1928" w:hanging="511"/>
        <w:tabs>
          <w:tab w:val="left" w:pos="1928"/>
        </w:tabs>
        <w:rPr/>
      </w:pPr>
      <w:rPr>
        <w:i w:val="0"/>
        <w:b w:val="0"/>
        <w:sz w:val="20"/>
        <w:szCs w:val="20"/>
      </w:rPr>
      <w:lvlText w:val="(%3)"/>
    </w:lvl>
    <w:lvl w:ilvl="3">
      <w:lvlJc w:val="left"/>
      <w:numFmt w:val="decimal"/>
      <w:start w:val="1"/>
      <w:suff w:val="tab"/>
      <w:pPr>
        <w:ind w:left="2154" w:hanging="510"/>
        <w:tabs>
          <w:tab w:val="left" w:pos="2154"/>
        </w:tabs>
        <w:rPr/>
      </w:pPr>
      <w:rPr>
        <w:i w:val="0"/>
        <w:b w:val="0"/>
        <w:sz w:val="20"/>
        <w:szCs w:val="20"/>
      </w:rPr>
      <w:lvlText w:val="(%4)"/>
    </w:lvl>
    <w:lvl w:ilvl="4">
      <w:lvlJc w:val="left"/>
      <w:numFmt w:val="bullet"/>
      <w:start w:val="1"/>
      <w:suff w:val="nothing"/>
      <w:pPr>
        <w:ind w:firstLine="0"/>
        <w:rPr/>
      </w:pPr>
      <w:lvlText w:val=""/>
    </w:lvl>
    <w:lvl w:ilvl="5">
      <w:lvlJc w:val="left"/>
      <w:numFmt w:val="bullet"/>
      <w:start w:val="1"/>
      <w:suff w:val="nothing"/>
      <w:pPr>
        <w:ind w:firstLine="0"/>
        <w:rPr/>
      </w:pPr>
      <w:lvlText w:val=""/>
    </w:lvl>
    <w:lvl w:ilvl="6">
      <w:lvlJc w:val="left"/>
      <w:numFmt w:val="bullet"/>
      <w:start w:val="1"/>
      <w:suff w:val="nothing"/>
      <w:pPr>
        <w:ind w:firstLine="0"/>
        <w:rPr/>
      </w:pPr>
      <w:lvlText w:val=""/>
    </w:lvl>
    <w:lvl w:ilvl="7">
      <w:lvlJc w:val="left"/>
      <w:numFmt w:val="bullet"/>
      <w:start w:val="1"/>
      <w:suff w:val="nothing"/>
      <w:pPr>
        <w:ind w:firstLine="0"/>
        <w:rPr/>
      </w:pPr>
      <w:lvlText w:val=""/>
    </w:lvl>
    <w:lvl w:ilvl="8">
      <w:lvlJc w:val="left"/>
      <w:numFmt w:val="bullet"/>
      <w:start w:val="1"/>
      <w:suff w:val="nothing"/>
      <w:pPr>
        <w:ind w:firstLine="0"/>
        <w:rPr/>
      </w:pPr>
      <w:lvlText w:val=""/>
    </w:lvl>
  </w:abstractNum>
  <w:abstractNum w:abstractNumId="5">
    <w:multiLevelType w:val="hybridMultilevel"/>
    <w:nsid w:val="2F000005"/>
    <w:tmpl w:val="1F001EB6"/>
    <w:lvl w:ilvl="0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1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2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3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4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5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6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7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  <w:lvl w:ilvl="8">
      <w:lvlJc w:val="left"/>
      <w:numFmt w:val="bullet"/>
      <w:start w:val="1"/>
      <w:suff w:val="tab"/>
      <w:pPr>
        <w:ind w:left="216" w:hanging="216"/>
        <w:tabs>
          <w:tab w:val="left" w:pos="360"/>
        </w:tabs>
        <w:rPr/>
      </w:pPr>
      <w:rPr>
        <w:rFonts w:ascii="Wingdings" w:hAnsi="Wingdings" w:hint="default"/>
      </w:rPr>
      <w:lvlText w:val="þ"/>
    </w:lvl>
  </w:abstractNum>
  <w:abstractNum w:abstractNumId="6">
    <w:multiLevelType w:val="hybridMultilevel"/>
    <w:nsid w:val="2F000006"/>
    <w:tmpl w:val="1F00166B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</w:abstractNum>
  <w:abstractNum w:abstractNumId="7">
    <w:multiLevelType w:val="hybridMultilevel"/>
    <w:nsid w:val="2F000007"/>
    <w:tmpl w:val="1F003957"/>
    <w:lvl w:ilvl="0">
      <w:lvlJc w:val="left"/>
      <w:numFmt w:val="lowerRoman"/>
      <w:start w:val="1"/>
      <w:suff w:val="tab"/>
      <w:pPr>
        <w:ind w:left="720" w:hanging="720"/>
        <w:rPr/>
      </w:pPr>
      <w:rPr>
        <w:rFonts w:hint="default"/>
      </w:rPr>
      <w:lvlText w:val="(%1)"/>
    </w:lvl>
    <w:lvl w:ilvl="1">
      <w:lvlJc w:val="left"/>
      <w:numFmt w:val="ideographTraditional"/>
      <w:start w:val="1"/>
      <w:suff w:val="tab"/>
      <w:pPr>
        <w:ind w:left="960" w:hanging="480"/>
        <w:rPr/>
      </w:pPr>
      <w:lvlText w:val="%2、"/>
    </w:lvl>
    <w:lvl w:ilvl="2">
      <w:lvlJc w:val="right"/>
      <w:numFmt w:val="lowerRoman"/>
      <w:start w:val="1"/>
      <w:suff w:val="tab"/>
      <w:pPr>
        <w:ind w:left="1440" w:hanging="480"/>
        <w:rPr/>
      </w:pPr>
      <w:lvlText w:val="%3."/>
    </w:lvl>
    <w:lvl w:ilvl="3">
      <w:lvlJc w:val="left"/>
      <w:numFmt w:val="decimal"/>
      <w:start w:val="1"/>
      <w:suff w:val="tab"/>
      <w:pPr>
        <w:ind w:left="1920" w:hanging="480"/>
        <w:rPr/>
      </w:pPr>
      <w:lvlText w:val="%4."/>
    </w:lvl>
    <w:lvl w:ilvl="4">
      <w:lvlJc w:val="left"/>
      <w:numFmt w:val="ideographTraditional"/>
      <w:start w:val="1"/>
      <w:suff w:val="tab"/>
      <w:pPr>
        <w:ind w:left="2400" w:hanging="480"/>
        <w:rPr/>
      </w:pPr>
      <w:lvlText w:val="%5、"/>
    </w:lvl>
    <w:lvl w:ilvl="5">
      <w:lvlJc w:val="right"/>
      <w:numFmt w:val="lowerRoman"/>
      <w:start w:val="1"/>
      <w:suff w:val="tab"/>
      <w:pPr>
        <w:ind w:left="2880" w:hanging="480"/>
        <w:rPr/>
      </w:pPr>
      <w:lvlText w:val="%6."/>
    </w:lvl>
    <w:lvl w:ilvl="6">
      <w:lvlJc w:val="left"/>
      <w:numFmt w:val="decimal"/>
      <w:start w:val="1"/>
      <w:suff w:val="tab"/>
      <w:pPr>
        <w:ind w:left="3360" w:hanging="480"/>
        <w:rPr/>
      </w:pPr>
      <w:lvlText w:val="%7."/>
    </w:lvl>
    <w:lvl w:ilvl="7">
      <w:lvlJc w:val="left"/>
      <w:numFmt w:val="ideographTraditional"/>
      <w:start w:val="1"/>
      <w:suff w:val="tab"/>
      <w:pPr>
        <w:ind w:left="3840" w:hanging="480"/>
        <w:rPr/>
      </w:pPr>
      <w:lvlText w:val="%8、"/>
    </w:lvl>
    <w:lvl w:ilvl="8">
      <w:lvlJc w:val="right"/>
      <w:numFmt w:val="lowerRoman"/>
      <w:start w:val="1"/>
      <w:suff w:val="tab"/>
      <w:pPr>
        <w:ind w:left="4320" w:hanging="480"/>
        <w:rPr/>
      </w:pPr>
      <w:lvlText w:val="%9."/>
    </w:lvl>
  </w:abstractNum>
  <w:abstractNum w:abstractNumId="8">
    <w:multiLevelType w:val="hybridMultilevel"/>
    <w:nsid w:val="2F000008"/>
    <w:tmpl w:val="1F0034A9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</w:abstractNum>
  <w:abstractNum w:abstractNumId="9">
    <w:multiLevelType w:val="hybridMultilevel"/>
    <w:nsid w:val="2F000009"/>
    <w:tmpl w:val="1F002FC8"/>
    <w:lvl w:ilvl="0">
      <w:lvlJc w:val="left"/>
      <w:numFmt w:val="decimal"/>
      <w:start w:val="1"/>
      <w:suff w:val="tab"/>
      <w:pPr>
        <w:ind w:left="360" w:hanging="360"/>
        <w:rPr/>
      </w:pPr>
      <w:rPr>
        <w:rFonts w:hint="default"/>
      </w:rPr>
      <w:lvlText w:val="%1."/>
    </w:lvl>
    <w:lvl w:ilvl="1">
      <w:lvlJc w:val="left"/>
      <w:numFmt w:val="lowerLetter"/>
      <w:start w:val="1"/>
      <w:suff w:val="tab"/>
      <w:pPr>
        <w:ind w:left="840" w:hanging="420"/>
        <w:rPr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rPr/>
      </w:pPr>
      <w:lvlText w:val="%3."/>
    </w:lvl>
    <w:lvl w:ilvl="3">
      <w:lvlJc w:val="left"/>
      <w:numFmt w:val="decimal"/>
      <w:start w:val="1"/>
      <w:suff w:val="tab"/>
      <w:pPr>
        <w:ind w:left="1680" w:hanging="420"/>
        <w:rPr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rPr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rPr/>
      </w:pPr>
      <w:lvlText w:val="%6."/>
    </w:lvl>
    <w:lvl w:ilvl="6">
      <w:lvlJc w:val="left"/>
      <w:numFmt w:val="decimal"/>
      <w:start w:val="1"/>
      <w:suff w:val="tab"/>
      <w:pPr>
        <w:ind w:left="2940" w:hanging="420"/>
        <w:rPr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rPr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rPr/>
      </w:pPr>
      <w:lvlText w:val="%9."/>
    </w:lvl>
  </w:abstractNum>
  <w:abstractNum w:abstractNumId="10">
    <w:multiLevelType w:val="hybridMultilevel"/>
    <w:nsid w:val="2F00000A"/>
    <w:tmpl w:val="1F000B24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tabs>
          <w:tab w:val="left" w:pos="1440"/>
        </w:tabs>
        <w:rPr/>
      </w:pPr>
      <w:lvlText w:val="%2."/>
    </w:lvl>
    <w:lvl w:ilvl="2">
      <w:lvlJc w:val="right"/>
      <w:numFmt w:val="lowerRoman"/>
      <w:start w:val="1"/>
      <w:suff w:val="tab"/>
      <w:pPr>
        <w:ind w:left="2160" w:hanging="180"/>
        <w:tabs>
          <w:tab w:val="left" w:pos="2160"/>
        </w:tabs>
        <w:rPr/>
      </w:p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lvlText w:val="%4."/>
    </w:lvl>
    <w:lvl w:ilvl="4">
      <w:lvlJc w:val="left"/>
      <w:numFmt w:val="lowerLetter"/>
      <w:start w:val="1"/>
      <w:suff w:val="tab"/>
      <w:pPr>
        <w:ind w:left="3600" w:hanging="360"/>
        <w:tabs>
          <w:tab w:val="left" w:pos="3600"/>
        </w:tabs>
        <w:rPr/>
      </w:pPr>
      <w:lvlText w:val="%5."/>
    </w:lvl>
    <w:lvl w:ilvl="5">
      <w:lvlJc w:val="right"/>
      <w:numFmt w:val="lowerRoman"/>
      <w:start w:val="1"/>
      <w:suff w:val="tab"/>
      <w:pPr>
        <w:ind w:left="4320" w:hanging="180"/>
        <w:tabs>
          <w:tab w:val="left" w:pos="4320"/>
        </w:tabs>
        <w:rPr/>
      </w:p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lvlText w:val="%7."/>
    </w:lvl>
    <w:lvl w:ilvl="7">
      <w:lvlJc w:val="left"/>
      <w:numFmt w:val="lowerLetter"/>
      <w:start w:val="1"/>
      <w:suff w:val="tab"/>
      <w:pPr>
        <w:ind w:left="5760" w:hanging="360"/>
        <w:tabs>
          <w:tab w:val="left" w:pos="5760"/>
        </w:tabs>
        <w:rPr/>
      </w:pPr>
      <w:lvlText w:val="%8."/>
    </w:lvl>
    <w:lvl w:ilvl="8">
      <w:lvlJc w:val="right"/>
      <w:numFmt w:val="lowerRoman"/>
      <w:start w:val="1"/>
      <w:suff w:val="tab"/>
      <w:pPr>
        <w:ind w:left="6480" w:hanging="180"/>
        <w:tabs>
          <w:tab w:val="left" w:pos="6480"/>
        </w:tabs>
        <w:rPr/>
      </w:pPr>
      <w:lvlText w:val="%9."/>
    </w:lvl>
  </w:abstractNum>
  <w:abstractNum w:abstractNumId="11">
    <w:multiLevelType w:val="hybridMultilevel"/>
    <w:nsid w:val="2F00000B"/>
    <w:tmpl w:val="1F0036F8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rFonts w:hint="eastAsia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tabs>
          <w:tab w:val="left" w:pos="1440"/>
        </w:tabs>
        <w:rPr/>
      </w:pPr>
      <w:lvlText w:val="%2."/>
    </w:lvl>
    <w:lvl w:ilvl="2">
      <w:lvlJc w:val="right"/>
      <w:numFmt w:val="lowerRoman"/>
      <w:start w:val="1"/>
      <w:suff w:val="tab"/>
      <w:pPr>
        <w:ind w:left="2160" w:hanging="180"/>
        <w:tabs>
          <w:tab w:val="left" w:pos="2160"/>
        </w:tabs>
        <w:rPr/>
      </w:pPr>
      <w:lvlText w:val="%3."/>
    </w:lvl>
    <w:lvl w:ilvl="3">
      <w:lvlJc w:val="left"/>
      <w:numFmt w:val="decimal"/>
      <w:start w:val="1"/>
      <w:suff w:val="tab"/>
      <w:pPr>
        <w:ind w:left="2880" w:hanging="360"/>
        <w:tabs>
          <w:tab w:val="left" w:pos="2880"/>
        </w:tabs>
        <w:rPr/>
      </w:pPr>
      <w:lvlText w:val="%4."/>
    </w:lvl>
    <w:lvl w:ilvl="4">
      <w:lvlJc w:val="left"/>
      <w:numFmt w:val="lowerLetter"/>
      <w:start w:val="1"/>
      <w:suff w:val="tab"/>
      <w:pPr>
        <w:ind w:left="3600" w:hanging="360"/>
        <w:tabs>
          <w:tab w:val="left" w:pos="3600"/>
        </w:tabs>
        <w:rPr/>
      </w:pPr>
      <w:lvlText w:val="%5."/>
    </w:lvl>
    <w:lvl w:ilvl="5">
      <w:lvlJc w:val="right"/>
      <w:numFmt w:val="lowerRoman"/>
      <w:start w:val="1"/>
      <w:suff w:val="tab"/>
      <w:pPr>
        <w:ind w:left="4320" w:hanging="180"/>
        <w:tabs>
          <w:tab w:val="left" w:pos="4320"/>
        </w:tabs>
        <w:rPr/>
      </w:pPr>
      <w:lvlText w:val="%6."/>
    </w:lvl>
    <w:lvl w:ilvl="6">
      <w:lvlJc w:val="left"/>
      <w:numFmt w:val="decimal"/>
      <w:start w:val="1"/>
      <w:suff w:val="tab"/>
      <w:pPr>
        <w:ind w:left="5040" w:hanging="360"/>
        <w:tabs>
          <w:tab w:val="left" w:pos="5040"/>
        </w:tabs>
        <w:rPr/>
      </w:pPr>
      <w:lvlText w:val="%7."/>
    </w:lvl>
    <w:lvl w:ilvl="7">
      <w:lvlJc w:val="left"/>
      <w:numFmt w:val="lowerLetter"/>
      <w:start w:val="1"/>
      <w:suff w:val="tab"/>
      <w:pPr>
        <w:ind w:left="5760" w:hanging="360"/>
        <w:tabs>
          <w:tab w:val="left" w:pos="5760"/>
        </w:tabs>
        <w:rPr/>
      </w:pPr>
      <w:lvlText w:val="%8."/>
    </w:lvl>
    <w:lvl w:ilvl="8">
      <w:lvlJc w:val="right"/>
      <w:numFmt w:val="lowerRoman"/>
      <w:start w:val="1"/>
      <w:suff w:val="tab"/>
      <w:pPr>
        <w:ind w:left="6480" w:hanging="180"/>
        <w:tabs>
          <w:tab w:val="left" w:pos="6480"/>
        </w:tabs>
        <w:rPr/>
      </w:pPr>
      <w:lvlText w:val="%9.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rFonts w:ascii="Times New Roman" w:eastAsia="PMingLiU" w:hAnsi="Times New Roman" w:cs="Times New Roman"/>
      </w:rPr>
    </w:rPrDefault>
  </w:docDefaults>
  <w:style w:default="1" w:styleId="PO1" w:type="paragraph">
    <w:name w:val="Normal"/>
    <w:qFormat/>
    <w:uiPriority w:val="1"/>
    <w:pPr>
      <w:rPr/>
    </w:pPr>
    <w:rPr>
      <w:sz w:val="24"/>
      <w:szCs w:val="24"/>
    </w:rPr>
  </w:style>
  <w:style w:default="1" w:styleId="PO2" w:type="character">
    <w:name w:val="Default Paragraph Font"/>
    <w:link w:val="PO-1"/>
    <w:uiPriority w:val="2"/>
    <w:semiHidden/>
  </w:style>
  <w:style w:default="1" w:styleId="PO3" w:type="table">
    <w:name w:val="Normal Table"/>
    <w:uiPriority w:val="3"/>
    <w:semiHidden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</w:style>
  <w:style w:styleId="PO7" w:type="paragraph">
    <w:name w:val="heading 1"/>
    <w:basedOn w:val="PO1"/>
    <w:qFormat/>
    <w:uiPriority w:val="7"/>
    <w:pPr>
      <w:spacing w:before="100" w:beforeAutospacing="1" w:afterAutospacing="1" w:after="100"/>
      <w:rPr/>
    </w:pPr>
    <w:rPr>
      <w:b w:val="1"/>
      <w:sz w:val="48"/>
      <w:szCs w:val="48"/>
    </w:rPr>
  </w:style>
  <w:style w:styleId="PO8" w:type="paragraph">
    <w:name w:val="heading 2"/>
    <w:basedOn w:val="PO1"/>
    <w:next w:val="PO1"/>
    <w:qFormat/>
    <w:uiPriority w:val="8"/>
    <w:pPr>
      <w:spacing w:before="240" w:after="60"/>
      <w:rPr/>
      <w:outlineLvl w:val="0"/>
    </w:pPr>
    <w:rPr>
      <w:i w:val="1"/>
      <w:b w:val="1"/>
      <w:sz w:val="28"/>
      <w:szCs w:val="28"/>
      <w:rFonts w:ascii="Arial" w:hAnsi="Arial" w:cs="Arial"/>
    </w:rPr>
  </w:style>
  <w:style w:styleId="PO9" w:type="paragraph">
    <w:name w:val="heading 3"/>
    <w:basedOn w:val="PO1"/>
    <w:next w:val="PO1"/>
    <w:qFormat/>
    <w:uiPriority w:val="9"/>
    <w:pPr>
      <w:jc w:val="right"/>
      <w:ind w:left="450" w:hanging="450"/>
      <w:tabs>
        <w:tab w:val="left" w:pos="450"/>
      </w:tabs>
      <w:rPr/>
      <w:outlineLvl w:val="1"/>
    </w:pPr>
    <w:rPr>
      <w:b w:val="1"/>
      <w:sz w:val="22"/>
      <w:szCs w:val="22"/>
    </w:rPr>
  </w:style>
  <w:style w:styleId="PO20" w:type="character">
    <w:name w:val="Strong"/>
    <w:qFormat/>
    <w:uiPriority w:val="20"/>
    <w:rPr>
      <w:b w:val="1"/>
    </w:rPr>
  </w:style>
  <w:style w:styleId="PO26" w:type="paragraph">
    <w:name w:val="List Paragraph"/>
    <w:basedOn w:val="PO1"/>
    <w:qFormat/>
    <w:uiPriority w:val="26"/>
    <w:pPr>
      <w:ind w:left="480" w:firstLine="0"/>
      <w:rPr/>
    </w:pPr>
  </w:style>
  <w:style w:styleId="PO37" w:type="table">
    <w:name w:val="Table Grid"/>
    <w:basedOn w:val="PO3"/>
    <w:uiPriority w:val="37"/>
    <w:pPr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customStyle="1" w:styleId="PO151" w:type="paragraph">
    <w:name w:val=" Char1 Char Char"/>
    <w:basedOn w:val="PO1"/>
    <w:link w:val="PO-1"/>
    <w:uiPriority w:val="151"/>
    <w:pPr>
      <w:spacing w:lineRule="exact" w:line="240" w:after="160"/>
      <w:rPr/>
    </w:pPr>
    <w:rPr>
      <w:sz w:val="20"/>
      <w:szCs w:val="20"/>
      <w:rFonts w:ascii="Verdana" w:eastAsia="Times New Roman" w:hAnsi="Verdana"/>
    </w:rPr>
  </w:style>
  <w:style w:customStyle="1" w:styleId="PO152" w:type="paragraph">
    <w:name w:val="10pt"/>
    <w:uiPriority w:val="152"/>
    <w:pPr>
      <w:jc w:val="both"/>
      <w:spacing w:lineRule="atLeast" w:line="200"/>
      <w:rPr/>
      <w:autoSpaceDE w:val="0"/>
      <w:autoSpaceDN w:val="0"/>
    </w:pPr>
    <w:rPr>
      <w:sz w:val="22"/>
      <w:szCs w:val="22"/>
      <w:rFonts w:ascii="TimesNewRomanPS" w:hAnsi="TimesNewRomanPS" w:cs="TimesNewRomanPS"/>
    </w:rPr>
  </w:style>
  <w:style w:customStyle="1" w:styleId="PO153" w:type="paragraph">
    <w:name w:val="∫ñ√D"/>
    <w:uiPriority w:val="153"/>
    <w:pPr>
      <w:jc w:val="both"/>
      <w:spacing w:lineRule="atLeast" w:line="300"/>
      <w:rPr/>
      <w:autoSpaceDE w:val="0"/>
      <w:autoSpaceDN w:val="0"/>
    </w:pPr>
    <w:rPr>
      <w:sz w:val="32"/>
      <w:szCs w:val="32"/>
      <w:rFonts w:ascii="TimesNewRomanPS Bold" w:hAnsi="TimesNewRomanPS Bold" w:cs="TimesNewRomanPS Bold"/>
    </w:rPr>
  </w:style>
  <w:style w:customStyle="1" w:styleId="PO154" w:type="paragraph">
    <w:name w:val="8pt"/>
    <w:uiPriority w:val="154"/>
    <w:pPr>
      <w:spacing w:lineRule="atLeast" w:line="160"/>
      <w:rPr/>
    </w:pPr>
    <w:rPr>
      <w:color w:val="auto"/>
    </w:rPr>
  </w:style>
  <w:style w:customStyle="1" w:styleId="PO155" w:type="paragraph">
    <w:name w:val="ß_ß¬"/>
    <w:uiPriority w:val="155"/>
    <w:pPr>
      <w:jc w:val="both"/>
      <w:spacing w:lineRule="atLeast" w:line="300"/>
      <w:rPr/>
      <w:autoSpaceDE w:val="0"/>
      <w:autoSpaceDN w:val="0"/>
    </w:pPr>
    <w:rPr>
      <w:color w:val="000000"/>
      <w:sz w:val="22"/>
      <w:szCs w:val="22"/>
      <w:rFonts w:ascii="TimesNewRomanPS" w:hAnsi="TimesNewRomanPS" w:cs="TimesNewRomanPS"/>
    </w:rPr>
  </w:style>
  <w:style w:customStyle="1" w:styleId="PO156" w:type="paragraph">
    <w:name w:val="ô˛µ˘ß_ß¬"/>
    <w:basedOn w:val="PO155"/>
    <w:uiPriority w:val="156"/>
    <w:pPr>
      <w:jc w:val="left"/>
      <w:rPr/>
    </w:pPr>
    <w:rPr>
      <w:color w:val="auto"/>
      <w:sz w:val="20"/>
      <w:szCs w:val="20"/>
    </w:rPr>
  </w:style>
  <w:style w:customStyle="1" w:styleId="PO157" w:type="paragraph">
    <w:name w:val="_∆∫ñ√D"/>
    <w:basedOn w:val="PO155"/>
    <w:uiPriority w:val="157"/>
    <w:rPr>
      <w:color w:val="auto"/>
      <w:sz w:val="26"/>
      <w:szCs w:val="26"/>
      <w:rFonts w:ascii="TimesNewRomanPS Bold" w:hAnsi="TimesNewRomanPS Bold" w:cs="TimesNewRomanPS Bold"/>
    </w:rPr>
  </w:style>
  <w:style w:customStyle="1" w:styleId="PO158" w:type="paragraph">
    <w:name w:val="ïD∫ñ√D"/>
    <w:basedOn w:val="PO155"/>
    <w:uiPriority w:val="158"/>
    <w:pPr>
      <w:spacing w:lineRule="atLeast" w:line="360"/>
      <w:pBdr>
        <w:top w:val="single" w:sz="2" w:space="0" w:color="000000"/>
        <w:bottom w:val="single" w:sz="2" w:space="0" w:color="000000"/>
        <w:between w:val="single" w:sz="2" w:space="0" w:color="000000"/>
      </w:pBdr>
      <w:rPr/>
    </w:pPr>
    <w:rPr>
      <w:color w:val="auto"/>
      <w:sz w:val="32"/>
      <w:szCs w:val="32"/>
      <w:rFonts w:ascii="TimesNewRomanPS Bold" w:hAnsi="TimesNewRomanPS Bold" w:cs="TimesNewRomanPS Bold"/>
    </w:rPr>
  </w:style>
  <w:style w:styleId="PO159" w:type="paragraph">
    <w:name w:val="footer"/>
    <w:basedOn w:val="PO1"/>
    <w:uiPriority w:val="159"/>
    <w:pPr>
      <w:tabs>
        <w:tab w:val="center" w:pos="4153"/>
        <w:tab w:val="right" w:pos="8306"/>
      </w:tabs>
      <w:rPr/>
      <w:snapToGrid w:val="off"/>
    </w:pPr>
    <w:rPr>
      <w:sz w:val="20"/>
      <w:szCs w:val="20"/>
    </w:rPr>
  </w:style>
  <w:style w:styleId="PO160" w:type="character">
    <w:name w:val="page number"/>
    <w:basedOn w:val="PO2"/>
    <w:uiPriority w:val="160"/>
  </w:style>
  <w:style w:styleId="PO161" w:type="paragraph">
    <w:name w:val="header"/>
    <w:basedOn w:val="PO1"/>
    <w:uiPriority w:val="161"/>
    <w:pPr>
      <w:tabs>
        <w:tab w:val="center" w:pos="4153"/>
        <w:tab w:val="right" w:pos="8306"/>
      </w:tabs>
      <w:rPr/>
      <w:snapToGrid w:val="off"/>
    </w:pPr>
    <w:rPr>
      <w:sz w:val="20"/>
      <w:szCs w:val="20"/>
    </w:rPr>
  </w:style>
  <w:style w:styleId="PO162" w:type="paragraph">
    <w:name w:val="Normal (Web)"/>
    <w:basedOn w:val="PO1"/>
    <w:uiPriority w:val="162"/>
    <w:pPr>
      <w:spacing w:before="100" w:beforeAutospacing="1" w:afterAutospacing="1" w:after="100"/>
      <w:rPr/>
    </w:pPr>
    <w:rPr/>
  </w:style>
  <w:style w:styleId="PO163" w:type="character">
    <w:name w:val="Hyperlink"/>
    <w:uiPriority w:val="163"/>
    <w:rPr>
      <w:color w:val="0000FF"/>
      <w:u w:val="single"/>
    </w:rPr>
  </w:style>
  <w:style w:styleId="PO164" w:type="paragraph">
    <w:name w:val="Body Text Indent 3"/>
    <w:basedOn w:val="PO1"/>
    <w:uiPriority w:val="164"/>
    <w:pPr>
      <w:ind w:left="705" w:hanging="360"/>
      <w:rPr/>
    </w:pPr>
    <w:rPr>
      <w:sz w:val="20"/>
      <w:szCs w:val="20"/>
      <w:rFonts w:cs="Courier New"/>
    </w:rPr>
  </w:style>
  <w:style w:styleId="PO165" w:type="paragraph">
    <w:name w:val="Body Text Indent"/>
    <w:basedOn w:val="PO1"/>
    <w:uiPriority w:val="165"/>
    <w:pPr>
      <w:spacing w:after="120"/>
      <w:ind w:left="283" w:firstLine="0"/>
      <w:rPr/>
    </w:pPr>
  </w:style>
  <w:style w:customStyle="1" w:styleId="PO166" w:type="paragraph">
    <w:name w:val="Default"/>
    <w:uiPriority w:val="166"/>
    <w:pPr>
      <w:rPr/>
      <w:autoSpaceDE w:val="0"/>
      <w:autoSpaceDN w:val="0"/>
    </w:pPr>
    <w:rPr>
      <w:color w:val="000000"/>
      <w:sz w:val="24"/>
      <w:szCs w:val="24"/>
      <w:rFonts w:ascii="FMJJNB+Garamond" w:eastAsia="FMJJNB+Garamond" w:cs="FMJJNB+Garamond"/>
    </w:rPr>
  </w:style>
  <w:style w:customStyle="1" w:styleId="PO167" w:type="paragraph">
    <w:name w:val="Heading3"/>
    <w:basedOn w:val="PO1"/>
    <w:uiPriority w:val="167"/>
    <w:rPr>
      <w:b w:val="1"/>
      <w:sz w:val="28"/>
      <w:szCs w:val="28"/>
    </w:rPr>
  </w:style>
  <w:style w:styleId="PO168" w:type="character">
    <w:name w:val="FollowedHyperlink"/>
    <w:uiPriority w:val="168"/>
    <w:rPr>
      <w:color w:val="800080"/>
      <w:u w:val="single"/>
    </w:rPr>
  </w:style>
  <w:style w:styleId="PO169" w:type="paragraph">
    <w:name w:val="Body Text Indent 2"/>
    <w:basedOn w:val="PO1"/>
    <w:uiPriority w:val="169"/>
    <w:pPr>
      <w:spacing w:lineRule="auto" w:line="480" w:after="120"/>
      <w:ind w:left="283" w:firstLine="0"/>
      <w:rPr/>
    </w:pPr>
  </w:style>
  <w:style w:customStyle="1" w:styleId="PO170" w:type="paragraph">
    <w:name w:val="Text 8.5/11"/>
    <w:uiPriority w:val="170"/>
    <w:pPr>
      <w:jc w:val="both"/>
      <w:spacing w:lineRule="atLeast" w:line="220"/>
      <w:ind w:right="283" w:firstLine="0"/>
      <w:rPr/>
      <w:autoSpaceDE w:val="0"/>
      <w:autoSpaceDN w:val="0"/>
    </w:pPr>
    <w:rPr>
      <w:sz w:val="17"/>
      <w:szCs w:val="17"/>
      <w:rFonts w:ascii="宋＋45 Univers" w:eastAsia="宋＋45 Univers"/>
    </w:rPr>
  </w:style>
  <w:style w:customStyle="1" w:styleId="PO171" w:type="paragraph">
    <w:name w:val="Body Text 21"/>
    <w:basedOn w:val="PO1"/>
    <w:uiPriority w:val="171"/>
    <w:pPr>
      <w:jc w:val="both"/>
      <w:ind w:left="720" w:firstLine="0"/>
      <w:rPr/>
    </w:pPr>
    <w:rPr>
      <w:rFonts w:ascii="CG Times (W1)" w:hAnsi="CG Times (W1)"/>
    </w:rPr>
  </w:style>
  <w:style w:customStyle="1" w:styleId="PO172" w:type="character">
    <w:name w:val="verd_black13b"/>
    <w:basedOn w:val="PO2"/>
    <w:uiPriority w:val="172"/>
  </w:style>
  <w:style w:customStyle="1" w:styleId="PO173" w:type="character">
    <w:name w:val="verd_grey13b"/>
    <w:basedOn w:val="PO2"/>
    <w:uiPriority w:val="173"/>
  </w:style>
  <w:style w:customStyle="1" w:styleId="PO174" w:type="character">
    <w:name w:val="verd_black12"/>
    <w:basedOn w:val="PO2"/>
    <w:uiPriority w:val="174"/>
  </w:style>
  <w:style w:styleId="PO175" w:type="paragraph">
    <w:name w:val="Plain Text"/>
    <w:basedOn w:val="PO1"/>
    <w:uiPriority w:val="175"/>
    <w:pPr>
      <w:rPr/>
    </w:pPr>
    <w:rPr>
      <w:sz w:val="20"/>
      <w:szCs w:val="20"/>
      <w:rFonts w:ascii="Courier New" w:hAnsi="Courier New"/>
    </w:rPr>
  </w:style>
  <w:style w:styleId="PO176" w:type="paragraph">
    <w:name w:val="Normal Indent"/>
    <w:basedOn w:val="PO1"/>
    <w:uiPriority w:val="176"/>
    <w:pPr>
      <w:ind w:left="480" w:firstLine="0"/>
      <w:rPr/>
    </w:pPr>
    <w:rPr/>
  </w:style>
  <w:style w:customStyle="1" w:styleId="PO177" w:type="paragraph">
    <w:name w:val=" 字元 字元 字元 Char 字元 字元 Char Char Char Char Char Char"/>
    <w:basedOn w:val="PO1"/>
    <w:uiPriority w:val="177"/>
    <w:pPr>
      <w:spacing w:lineRule="exact" w:line="240" w:after="160"/>
      <w:rPr/>
    </w:pPr>
    <w:rPr>
      <w:sz w:val="20"/>
      <w:szCs w:val="20"/>
      <w:rFonts w:ascii="Verdana" w:eastAsia="Times New Roman" w:hAnsi="Verdana"/>
    </w:rPr>
  </w:style>
  <w:style w:customStyle="1" w:styleId="PO178" w:type="paragraph">
    <w:name w:val="Tab 1"/>
    <w:basedOn w:val="PO170"/>
    <w:uiPriority w:val="178"/>
    <w:pPr>
      <w:ind w:right="0" w:left="566" w:hanging="566"/>
      <w:tabs>
        <w:tab w:val="left" w:pos="561"/>
      </w:tabs>
      <w:rPr/>
    </w:pPr>
    <w:rPr>
      <w:rFonts w:ascii="Univers 45 Light" w:eastAsia="PMingLiU" w:hAnsi="Univers 45 Light"/>
    </w:rPr>
  </w:style>
  <w:style w:customStyle="1" w:styleId="PO179" w:type="paragraph">
    <w:name w:val="Tab 2"/>
    <w:basedOn w:val="PO178"/>
    <w:uiPriority w:val="179"/>
    <w:pPr>
      <w:ind w:left="1020" w:hanging="454"/>
      <w:tabs>
        <w:tab w:val="clear" w:pos="561"/>
        <w:tab w:val="left" w:pos="1020"/>
      </w:tabs>
      <w:rPr/>
    </w:pPr>
  </w:style>
  <w:style w:customStyle="1" w:styleId="PO180" w:type="paragraph">
    <w:name w:val="Tab 3"/>
    <w:basedOn w:val="PO179"/>
    <w:uiPriority w:val="180"/>
    <w:pPr>
      <w:ind w:left="1474" w:firstLine="0"/>
      <w:tabs>
        <w:tab w:val="clear" w:pos="1020"/>
        <w:tab w:val="left" w:pos="1474"/>
      </w:tabs>
      <w:rPr/>
    </w:pPr>
  </w:style>
  <w:style w:styleId="PO181" w:type="paragraph">
    <w:name w:val="Body Text"/>
    <w:basedOn w:val="PO1"/>
    <w:uiPriority w:val="181"/>
    <w:pPr>
      <w:spacing w:after="120"/>
      <w:rPr/>
    </w:pPr>
  </w:style>
  <w:style w:customStyle="1" w:styleId="PO182" w:type="paragraph">
    <w:name w:val=" 字元 字元"/>
    <w:basedOn w:val="PO1"/>
    <w:uiPriority w:val="182"/>
    <w:pPr>
      <w:spacing w:lineRule="exact" w:line="240" w:after="160"/>
      <w:rPr/>
    </w:pPr>
    <w:rPr>
      <w:sz w:val="20"/>
      <w:szCs w:val="20"/>
      <w:rFonts w:ascii="Verdana" w:eastAsia="Times New Roman" w:hAnsi="Verdana"/>
    </w:rPr>
  </w:style>
  <w:style w:customStyle="1" w:styleId="PO183" w:type="paragraph">
    <w:name w:val="List Alpha 1"/>
    <w:basedOn w:val="PO1"/>
    <w:next w:val="PO181"/>
    <w:uiPriority w:val="183"/>
    <w:pPr>
      <w:numPr>
        <w:ilvl w:val="0"/>
        <w:numId w:val="5"/>
      </w:numPr>
      <w:jc w:val="both"/>
      <w:spacing w:lineRule="auto" w:line="288" w:after="200"/>
      <w:tabs>
        <w:tab w:val="left" w:pos="22"/>
      </w:tabs>
      <w:rPr/>
    </w:pPr>
    <w:rPr>
      <w:sz w:val="22"/>
      <w:szCs w:val="22"/>
      <w:rFonts w:ascii="CG Times" w:eastAsia="MS Mincho" w:hAnsi="CG Times"/>
    </w:rPr>
  </w:style>
  <w:style w:customStyle="1" w:styleId="PO184" w:type="paragraph">
    <w:name w:val="List Alpha 2"/>
    <w:basedOn w:val="PO1"/>
    <w:uiPriority w:val="184"/>
    <w:pPr>
      <w:numPr>
        <w:ilvl w:val="1"/>
        <w:numId w:val="5"/>
      </w:numPr>
      <w:jc w:val="both"/>
      <w:spacing w:lineRule="auto" w:line="288" w:after="200"/>
      <w:tabs>
        <w:tab w:val="left" w:pos="50"/>
      </w:tabs>
      <w:rPr/>
    </w:pPr>
    <w:rPr>
      <w:sz w:val="22"/>
      <w:szCs w:val="22"/>
      <w:rFonts w:ascii="CG Times" w:eastAsia="MS Mincho" w:hAnsi="CG Times"/>
    </w:rPr>
  </w:style>
  <w:style w:styleId="PO185" w:type="paragraph">
    <w:name w:val="Body Text 2"/>
    <w:basedOn w:val="PO1"/>
    <w:uiPriority w:val="185"/>
    <w:pPr>
      <w:spacing w:lineRule="auto" w:line="480" w:after="120"/>
      <w:rPr/>
    </w:pPr>
  </w:style>
  <w:style w:customStyle="1" w:styleId="PO186" w:type="paragraph">
    <w:name w:val="List Alpha 3"/>
    <w:basedOn w:val="PO1"/>
    <w:uiPriority w:val="186"/>
    <w:pPr>
      <w:numPr>
        <w:ilvl w:val="2"/>
        <w:numId w:val="5"/>
      </w:numPr>
      <w:jc w:val="both"/>
      <w:spacing w:lineRule="auto" w:line="288" w:after="200"/>
      <w:tabs>
        <w:tab w:val="left" w:pos="68"/>
      </w:tabs>
      <w:rPr/>
    </w:pPr>
    <w:rPr>
      <w:sz w:val="22"/>
      <w:szCs w:val="22"/>
      <w:rFonts w:ascii="CG Times" w:eastAsia="MS Mincho" w:hAnsi="CG Times"/>
    </w:rPr>
  </w:style>
  <w:style w:styleId="PO187" w:type="paragraph">
    <w:name w:val="Body Text 3"/>
    <w:basedOn w:val="PO1"/>
    <w:uiPriority w:val="187"/>
    <w:pPr>
      <w:spacing w:after="120"/>
      <w:rPr/>
    </w:pPr>
    <w:rPr>
      <w:sz w:val="16"/>
      <w:szCs w:val="16"/>
    </w:rPr>
  </w:style>
  <w:style w:customStyle="1" w:styleId="PO188" w:type="paragraph">
    <w:name w:val="List Roman 1"/>
    <w:basedOn w:val="PO1"/>
    <w:next w:val="PO181"/>
    <w:uiPriority w:val="188"/>
    <w:pPr>
      <w:numPr>
        <w:ilvl w:val="0"/>
        <w:numId w:val="6"/>
      </w:numPr>
      <w:jc w:val="both"/>
      <w:spacing w:lineRule="auto" w:line="288" w:after="200"/>
      <w:tabs>
        <w:tab w:val="left" w:pos="22"/>
      </w:tabs>
      <w:rPr/>
    </w:pPr>
    <w:rPr>
      <w:sz w:val="22"/>
      <w:szCs w:val="22"/>
      <w:rFonts w:ascii="CG Times" w:eastAsia="MS Mincho" w:hAnsi="CG Times"/>
    </w:rPr>
  </w:style>
  <w:style w:customStyle="1" w:styleId="PO189" w:type="paragraph">
    <w:name w:val="List Roman 2"/>
    <w:basedOn w:val="PO1"/>
    <w:next w:val="PO185"/>
    <w:uiPriority w:val="189"/>
    <w:pPr>
      <w:numPr>
        <w:ilvl w:val="1"/>
        <w:numId w:val="6"/>
      </w:numPr>
      <w:jc w:val="both"/>
      <w:spacing w:lineRule="auto" w:line="288" w:after="200"/>
      <w:tabs>
        <w:tab w:val="left" w:pos="50"/>
      </w:tabs>
      <w:rPr/>
    </w:pPr>
    <w:rPr>
      <w:sz w:val="22"/>
      <w:szCs w:val="22"/>
      <w:rFonts w:ascii="CG Times" w:eastAsia="MS Mincho" w:hAnsi="CG Times"/>
    </w:rPr>
  </w:style>
  <w:style w:customStyle="1" w:styleId="PO190" w:type="paragraph">
    <w:name w:val="List Roman 3"/>
    <w:basedOn w:val="PO1"/>
    <w:next w:val="PO187"/>
    <w:uiPriority w:val="190"/>
    <w:pPr>
      <w:numPr>
        <w:ilvl w:val="2"/>
        <w:numId w:val="6"/>
      </w:numPr>
      <w:jc w:val="both"/>
      <w:spacing w:lineRule="auto" w:line="288" w:after="200"/>
      <w:tabs>
        <w:tab w:val="left" w:pos="68"/>
      </w:tabs>
      <w:rPr/>
    </w:pPr>
    <w:rPr>
      <w:sz w:val="22"/>
      <w:szCs w:val="22"/>
      <w:rFonts w:ascii="CG Times" w:eastAsia="MS Mincho" w:hAnsi="CG Times"/>
    </w:rPr>
  </w:style>
  <w:style w:styleId="PO191" w:type="paragraph">
    <w:name w:val="Balloon Text"/>
    <w:basedOn w:val="PO1"/>
    <w:link w:val="PO-1"/>
    <w:uiPriority w:val="191"/>
    <w:semiHidden/>
    <w:unhideWhenUsed/>
    <w:rPr>
      <w:sz w:val="16"/>
      <w:szCs w:val="16"/>
      <w:rFonts w:ascii="Cambria" w:hAnsi="Cambria"/>
    </w:rPr>
  </w:style>
  <w:style w:customStyle="1" w:styleId="PO192" w:type="character">
    <w:name w:val="批注框文本 Char"/>
    <w:link w:val="PO-1"/>
    <w:uiPriority w:val="192"/>
    <w:semiHidden/>
    <w:rPr>
      <w:sz w:val="16"/>
      <w:szCs w:val="16"/>
      <w:rFonts w:ascii="Cambria" w:eastAsia="PMingLiU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jpeg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12798</Characters>
  <CharactersWithSpaces>0</CharactersWithSpaces>
  <Company>TKGroup</Company>
  <DocSecurity>0</DocSecurity>
  <HyperlinksChanged>false</HyperlinksChanged>
  <Lines>90</Lines>
  <LinksUpToDate>false</LinksUpToDate>
  <Pages>10</Pages>
  <Paragraphs>25</Paragraphs>
  <Words>1913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AgnesHo</dc:creator>
  <cp:lastModifiedBy/>
  <dc:title>APPENDIX 8A</dc:title>
  <dcterms:modified xsi:type="dcterms:W3CDTF">2019-12-02T02:31:00Z</dcterms:modified>
</cp:coreProperties>
</file>