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2ACFD" w14:textId="0DD5BFD1" w:rsidR="00955CDD" w:rsidRPr="00920161" w:rsidRDefault="00955CDD" w:rsidP="00DB609F">
      <w:pPr>
        <w:pStyle w:val="bt"/>
        <w:spacing w:before="0" w:beforeAutospacing="0" w:after="160" w:afterAutospacing="0" w:line="212" w:lineRule="atLeast"/>
        <w:jc w:val="both"/>
        <w:rPr>
          <w:rFonts w:asciiTheme="minorHAnsi" w:hAnsiTheme="minorHAnsi" w:cstheme="minorHAnsi"/>
          <w:b/>
          <w:color w:val="000000"/>
          <w:sz w:val="22"/>
          <w:szCs w:val="22"/>
        </w:rPr>
      </w:pPr>
      <w:r w:rsidRPr="00920161">
        <w:rPr>
          <w:rFonts w:asciiTheme="minorHAnsi" w:hAnsiTheme="minorHAnsi" w:cstheme="minorHAnsi"/>
          <w:b/>
          <w:color w:val="000000"/>
          <w:sz w:val="22"/>
          <w:szCs w:val="22"/>
        </w:rPr>
        <w:t xml:space="preserve">NOT FOR RELEASE, PUBLICATION OR DISTRIBUTION, DIRECTLY OR INDIRECTLY, IN OR INTO </w:t>
      </w:r>
      <w:r w:rsidR="008C72BB" w:rsidRPr="00920161">
        <w:rPr>
          <w:rFonts w:asciiTheme="minorHAnsi" w:hAnsiTheme="minorHAnsi" w:cstheme="minorHAnsi"/>
          <w:b/>
          <w:color w:val="000000"/>
          <w:sz w:val="22"/>
          <w:szCs w:val="22"/>
        </w:rPr>
        <w:t xml:space="preserve">THE UNITED STATES OF AMERICA, </w:t>
      </w:r>
      <w:r w:rsidRPr="00920161">
        <w:rPr>
          <w:rFonts w:asciiTheme="minorHAnsi" w:hAnsiTheme="minorHAnsi" w:cstheme="minorHAnsi"/>
          <w:b/>
          <w:color w:val="000000"/>
          <w:sz w:val="22"/>
          <w:szCs w:val="22"/>
        </w:rPr>
        <w:t>CANADA, AUSTRALIA, NEW ZEALAND OR JAPAN OR ANY OTHER JURISDICTION WHERE TO DO SO WOULD CONSTITUTE A VIOLATION OF THE RELEVANT LAWS OF SUCH JURISDICTION</w:t>
      </w:r>
      <w:r w:rsidRPr="0085187A">
        <w:rPr>
          <w:rFonts w:asciiTheme="minorHAnsi" w:hAnsiTheme="minorHAnsi" w:cstheme="minorHAnsi"/>
          <w:b/>
          <w:color w:val="000000"/>
          <w:sz w:val="22"/>
          <w:szCs w:val="22"/>
        </w:rPr>
        <w:t>.</w:t>
      </w:r>
      <w:r w:rsidR="008C1EDD" w:rsidRPr="0085187A">
        <w:rPr>
          <w:rFonts w:asciiTheme="minorHAnsi" w:hAnsiTheme="minorHAnsi" w:cstheme="minorHAnsi"/>
          <w:b/>
          <w:color w:val="000000"/>
          <w:sz w:val="22"/>
          <w:szCs w:val="22"/>
        </w:rPr>
        <w:t xml:space="preserve"> </w:t>
      </w:r>
    </w:p>
    <w:p w14:paraId="61132EF7" w14:textId="513F0FE9" w:rsidR="00955CDD" w:rsidRPr="00920161" w:rsidRDefault="00955CDD" w:rsidP="00955CDD">
      <w:pPr>
        <w:pStyle w:val="bu"/>
        <w:spacing w:before="0" w:beforeAutospacing="0" w:after="0" w:afterAutospacing="0"/>
        <w:rPr>
          <w:rFonts w:asciiTheme="minorHAnsi" w:hAnsiTheme="minorHAnsi" w:cstheme="minorHAnsi"/>
          <w:b/>
          <w:bCs/>
          <w:color w:val="000000"/>
          <w:sz w:val="22"/>
          <w:szCs w:val="22"/>
        </w:rPr>
      </w:pPr>
      <w:r w:rsidRPr="00920161">
        <w:rPr>
          <w:rFonts w:asciiTheme="minorHAnsi" w:hAnsiTheme="minorHAnsi" w:cstheme="minorHAnsi"/>
          <w:b/>
          <w:bCs/>
          <w:color w:val="000000"/>
          <w:sz w:val="22"/>
          <w:szCs w:val="22"/>
        </w:rPr>
        <w:t>1</w:t>
      </w:r>
      <w:r w:rsidR="00CF73B5">
        <w:rPr>
          <w:rFonts w:asciiTheme="minorHAnsi" w:hAnsiTheme="minorHAnsi" w:cstheme="minorHAnsi"/>
          <w:b/>
          <w:bCs/>
          <w:color w:val="000000"/>
          <w:sz w:val="22"/>
          <w:szCs w:val="22"/>
        </w:rPr>
        <w:t>3</w:t>
      </w:r>
      <w:r w:rsidRPr="00920161">
        <w:rPr>
          <w:rFonts w:asciiTheme="minorHAnsi" w:hAnsiTheme="minorHAnsi" w:cstheme="minorHAnsi"/>
          <w:b/>
          <w:bCs/>
          <w:color w:val="000000"/>
          <w:sz w:val="22"/>
          <w:szCs w:val="22"/>
        </w:rPr>
        <w:t xml:space="preserve"> </w:t>
      </w:r>
      <w:r w:rsidR="00CF73B5">
        <w:rPr>
          <w:rFonts w:asciiTheme="minorHAnsi" w:hAnsiTheme="minorHAnsi" w:cstheme="minorHAnsi"/>
          <w:b/>
          <w:bCs/>
          <w:color w:val="000000"/>
          <w:sz w:val="22"/>
          <w:szCs w:val="22"/>
        </w:rPr>
        <w:t>May</w:t>
      </w:r>
      <w:r w:rsidRPr="00920161">
        <w:rPr>
          <w:rFonts w:asciiTheme="minorHAnsi" w:hAnsiTheme="minorHAnsi" w:cstheme="minorHAnsi"/>
          <w:b/>
          <w:bCs/>
          <w:color w:val="000000"/>
          <w:sz w:val="22"/>
          <w:szCs w:val="22"/>
        </w:rPr>
        <w:t xml:space="preserve"> 2024</w:t>
      </w:r>
    </w:p>
    <w:p w14:paraId="37FD9764" w14:textId="77777777" w:rsidR="00955CDD" w:rsidRPr="00920161" w:rsidRDefault="00955CDD" w:rsidP="00955CDD">
      <w:pPr>
        <w:pStyle w:val="bu"/>
        <w:spacing w:before="0" w:beforeAutospacing="0" w:after="0" w:afterAutospacing="0"/>
        <w:jc w:val="center"/>
        <w:rPr>
          <w:rFonts w:asciiTheme="minorHAnsi" w:hAnsiTheme="minorHAnsi" w:cstheme="minorHAnsi"/>
          <w:b/>
          <w:bCs/>
          <w:color w:val="000000"/>
          <w:sz w:val="22"/>
          <w:szCs w:val="22"/>
        </w:rPr>
      </w:pPr>
    </w:p>
    <w:p w14:paraId="16A5B31E" w14:textId="77777777" w:rsidR="00955CDD" w:rsidRPr="00920161" w:rsidRDefault="00955CDD" w:rsidP="00955CDD">
      <w:pPr>
        <w:pStyle w:val="bu"/>
        <w:spacing w:before="0" w:beforeAutospacing="0" w:after="0" w:afterAutospacing="0"/>
        <w:jc w:val="center"/>
        <w:rPr>
          <w:rFonts w:asciiTheme="minorHAnsi" w:hAnsiTheme="minorHAnsi" w:cstheme="minorHAnsi"/>
          <w:color w:val="000000"/>
          <w:sz w:val="22"/>
          <w:szCs w:val="22"/>
        </w:rPr>
      </w:pPr>
      <w:r w:rsidRPr="00920161">
        <w:rPr>
          <w:rFonts w:asciiTheme="minorHAnsi" w:hAnsiTheme="minorHAnsi" w:cstheme="minorHAnsi"/>
          <w:b/>
          <w:bCs/>
          <w:color w:val="000000"/>
          <w:sz w:val="22"/>
          <w:szCs w:val="22"/>
        </w:rPr>
        <w:t>Aquila Energy Efficiency Trust PLC</w:t>
      </w:r>
    </w:p>
    <w:p w14:paraId="6DD54CEE" w14:textId="77777777" w:rsidR="00955CDD" w:rsidRPr="00920161" w:rsidRDefault="00955CDD" w:rsidP="00955CDD">
      <w:pPr>
        <w:pStyle w:val="bu"/>
        <w:spacing w:before="0" w:beforeAutospacing="0" w:after="0" w:afterAutospacing="0"/>
        <w:jc w:val="center"/>
        <w:rPr>
          <w:rFonts w:asciiTheme="minorHAnsi" w:hAnsiTheme="minorHAnsi" w:cstheme="minorHAnsi"/>
          <w:color w:val="000000"/>
          <w:sz w:val="22"/>
          <w:szCs w:val="22"/>
        </w:rPr>
      </w:pPr>
      <w:r w:rsidRPr="00920161">
        <w:rPr>
          <w:rFonts w:asciiTheme="minorHAnsi" w:hAnsiTheme="minorHAnsi" w:cstheme="minorHAnsi"/>
          <w:b/>
          <w:bCs/>
          <w:color w:val="000000"/>
          <w:sz w:val="22"/>
          <w:szCs w:val="22"/>
        </w:rPr>
        <w:t> </w:t>
      </w:r>
    </w:p>
    <w:p w14:paraId="2AF527CB" w14:textId="77777777" w:rsidR="00955CDD" w:rsidRPr="00920161" w:rsidRDefault="00955CDD" w:rsidP="00955CDD">
      <w:pPr>
        <w:pStyle w:val="bu"/>
        <w:spacing w:before="0" w:beforeAutospacing="0" w:after="0" w:afterAutospacing="0"/>
        <w:jc w:val="center"/>
        <w:rPr>
          <w:rFonts w:asciiTheme="minorHAnsi" w:hAnsiTheme="minorHAnsi" w:cstheme="minorHAnsi"/>
          <w:color w:val="000000"/>
          <w:sz w:val="22"/>
          <w:szCs w:val="22"/>
        </w:rPr>
      </w:pPr>
      <w:r w:rsidRPr="00920161">
        <w:rPr>
          <w:rFonts w:asciiTheme="minorHAnsi" w:hAnsiTheme="minorHAnsi" w:cstheme="minorHAnsi"/>
          <w:b/>
          <w:bCs/>
          <w:color w:val="000000"/>
          <w:sz w:val="22"/>
          <w:szCs w:val="22"/>
        </w:rPr>
        <w:t>(the "Company")</w:t>
      </w:r>
    </w:p>
    <w:p w14:paraId="1A046ECA" w14:textId="3DDD7D2D" w:rsidR="00955CDD" w:rsidRPr="00920161" w:rsidRDefault="006D2085" w:rsidP="00955CDD">
      <w:pPr>
        <w:pStyle w:val="CMSANBodyText"/>
        <w:jc w:val="center"/>
        <w:rPr>
          <w:rFonts w:asciiTheme="minorHAnsi" w:hAnsiTheme="minorHAnsi" w:cstheme="minorHAnsi"/>
          <w:b/>
          <w:bCs/>
          <w:sz w:val="22"/>
        </w:rPr>
      </w:pPr>
      <w:r>
        <w:rPr>
          <w:rFonts w:asciiTheme="minorHAnsi" w:hAnsiTheme="minorHAnsi" w:cstheme="minorHAnsi"/>
          <w:b/>
          <w:bCs/>
          <w:sz w:val="22"/>
        </w:rPr>
        <w:t xml:space="preserve">Results of General Meeting and </w:t>
      </w:r>
      <w:r w:rsidR="00955CDD" w:rsidRPr="00920161">
        <w:rPr>
          <w:rFonts w:asciiTheme="minorHAnsi" w:hAnsiTheme="minorHAnsi" w:cstheme="minorHAnsi"/>
          <w:b/>
          <w:bCs/>
          <w:sz w:val="22"/>
        </w:rPr>
        <w:t xml:space="preserve">Tender Offer </w:t>
      </w:r>
    </w:p>
    <w:p w14:paraId="371AFF45" w14:textId="21BFF969" w:rsidR="00955CDD" w:rsidRPr="00920161" w:rsidRDefault="00955CDD" w:rsidP="00955CDD">
      <w:pPr>
        <w:pStyle w:val="CMSANSch4XRef"/>
        <w:numPr>
          <w:ilvl w:val="0"/>
          <w:numId w:val="0"/>
        </w:numPr>
        <w:ind w:left="851" w:hanging="851"/>
        <w:rPr>
          <w:rFonts w:asciiTheme="minorHAnsi" w:hAnsiTheme="minorHAnsi" w:cstheme="minorHAnsi"/>
          <w:sz w:val="22"/>
        </w:rPr>
      </w:pPr>
      <w:bookmarkStart w:id="0" w:name="_Ref164268548"/>
      <w:r w:rsidRPr="00920161">
        <w:rPr>
          <w:rFonts w:asciiTheme="minorHAnsi" w:hAnsiTheme="minorHAnsi" w:cstheme="minorHAnsi"/>
          <w:sz w:val="22"/>
        </w:rPr>
        <w:t>Introduction</w:t>
      </w:r>
      <w:bookmarkEnd w:id="0"/>
      <w:r w:rsidRPr="00920161">
        <w:rPr>
          <w:rFonts w:asciiTheme="minorHAnsi" w:hAnsiTheme="minorHAnsi" w:cstheme="minorHAnsi"/>
          <w:sz w:val="22"/>
        </w:rPr>
        <w:t xml:space="preserve">  </w:t>
      </w:r>
    </w:p>
    <w:p w14:paraId="0C97D2B5" w14:textId="776BAB7A" w:rsidR="00256840" w:rsidRDefault="00256840" w:rsidP="00955CDD">
      <w:pPr>
        <w:pStyle w:val="CMSANIndent2"/>
        <w:ind w:left="0"/>
        <w:rPr>
          <w:rFonts w:asciiTheme="minorHAnsi" w:hAnsiTheme="minorHAnsi" w:cstheme="minorHAnsi"/>
          <w:sz w:val="22"/>
        </w:rPr>
      </w:pPr>
      <w:r w:rsidRPr="00256840">
        <w:rPr>
          <w:rFonts w:asciiTheme="minorHAnsi" w:hAnsiTheme="minorHAnsi" w:cstheme="minorHAnsi"/>
          <w:sz w:val="22"/>
        </w:rPr>
        <w:t xml:space="preserve">Further to the tender offer launched by the Company on </w:t>
      </w:r>
      <w:r>
        <w:rPr>
          <w:rFonts w:asciiTheme="minorHAnsi" w:hAnsiTheme="minorHAnsi" w:cstheme="minorHAnsi"/>
          <w:sz w:val="22"/>
        </w:rPr>
        <w:t>19 April 2024 (the “</w:t>
      </w:r>
      <w:r w:rsidRPr="0051278E">
        <w:rPr>
          <w:rFonts w:asciiTheme="minorHAnsi" w:hAnsiTheme="minorHAnsi" w:cstheme="minorHAnsi"/>
          <w:b/>
          <w:sz w:val="22"/>
        </w:rPr>
        <w:t>Tender Offer</w:t>
      </w:r>
      <w:r>
        <w:rPr>
          <w:rFonts w:asciiTheme="minorHAnsi" w:hAnsiTheme="minorHAnsi" w:cstheme="minorHAnsi"/>
          <w:sz w:val="22"/>
        </w:rPr>
        <w:t>”) for</w:t>
      </w:r>
      <w:r w:rsidRPr="00256840">
        <w:rPr>
          <w:rFonts w:asciiTheme="minorHAnsi" w:hAnsiTheme="minorHAnsi" w:cstheme="minorHAnsi"/>
          <w:sz w:val="22"/>
        </w:rPr>
        <w:t xml:space="preserve"> </w:t>
      </w:r>
      <w:r w:rsidRPr="00920161">
        <w:rPr>
          <w:rFonts w:asciiTheme="minorHAnsi" w:hAnsiTheme="minorHAnsi" w:cstheme="minorHAnsi"/>
          <w:sz w:val="22"/>
        </w:rPr>
        <w:t>up to 18,561,732 Ordinary Shares</w:t>
      </w:r>
      <w:r>
        <w:rPr>
          <w:rFonts w:asciiTheme="minorHAnsi" w:hAnsiTheme="minorHAnsi" w:cstheme="minorHAnsi"/>
          <w:sz w:val="22"/>
        </w:rPr>
        <w:t xml:space="preserve">, representing </w:t>
      </w:r>
      <w:r w:rsidRPr="00920161">
        <w:rPr>
          <w:rFonts w:asciiTheme="minorHAnsi" w:hAnsiTheme="minorHAnsi" w:cstheme="minorHAnsi"/>
          <w:sz w:val="22"/>
        </w:rPr>
        <w:t>approximately 18.6 per cent. of the</w:t>
      </w:r>
      <w:r>
        <w:rPr>
          <w:rFonts w:asciiTheme="minorHAnsi" w:hAnsiTheme="minorHAnsi" w:cstheme="minorHAnsi"/>
          <w:sz w:val="22"/>
        </w:rPr>
        <w:t xml:space="preserve"> Company’s </w:t>
      </w:r>
      <w:r w:rsidRPr="00920161">
        <w:rPr>
          <w:rFonts w:asciiTheme="minorHAnsi" w:hAnsiTheme="minorHAnsi" w:cstheme="minorHAnsi"/>
          <w:sz w:val="22"/>
        </w:rPr>
        <w:t>Issued Ordinary Share Capital</w:t>
      </w:r>
      <w:r>
        <w:rPr>
          <w:rFonts w:asciiTheme="minorHAnsi" w:hAnsiTheme="minorHAnsi" w:cstheme="minorHAnsi"/>
          <w:sz w:val="22"/>
        </w:rPr>
        <w:t xml:space="preserve">, which closed at </w:t>
      </w:r>
      <w:r w:rsidRPr="00920161">
        <w:rPr>
          <w:rFonts w:asciiTheme="minorHAnsi" w:hAnsiTheme="minorHAnsi" w:cstheme="minorHAnsi"/>
          <w:sz w:val="22"/>
        </w:rPr>
        <w:t>1.00 p.m. on 10 May 2024</w:t>
      </w:r>
      <w:r>
        <w:rPr>
          <w:rFonts w:asciiTheme="minorHAnsi" w:hAnsiTheme="minorHAnsi" w:cstheme="minorHAnsi"/>
          <w:sz w:val="22"/>
        </w:rPr>
        <w:t>, the Company today announces:</w:t>
      </w:r>
    </w:p>
    <w:p w14:paraId="789E5ED4" w14:textId="70E6196A" w:rsidR="00256840" w:rsidRDefault="0034362E" w:rsidP="00256840">
      <w:pPr>
        <w:pStyle w:val="CMSANIndent2"/>
        <w:numPr>
          <w:ilvl w:val="0"/>
          <w:numId w:val="5"/>
        </w:numPr>
        <w:rPr>
          <w:rFonts w:asciiTheme="minorHAnsi" w:hAnsiTheme="minorHAnsi" w:cstheme="minorHAnsi"/>
          <w:sz w:val="22"/>
        </w:rPr>
      </w:pPr>
      <w:r>
        <w:rPr>
          <w:rFonts w:asciiTheme="minorHAnsi" w:hAnsiTheme="minorHAnsi" w:cstheme="minorHAnsi"/>
          <w:sz w:val="22"/>
        </w:rPr>
        <w:t>t</w:t>
      </w:r>
      <w:r w:rsidR="00256840">
        <w:rPr>
          <w:rFonts w:asciiTheme="minorHAnsi" w:hAnsiTheme="minorHAnsi" w:cstheme="minorHAnsi"/>
          <w:sz w:val="22"/>
        </w:rPr>
        <w:t xml:space="preserve">hat </w:t>
      </w:r>
      <w:r w:rsidR="003B466E">
        <w:rPr>
          <w:rFonts w:asciiTheme="minorHAnsi" w:hAnsiTheme="minorHAnsi" w:cstheme="minorHAnsi"/>
          <w:sz w:val="22"/>
        </w:rPr>
        <w:t>90,231,121</w:t>
      </w:r>
      <w:r w:rsidR="00256840">
        <w:rPr>
          <w:rFonts w:asciiTheme="minorHAnsi" w:hAnsiTheme="minorHAnsi" w:cstheme="minorHAnsi"/>
          <w:sz w:val="22"/>
        </w:rPr>
        <w:t xml:space="preserve"> shares </w:t>
      </w:r>
      <w:r w:rsidR="00256840" w:rsidRPr="00256840">
        <w:rPr>
          <w:rFonts w:asciiTheme="minorHAnsi" w:hAnsiTheme="minorHAnsi" w:cstheme="minorHAnsi"/>
          <w:sz w:val="22"/>
        </w:rPr>
        <w:t>were validly tendered pursuant to the Tender Offer; and</w:t>
      </w:r>
    </w:p>
    <w:p w14:paraId="59070D20" w14:textId="180A1D59" w:rsidR="00256840" w:rsidRDefault="00256840" w:rsidP="00256840">
      <w:pPr>
        <w:pStyle w:val="CMSANIndent2"/>
        <w:numPr>
          <w:ilvl w:val="0"/>
          <w:numId w:val="5"/>
        </w:numPr>
        <w:rPr>
          <w:rFonts w:asciiTheme="minorHAnsi" w:hAnsiTheme="minorHAnsi" w:cstheme="minorHAnsi"/>
          <w:sz w:val="22"/>
        </w:rPr>
      </w:pPr>
      <w:r>
        <w:rPr>
          <w:rFonts w:asciiTheme="minorHAnsi" w:hAnsiTheme="minorHAnsi" w:cstheme="minorHAnsi"/>
          <w:sz w:val="22"/>
        </w:rPr>
        <w:t>t</w:t>
      </w:r>
      <w:r w:rsidRPr="00256840">
        <w:rPr>
          <w:rFonts w:asciiTheme="minorHAnsi" w:hAnsiTheme="minorHAnsi" w:cstheme="minorHAnsi"/>
          <w:sz w:val="22"/>
        </w:rPr>
        <w:t xml:space="preserve">hat at the General Meeting of the Company held at 11.30 a.m. today, the special resolution set out in the Notice of </w:t>
      </w:r>
      <w:r>
        <w:rPr>
          <w:rFonts w:asciiTheme="minorHAnsi" w:hAnsiTheme="minorHAnsi" w:cstheme="minorHAnsi"/>
          <w:sz w:val="22"/>
        </w:rPr>
        <w:t xml:space="preserve">General </w:t>
      </w:r>
      <w:r w:rsidRPr="00256840">
        <w:rPr>
          <w:rFonts w:asciiTheme="minorHAnsi" w:hAnsiTheme="minorHAnsi" w:cstheme="minorHAnsi"/>
          <w:sz w:val="22"/>
        </w:rPr>
        <w:t>Meeting dated 1</w:t>
      </w:r>
      <w:r>
        <w:rPr>
          <w:rFonts w:asciiTheme="minorHAnsi" w:hAnsiTheme="minorHAnsi" w:cstheme="minorHAnsi"/>
          <w:sz w:val="22"/>
        </w:rPr>
        <w:t>9</w:t>
      </w:r>
      <w:r w:rsidRPr="00256840">
        <w:rPr>
          <w:rFonts w:asciiTheme="minorHAnsi" w:hAnsiTheme="minorHAnsi" w:cstheme="minorHAnsi"/>
          <w:sz w:val="22"/>
        </w:rPr>
        <w:t xml:space="preserve"> </w:t>
      </w:r>
      <w:r>
        <w:rPr>
          <w:rFonts w:asciiTheme="minorHAnsi" w:hAnsiTheme="minorHAnsi" w:cstheme="minorHAnsi"/>
          <w:sz w:val="22"/>
        </w:rPr>
        <w:t>April 2024</w:t>
      </w:r>
      <w:r w:rsidRPr="00256840">
        <w:rPr>
          <w:rFonts w:asciiTheme="minorHAnsi" w:hAnsiTheme="minorHAnsi" w:cstheme="minorHAnsi"/>
          <w:sz w:val="22"/>
        </w:rPr>
        <w:t xml:space="preserve"> authorising the Company to make market purchases pursuant to the Tender Offer was </w:t>
      </w:r>
      <w:r w:rsidR="002C0B6B">
        <w:rPr>
          <w:rFonts w:asciiTheme="minorHAnsi" w:hAnsiTheme="minorHAnsi" w:cstheme="minorHAnsi"/>
          <w:sz w:val="22"/>
        </w:rPr>
        <w:t>duly</w:t>
      </w:r>
      <w:r w:rsidRPr="00256840">
        <w:rPr>
          <w:rFonts w:asciiTheme="minorHAnsi" w:hAnsiTheme="minorHAnsi" w:cstheme="minorHAnsi"/>
          <w:sz w:val="22"/>
        </w:rPr>
        <w:t xml:space="preserve"> passed</w:t>
      </w:r>
      <w:r w:rsidR="00675C49">
        <w:rPr>
          <w:rFonts w:asciiTheme="minorHAnsi" w:hAnsiTheme="minorHAnsi" w:cstheme="minorHAnsi"/>
          <w:sz w:val="22"/>
        </w:rPr>
        <w:t>.</w:t>
      </w:r>
    </w:p>
    <w:p w14:paraId="21BFC346" w14:textId="0009719E" w:rsidR="00955CDD" w:rsidRPr="00920161" w:rsidRDefault="00256840" w:rsidP="00955CDD">
      <w:pPr>
        <w:pStyle w:val="CMSANIndent2"/>
        <w:ind w:left="0"/>
        <w:rPr>
          <w:rFonts w:asciiTheme="minorHAnsi" w:hAnsiTheme="minorHAnsi" w:cstheme="minorHAnsi"/>
          <w:sz w:val="22"/>
        </w:rPr>
      </w:pPr>
      <w:r w:rsidRPr="00256840">
        <w:rPr>
          <w:rFonts w:asciiTheme="minorHAnsi" w:hAnsiTheme="minorHAnsi" w:cstheme="minorHAnsi"/>
          <w:sz w:val="22"/>
        </w:rPr>
        <w:t>Terms used in this announcement have the same meaning as set out in the Company's circular to Shareholders in respect of the Tender Offer dated 1</w:t>
      </w:r>
      <w:r>
        <w:rPr>
          <w:rFonts w:asciiTheme="minorHAnsi" w:hAnsiTheme="minorHAnsi" w:cstheme="minorHAnsi"/>
          <w:sz w:val="22"/>
        </w:rPr>
        <w:t>9</w:t>
      </w:r>
      <w:r w:rsidRPr="00256840">
        <w:rPr>
          <w:rFonts w:asciiTheme="minorHAnsi" w:hAnsiTheme="minorHAnsi" w:cstheme="minorHAnsi"/>
          <w:sz w:val="22"/>
        </w:rPr>
        <w:t xml:space="preserve"> </w:t>
      </w:r>
      <w:r>
        <w:rPr>
          <w:rFonts w:asciiTheme="minorHAnsi" w:hAnsiTheme="minorHAnsi" w:cstheme="minorHAnsi"/>
          <w:sz w:val="22"/>
        </w:rPr>
        <w:t>April 2024</w:t>
      </w:r>
      <w:r w:rsidRPr="00256840">
        <w:rPr>
          <w:rFonts w:asciiTheme="minorHAnsi" w:hAnsiTheme="minorHAnsi" w:cstheme="minorHAnsi"/>
          <w:sz w:val="22"/>
        </w:rPr>
        <w:t xml:space="preserve"> (the "</w:t>
      </w:r>
      <w:r w:rsidRPr="00256840">
        <w:rPr>
          <w:rFonts w:asciiTheme="minorHAnsi" w:hAnsiTheme="minorHAnsi" w:cstheme="minorHAnsi"/>
          <w:b/>
          <w:sz w:val="22"/>
        </w:rPr>
        <w:t>Circular</w:t>
      </w:r>
      <w:r w:rsidRPr="00256840">
        <w:rPr>
          <w:rFonts w:asciiTheme="minorHAnsi" w:hAnsiTheme="minorHAnsi" w:cstheme="minorHAnsi"/>
          <w:sz w:val="22"/>
        </w:rPr>
        <w:t>")</w:t>
      </w:r>
      <w:r>
        <w:rPr>
          <w:rFonts w:asciiTheme="minorHAnsi" w:hAnsiTheme="minorHAnsi" w:cstheme="minorHAnsi"/>
          <w:sz w:val="22"/>
        </w:rPr>
        <w:t>.</w:t>
      </w:r>
      <w:r w:rsidR="0093328C" w:rsidRPr="00920161">
        <w:rPr>
          <w:rFonts w:asciiTheme="minorHAnsi" w:hAnsiTheme="minorHAnsi" w:cstheme="minorHAnsi"/>
          <w:sz w:val="22"/>
        </w:rPr>
        <w:t xml:space="preserve"> </w:t>
      </w:r>
    </w:p>
    <w:p w14:paraId="29544064" w14:textId="38C82F8A" w:rsidR="00256840" w:rsidRPr="00C750DC" w:rsidRDefault="00C750DC" w:rsidP="00955CDD">
      <w:pPr>
        <w:pStyle w:val="CMSANIndent2"/>
        <w:ind w:left="0"/>
        <w:rPr>
          <w:rFonts w:asciiTheme="minorHAnsi" w:hAnsiTheme="minorHAnsi" w:cstheme="minorHAnsi"/>
          <w:b/>
          <w:sz w:val="22"/>
        </w:rPr>
      </w:pPr>
      <w:r>
        <w:rPr>
          <w:rFonts w:asciiTheme="minorHAnsi" w:hAnsiTheme="minorHAnsi" w:cstheme="minorHAnsi"/>
          <w:b/>
          <w:sz w:val="22"/>
        </w:rPr>
        <w:t>Results of Tender Offer</w:t>
      </w:r>
    </w:p>
    <w:p w14:paraId="67953752" w14:textId="2A5A5AC2" w:rsidR="00C750DC" w:rsidRDefault="00955CDD" w:rsidP="00955CDD">
      <w:pPr>
        <w:pStyle w:val="CMSANIndent2"/>
        <w:ind w:left="0"/>
        <w:rPr>
          <w:rFonts w:asciiTheme="minorHAnsi" w:hAnsiTheme="minorHAnsi" w:cstheme="minorHAnsi"/>
          <w:sz w:val="22"/>
        </w:rPr>
      </w:pPr>
      <w:r w:rsidRPr="00920161">
        <w:rPr>
          <w:rFonts w:asciiTheme="minorHAnsi" w:hAnsiTheme="minorHAnsi" w:cstheme="minorHAnsi"/>
          <w:sz w:val="22"/>
        </w:rPr>
        <w:t xml:space="preserve">Qualifying Shareholders </w:t>
      </w:r>
      <w:r w:rsidR="00C750DC" w:rsidRPr="00C750DC">
        <w:rPr>
          <w:rFonts w:asciiTheme="minorHAnsi" w:hAnsiTheme="minorHAnsi" w:cstheme="minorHAnsi"/>
          <w:sz w:val="22"/>
        </w:rPr>
        <w:t xml:space="preserve">who validly tendered a percentage of their </w:t>
      </w:r>
      <w:r w:rsidR="00D65C2C">
        <w:rPr>
          <w:rFonts w:asciiTheme="minorHAnsi" w:hAnsiTheme="minorHAnsi" w:cstheme="minorHAnsi"/>
          <w:sz w:val="22"/>
        </w:rPr>
        <w:t xml:space="preserve">Ordinary </w:t>
      </w:r>
      <w:r w:rsidR="00C750DC" w:rsidRPr="00C750DC">
        <w:rPr>
          <w:rFonts w:asciiTheme="minorHAnsi" w:hAnsiTheme="minorHAnsi" w:cstheme="minorHAnsi"/>
          <w:sz w:val="22"/>
        </w:rPr>
        <w:t xml:space="preserve">Shares equal to or less than their Basic Entitlement </w:t>
      </w:r>
      <w:r w:rsidR="00675C49">
        <w:rPr>
          <w:rFonts w:asciiTheme="minorHAnsi" w:hAnsiTheme="minorHAnsi" w:cstheme="minorHAnsi"/>
          <w:sz w:val="22"/>
        </w:rPr>
        <w:t xml:space="preserve">of 18.6 per cent. </w:t>
      </w:r>
      <w:r w:rsidR="00C750DC" w:rsidRPr="00C750DC">
        <w:rPr>
          <w:rFonts w:asciiTheme="minorHAnsi" w:hAnsiTheme="minorHAnsi" w:cstheme="minorHAnsi"/>
          <w:sz w:val="22"/>
        </w:rPr>
        <w:t xml:space="preserve">have </w:t>
      </w:r>
      <w:r w:rsidR="00D65C2C">
        <w:rPr>
          <w:rFonts w:asciiTheme="minorHAnsi" w:hAnsiTheme="minorHAnsi" w:cstheme="minorHAnsi"/>
          <w:sz w:val="22"/>
        </w:rPr>
        <w:t xml:space="preserve">had </w:t>
      </w:r>
      <w:r w:rsidR="00C750DC" w:rsidRPr="00C750DC">
        <w:rPr>
          <w:rFonts w:asciiTheme="minorHAnsi" w:hAnsiTheme="minorHAnsi" w:cstheme="minorHAnsi"/>
          <w:sz w:val="22"/>
        </w:rPr>
        <w:t xml:space="preserve">all tendered </w:t>
      </w:r>
      <w:r w:rsidR="00D65C2C">
        <w:rPr>
          <w:rFonts w:asciiTheme="minorHAnsi" w:hAnsiTheme="minorHAnsi" w:cstheme="minorHAnsi"/>
          <w:sz w:val="22"/>
        </w:rPr>
        <w:t xml:space="preserve">Ordinary </w:t>
      </w:r>
      <w:r w:rsidR="00C750DC" w:rsidRPr="00C750DC">
        <w:rPr>
          <w:rFonts w:asciiTheme="minorHAnsi" w:hAnsiTheme="minorHAnsi" w:cstheme="minorHAnsi"/>
          <w:sz w:val="22"/>
        </w:rPr>
        <w:t>Shares purchased in full under the Tender Offer.</w:t>
      </w:r>
      <w:r w:rsidR="00C750DC">
        <w:rPr>
          <w:rFonts w:asciiTheme="minorHAnsi" w:hAnsiTheme="minorHAnsi" w:cstheme="minorHAnsi"/>
          <w:sz w:val="22"/>
        </w:rPr>
        <w:t xml:space="preserve"> </w:t>
      </w:r>
    </w:p>
    <w:p w14:paraId="24EE1A0D" w14:textId="1A14DF51" w:rsidR="002C0B6B" w:rsidRDefault="002C0B6B" w:rsidP="00955CDD">
      <w:pPr>
        <w:pStyle w:val="CMSANIndent2"/>
        <w:ind w:left="0"/>
        <w:rPr>
          <w:rFonts w:asciiTheme="minorHAnsi" w:hAnsiTheme="minorHAnsi" w:cstheme="minorHAnsi"/>
          <w:sz w:val="22"/>
        </w:rPr>
      </w:pPr>
      <w:r w:rsidRPr="002C0B6B">
        <w:rPr>
          <w:rFonts w:asciiTheme="minorHAnsi" w:hAnsiTheme="minorHAnsi" w:cstheme="minorHAnsi"/>
          <w:sz w:val="22"/>
        </w:rPr>
        <w:t xml:space="preserve">Following a scale back exercise, Shareholders who validly tendered a percentage of </w:t>
      </w:r>
      <w:r w:rsidR="000202DD">
        <w:rPr>
          <w:rFonts w:asciiTheme="minorHAnsi" w:hAnsiTheme="minorHAnsi" w:cstheme="minorHAnsi"/>
          <w:sz w:val="22"/>
        </w:rPr>
        <w:t xml:space="preserve">Ordinary </w:t>
      </w:r>
      <w:r w:rsidRPr="002C0B6B">
        <w:rPr>
          <w:rFonts w:asciiTheme="minorHAnsi" w:hAnsiTheme="minorHAnsi" w:cstheme="minorHAnsi"/>
          <w:sz w:val="22"/>
        </w:rPr>
        <w:t xml:space="preserve">Shares greater than their Basic Entitlement have </w:t>
      </w:r>
      <w:r w:rsidR="00D65C2C">
        <w:rPr>
          <w:rFonts w:asciiTheme="minorHAnsi" w:hAnsiTheme="minorHAnsi" w:cstheme="minorHAnsi"/>
          <w:sz w:val="22"/>
        </w:rPr>
        <w:t xml:space="preserve">had </w:t>
      </w:r>
      <w:r w:rsidRPr="002C0B6B">
        <w:rPr>
          <w:rFonts w:asciiTheme="minorHAnsi" w:hAnsiTheme="minorHAnsi" w:cstheme="minorHAnsi"/>
          <w:sz w:val="22"/>
        </w:rPr>
        <w:t xml:space="preserve">a number of </w:t>
      </w:r>
      <w:r w:rsidR="000202DD">
        <w:rPr>
          <w:rFonts w:asciiTheme="minorHAnsi" w:hAnsiTheme="minorHAnsi" w:cstheme="minorHAnsi"/>
          <w:sz w:val="22"/>
        </w:rPr>
        <w:t xml:space="preserve">Ordinary </w:t>
      </w:r>
      <w:r w:rsidRPr="002C0B6B">
        <w:rPr>
          <w:rFonts w:asciiTheme="minorHAnsi" w:hAnsiTheme="minorHAnsi" w:cstheme="minorHAnsi"/>
          <w:sz w:val="22"/>
        </w:rPr>
        <w:t xml:space="preserve">Shares equal to their Basic Entitlement purchased in full plus </w:t>
      </w:r>
      <w:r w:rsidR="00407ADA">
        <w:rPr>
          <w:rFonts w:asciiTheme="minorHAnsi" w:hAnsiTheme="minorHAnsi" w:cstheme="minorHAnsi"/>
          <w:sz w:val="22"/>
        </w:rPr>
        <w:t>1.819193</w:t>
      </w:r>
      <w:r w:rsidRPr="002C0B6B">
        <w:rPr>
          <w:rFonts w:asciiTheme="minorHAnsi" w:hAnsiTheme="minorHAnsi" w:cstheme="minorHAnsi"/>
          <w:sz w:val="22"/>
        </w:rPr>
        <w:t xml:space="preserve"> per cent. of the</w:t>
      </w:r>
      <w:r w:rsidR="00D65C2C">
        <w:rPr>
          <w:rFonts w:asciiTheme="minorHAnsi" w:hAnsiTheme="minorHAnsi" w:cstheme="minorHAnsi"/>
          <w:sz w:val="22"/>
        </w:rPr>
        <w:t xml:space="preserve"> Ordinary Shares they tendered </w:t>
      </w:r>
      <w:r w:rsidRPr="002C0B6B">
        <w:rPr>
          <w:rFonts w:asciiTheme="minorHAnsi" w:hAnsiTheme="minorHAnsi" w:cstheme="minorHAnsi"/>
          <w:sz w:val="22"/>
        </w:rPr>
        <w:t>i</w:t>
      </w:r>
      <w:r w:rsidR="00D65C2C">
        <w:rPr>
          <w:rFonts w:asciiTheme="minorHAnsi" w:hAnsiTheme="minorHAnsi" w:cstheme="minorHAnsi"/>
          <w:sz w:val="22"/>
        </w:rPr>
        <w:t>n</w:t>
      </w:r>
      <w:r w:rsidRPr="002C0B6B">
        <w:rPr>
          <w:rFonts w:asciiTheme="minorHAnsi" w:hAnsiTheme="minorHAnsi" w:cstheme="minorHAnsi"/>
          <w:sz w:val="22"/>
        </w:rPr>
        <w:t xml:space="preserve"> </w:t>
      </w:r>
      <w:r w:rsidR="00D65C2C">
        <w:rPr>
          <w:rFonts w:asciiTheme="minorHAnsi" w:hAnsiTheme="minorHAnsi" w:cstheme="minorHAnsi"/>
          <w:sz w:val="22"/>
        </w:rPr>
        <w:t>e</w:t>
      </w:r>
      <w:r w:rsidRPr="002C0B6B">
        <w:rPr>
          <w:rFonts w:asciiTheme="minorHAnsi" w:hAnsiTheme="minorHAnsi" w:cstheme="minorHAnsi"/>
          <w:sz w:val="22"/>
        </w:rPr>
        <w:t>xcess</w:t>
      </w:r>
      <w:r w:rsidR="00D65C2C">
        <w:rPr>
          <w:rFonts w:asciiTheme="minorHAnsi" w:hAnsiTheme="minorHAnsi" w:cstheme="minorHAnsi"/>
          <w:sz w:val="22"/>
        </w:rPr>
        <w:t xml:space="preserve"> of their Basic Entitlement</w:t>
      </w:r>
      <w:r w:rsidRPr="002C0B6B">
        <w:rPr>
          <w:rFonts w:asciiTheme="minorHAnsi" w:hAnsiTheme="minorHAnsi" w:cstheme="minorHAnsi"/>
          <w:sz w:val="22"/>
        </w:rPr>
        <w:t>, in accordance with the process described in the Circular.</w:t>
      </w:r>
    </w:p>
    <w:p w14:paraId="4B2B3A90" w14:textId="67B8D0A9" w:rsidR="002C0B6B" w:rsidRDefault="002C0B6B" w:rsidP="00955CDD">
      <w:pPr>
        <w:pStyle w:val="CMSANIndent2"/>
        <w:ind w:left="0"/>
        <w:rPr>
          <w:rFonts w:asciiTheme="minorHAnsi" w:hAnsiTheme="minorHAnsi" w:cstheme="minorHAnsi"/>
          <w:sz w:val="22"/>
        </w:rPr>
      </w:pPr>
      <w:r w:rsidRPr="002C0B6B">
        <w:rPr>
          <w:rFonts w:asciiTheme="minorHAnsi" w:hAnsiTheme="minorHAnsi" w:cstheme="minorHAnsi"/>
          <w:sz w:val="22"/>
        </w:rPr>
        <w:t>The Company purchase</w:t>
      </w:r>
      <w:r w:rsidR="00D65C2C">
        <w:rPr>
          <w:rFonts w:asciiTheme="minorHAnsi" w:hAnsiTheme="minorHAnsi" w:cstheme="minorHAnsi"/>
          <w:sz w:val="22"/>
        </w:rPr>
        <w:t>d</w:t>
      </w:r>
      <w:r w:rsidRPr="002C0B6B">
        <w:rPr>
          <w:rFonts w:asciiTheme="minorHAnsi" w:hAnsiTheme="minorHAnsi" w:cstheme="minorHAnsi"/>
          <w:sz w:val="22"/>
        </w:rPr>
        <w:t xml:space="preserve">, in aggregate, </w:t>
      </w:r>
      <w:r w:rsidRPr="00920161">
        <w:rPr>
          <w:rFonts w:asciiTheme="minorHAnsi" w:hAnsiTheme="minorHAnsi" w:cstheme="minorHAnsi"/>
          <w:sz w:val="22"/>
        </w:rPr>
        <w:t xml:space="preserve">18,561,732 </w:t>
      </w:r>
      <w:r w:rsidR="00D65C2C">
        <w:rPr>
          <w:rFonts w:asciiTheme="minorHAnsi" w:hAnsiTheme="minorHAnsi" w:cstheme="minorHAnsi"/>
          <w:sz w:val="22"/>
        </w:rPr>
        <w:t xml:space="preserve">Ordinary </w:t>
      </w:r>
      <w:r w:rsidRPr="002C0B6B">
        <w:rPr>
          <w:rFonts w:asciiTheme="minorHAnsi" w:hAnsiTheme="minorHAnsi" w:cstheme="minorHAnsi"/>
          <w:sz w:val="22"/>
        </w:rPr>
        <w:t>Shares under the Tender Offer.</w:t>
      </w:r>
      <w:r w:rsidR="004D06E5">
        <w:rPr>
          <w:rFonts w:asciiTheme="minorHAnsi" w:hAnsiTheme="minorHAnsi" w:cstheme="minorHAnsi"/>
          <w:sz w:val="22"/>
        </w:rPr>
        <w:t xml:space="preserve"> </w:t>
      </w:r>
      <w:r w:rsidRPr="002C0B6B">
        <w:rPr>
          <w:rFonts w:asciiTheme="minorHAnsi" w:hAnsiTheme="minorHAnsi" w:cstheme="minorHAnsi"/>
          <w:sz w:val="22"/>
        </w:rPr>
        <w:t>All successfully tendered</w:t>
      </w:r>
      <w:r w:rsidR="00396AA4">
        <w:rPr>
          <w:rFonts w:asciiTheme="minorHAnsi" w:hAnsiTheme="minorHAnsi" w:cstheme="minorHAnsi"/>
          <w:sz w:val="22"/>
        </w:rPr>
        <w:t xml:space="preserve"> Ordinary</w:t>
      </w:r>
      <w:r w:rsidRPr="002C0B6B">
        <w:rPr>
          <w:rFonts w:asciiTheme="minorHAnsi" w:hAnsiTheme="minorHAnsi" w:cstheme="minorHAnsi"/>
          <w:sz w:val="22"/>
        </w:rPr>
        <w:t xml:space="preserve"> Shares </w:t>
      </w:r>
      <w:r w:rsidR="00D65C2C">
        <w:rPr>
          <w:rFonts w:asciiTheme="minorHAnsi" w:hAnsiTheme="minorHAnsi" w:cstheme="minorHAnsi"/>
          <w:sz w:val="22"/>
        </w:rPr>
        <w:t>have been</w:t>
      </w:r>
      <w:r w:rsidRPr="002C0B6B">
        <w:rPr>
          <w:rFonts w:asciiTheme="minorHAnsi" w:hAnsiTheme="minorHAnsi" w:cstheme="minorHAnsi"/>
          <w:sz w:val="22"/>
        </w:rPr>
        <w:t xml:space="preserve"> ac</w:t>
      </w:r>
      <w:r>
        <w:rPr>
          <w:rFonts w:asciiTheme="minorHAnsi" w:hAnsiTheme="minorHAnsi" w:cstheme="minorHAnsi"/>
          <w:sz w:val="22"/>
        </w:rPr>
        <w:t xml:space="preserve">quired </w:t>
      </w:r>
      <w:r w:rsidR="00D65C2C">
        <w:rPr>
          <w:rFonts w:asciiTheme="minorHAnsi" w:hAnsiTheme="minorHAnsi" w:cstheme="minorHAnsi"/>
          <w:sz w:val="22"/>
        </w:rPr>
        <w:t>at</w:t>
      </w:r>
      <w:r>
        <w:rPr>
          <w:rFonts w:asciiTheme="minorHAnsi" w:hAnsiTheme="minorHAnsi" w:cstheme="minorHAnsi"/>
          <w:sz w:val="22"/>
        </w:rPr>
        <w:t xml:space="preserve"> the Tender Price of 94.28</w:t>
      </w:r>
      <w:r w:rsidRPr="002C0B6B">
        <w:rPr>
          <w:rFonts w:asciiTheme="minorHAnsi" w:hAnsiTheme="minorHAnsi" w:cstheme="minorHAnsi"/>
          <w:sz w:val="22"/>
        </w:rPr>
        <w:t xml:space="preserve"> pence per </w:t>
      </w:r>
      <w:r w:rsidR="00835642">
        <w:rPr>
          <w:rFonts w:asciiTheme="minorHAnsi" w:hAnsiTheme="minorHAnsi" w:cstheme="minorHAnsi"/>
          <w:sz w:val="22"/>
        </w:rPr>
        <w:t xml:space="preserve">Ordinary </w:t>
      </w:r>
      <w:r w:rsidRPr="002C0B6B">
        <w:rPr>
          <w:rFonts w:asciiTheme="minorHAnsi" w:hAnsiTheme="minorHAnsi" w:cstheme="minorHAnsi"/>
          <w:sz w:val="22"/>
        </w:rPr>
        <w:t>Share.</w:t>
      </w:r>
    </w:p>
    <w:p w14:paraId="34F3DF32" w14:textId="48737F03" w:rsidR="002C0B6B" w:rsidRPr="002C0B6B" w:rsidRDefault="008323EF" w:rsidP="002C0B6B">
      <w:pPr>
        <w:pStyle w:val="CMSANIndent2"/>
        <w:ind w:left="0"/>
        <w:rPr>
          <w:rFonts w:asciiTheme="minorHAnsi" w:hAnsiTheme="minorHAnsi" w:cstheme="minorHAnsi"/>
          <w:sz w:val="22"/>
        </w:rPr>
      </w:pPr>
      <w:r w:rsidRPr="008323EF">
        <w:rPr>
          <w:rFonts w:asciiTheme="minorHAnsi" w:hAnsiTheme="minorHAnsi" w:cstheme="minorHAnsi"/>
          <w:sz w:val="22"/>
        </w:rPr>
        <w:t xml:space="preserve">It is intended that settlement of the Tender Offer will occur on or around </w:t>
      </w:r>
      <w:r>
        <w:rPr>
          <w:rFonts w:asciiTheme="minorHAnsi" w:hAnsiTheme="minorHAnsi" w:cstheme="minorHAnsi"/>
          <w:sz w:val="22"/>
        </w:rPr>
        <w:t>15</w:t>
      </w:r>
      <w:r w:rsidRPr="002C0B6B">
        <w:rPr>
          <w:rFonts w:asciiTheme="minorHAnsi" w:hAnsiTheme="minorHAnsi" w:cstheme="minorHAnsi"/>
          <w:sz w:val="22"/>
        </w:rPr>
        <w:t xml:space="preserve"> </w:t>
      </w:r>
      <w:r>
        <w:rPr>
          <w:rFonts w:asciiTheme="minorHAnsi" w:hAnsiTheme="minorHAnsi" w:cstheme="minorHAnsi"/>
          <w:sz w:val="22"/>
        </w:rPr>
        <w:t xml:space="preserve">May </w:t>
      </w:r>
      <w:r w:rsidRPr="008323EF">
        <w:rPr>
          <w:rFonts w:asciiTheme="minorHAnsi" w:hAnsiTheme="minorHAnsi" w:cstheme="minorHAnsi"/>
          <w:sz w:val="22"/>
        </w:rPr>
        <w:t>2024,</w:t>
      </w:r>
      <w:r>
        <w:rPr>
          <w:rFonts w:asciiTheme="minorHAnsi" w:hAnsiTheme="minorHAnsi" w:cstheme="minorHAnsi"/>
          <w:sz w:val="22"/>
        </w:rPr>
        <w:t xml:space="preserve"> and that the consideration payable in respect of the </w:t>
      </w:r>
      <w:r w:rsidR="00835642">
        <w:rPr>
          <w:rFonts w:asciiTheme="minorHAnsi" w:hAnsiTheme="minorHAnsi" w:cstheme="minorHAnsi"/>
          <w:sz w:val="22"/>
        </w:rPr>
        <w:t xml:space="preserve">Ordinary </w:t>
      </w:r>
      <w:r>
        <w:rPr>
          <w:rFonts w:asciiTheme="minorHAnsi" w:hAnsiTheme="minorHAnsi" w:cstheme="minorHAnsi"/>
          <w:sz w:val="22"/>
        </w:rPr>
        <w:t xml:space="preserve">Shares accepted in the Tender Offer </w:t>
      </w:r>
      <w:r w:rsidR="002C0B6B" w:rsidRPr="002C0B6B">
        <w:rPr>
          <w:rFonts w:asciiTheme="minorHAnsi" w:hAnsiTheme="minorHAnsi" w:cstheme="minorHAnsi"/>
          <w:sz w:val="22"/>
        </w:rPr>
        <w:t xml:space="preserve">will be </w:t>
      </w:r>
      <w:r>
        <w:rPr>
          <w:rFonts w:asciiTheme="minorHAnsi" w:hAnsiTheme="minorHAnsi" w:cstheme="minorHAnsi"/>
          <w:sz w:val="22"/>
        </w:rPr>
        <w:t xml:space="preserve">despatched to Shareholders who have validly tendered </w:t>
      </w:r>
      <w:r w:rsidR="00835642">
        <w:rPr>
          <w:rFonts w:asciiTheme="minorHAnsi" w:hAnsiTheme="minorHAnsi" w:cstheme="minorHAnsi"/>
          <w:sz w:val="22"/>
        </w:rPr>
        <w:t xml:space="preserve">Ordinary </w:t>
      </w:r>
      <w:r>
        <w:rPr>
          <w:rFonts w:asciiTheme="minorHAnsi" w:hAnsiTheme="minorHAnsi" w:cstheme="minorHAnsi"/>
          <w:sz w:val="22"/>
        </w:rPr>
        <w:t xml:space="preserve">Shares </w:t>
      </w:r>
      <w:r w:rsidR="002C0B6B" w:rsidRPr="002C0B6B">
        <w:rPr>
          <w:rFonts w:asciiTheme="minorHAnsi" w:hAnsiTheme="minorHAnsi" w:cstheme="minorHAnsi"/>
          <w:sz w:val="22"/>
        </w:rPr>
        <w:t>through CREST or by cheque (as applicable) as soon as practicable thereafter.</w:t>
      </w:r>
    </w:p>
    <w:p w14:paraId="3983364A" w14:textId="5DA71F3D" w:rsidR="002C0B6B" w:rsidRPr="002C0B6B" w:rsidRDefault="002C0B6B" w:rsidP="002C0B6B">
      <w:pPr>
        <w:pStyle w:val="CMSANIndent2"/>
        <w:ind w:left="0"/>
        <w:rPr>
          <w:rFonts w:asciiTheme="minorHAnsi" w:hAnsiTheme="minorHAnsi" w:cstheme="minorHAnsi"/>
          <w:b/>
          <w:sz w:val="22"/>
        </w:rPr>
      </w:pPr>
      <w:r w:rsidRPr="002C0B6B">
        <w:rPr>
          <w:rFonts w:asciiTheme="minorHAnsi" w:hAnsiTheme="minorHAnsi" w:cstheme="minorHAnsi"/>
          <w:b/>
          <w:sz w:val="22"/>
        </w:rPr>
        <w:t>Results of General Meeting</w:t>
      </w:r>
    </w:p>
    <w:p w14:paraId="79C67E3C" w14:textId="77777777" w:rsidR="002C0B6B" w:rsidRPr="002C0B6B" w:rsidRDefault="002C0B6B" w:rsidP="002C0B6B">
      <w:pPr>
        <w:pStyle w:val="CMSANIndent2"/>
        <w:rPr>
          <w:rFonts w:asciiTheme="minorHAnsi" w:hAnsiTheme="minorHAnsi" w:cstheme="minorHAnsi"/>
          <w:sz w:val="22"/>
        </w:rPr>
      </w:pPr>
    </w:p>
    <w:p w14:paraId="473B0EE2" w14:textId="01B36838" w:rsidR="002C0B6B" w:rsidRDefault="002C0B6B" w:rsidP="002C0B6B">
      <w:pPr>
        <w:pStyle w:val="CMSANIndent2"/>
        <w:ind w:left="0"/>
        <w:rPr>
          <w:rFonts w:asciiTheme="minorHAnsi" w:hAnsiTheme="minorHAnsi" w:cstheme="minorHAnsi"/>
          <w:sz w:val="22"/>
        </w:rPr>
      </w:pPr>
      <w:r w:rsidRPr="002C0B6B">
        <w:rPr>
          <w:rFonts w:asciiTheme="minorHAnsi" w:hAnsiTheme="minorHAnsi" w:cstheme="minorHAnsi"/>
          <w:sz w:val="22"/>
        </w:rPr>
        <w:lastRenderedPageBreak/>
        <w:t xml:space="preserve">The special resolution proposed at the General Meeting held earlier today to approve the purchase of </w:t>
      </w:r>
      <w:r w:rsidR="00835642">
        <w:rPr>
          <w:rFonts w:asciiTheme="minorHAnsi" w:hAnsiTheme="minorHAnsi" w:cstheme="minorHAnsi"/>
          <w:sz w:val="22"/>
        </w:rPr>
        <w:t xml:space="preserve">Ordinary </w:t>
      </w:r>
      <w:r w:rsidRPr="002C0B6B">
        <w:rPr>
          <w:rFonts w:asciiTheme="minorHAnsi" w:hAnsiTheme="minorHAnsi" w:cstheme="minorHAnsi"/>
          <w:sz w:val="22"/>
        </w:rPr>
        <w:t>Shares pursuant to the Tender Offer was duly passed without amendment.</w:t>
      </w:r>
    </w:p>
    <w:p w14:paraId="5D71ED00" w14:textId="6AC5F321" w:rsidR="005160F5" w:rsidRDefault="005160F5" w:rsidP="002C0B6B">
      <w:pPr>
        <w:pStyle w:val="CMSANIndent2"/>
        <w:ind w:left="0"/>
        <w:rPr>
          <w:rFonts w:asciiTheme="minorHAnsi" w:hAnsiTheme="minorHAnsi" w:cstheme="minorHAnsi"/>
          <w:sz w:val="22"/>
        </w:rPr>
      </w:pPr>
      <w:r w:rsidRPr="005160F5">
        <w:rPr>
          <w:rFonts w:asciiTheme="minorHAnsi" w:hAnsiTheme="minorHAnsi" w:cstheme="minorHAnsi"/>
          <w:sz w:val="22"/>
          <w:lang w:val="en-US"/>
        </w:rPr>
        <w:t>The text of the resolution is contained in the No</w:t>
      </w:r>
      <w:r>
        <w:rPr>
          <w:rFonts w:asciiTheme="minorHAnsi" w:hAnsiTheme="minorHAnsi" w:cstheme="minorHAnsi"/>
          <w:sz w:val="22"/>
          <w:lang w:val="en-US"/>
        </w:rPr>
        <w:t>tice of General Meeting dated 19</w:t>
      </w:r>
      <w:r w:rsidRPr="005160F5">
        <w:rPr>
          <w:rFonts w:asciiTheme="minorHAnsi" w:hAnsiTheme="minorHAnsi" w:cstheme="minorHAnsi"/>
          <w:sz w:val="22"/>
          <w:lang w:val="en-US"/>
        </w:rPr>
        <w:t xml:space="preserve"> </w:t>
      </w:r>
      <w:r>
        <w:rPr>
          <w:rFonts w:asciiTheme="minorHAnsi" w:hAnsiTheme="minorHAnsi" w:cstheme="minorHAnsi"/>
          <w:sz w:val="22"/>
          <w:lang w:val="en-US"/>
        </w:rPr>
        <w:t>April 2024</w:t>
      </w:r>
      <w:r w:rsidRPr="005160F5">
        <w:rPr>
          <w:rFonts w:asciiTheme="minorHAnsi" w:hAnsiTheme="minorHAnsi" w:cstheme="minorHAnsi"/>
          <w:sz w:val="22"/>
          <w:lang w:val="en-US"/>
        </w:rPr>
        <w:t>, which can be found on the Company's website at </w:t>
      </w:r>
      <w:hyperlink r:id="rId8" w:history="1">
        <w:r w:rsidRPr="005160F5">
          <w:rPr>
            <w:rStyle w:val="Hyperlink"/>
            <w:rFonts w:asciiTheme="minorHAnsi" w:hAnsiTheme="minorHAnsi" w:cstheme="minorHAnsi"/>
            <w:sz w:val="22"/>
            <w:lang w:val="en-US"/>
          </w:rPr>
          <w:t>https://www.aquila-energy-efficiency-trust.com</w:t>
        </w:r>
      </w:hyperlink>
      <w:r w:rsidRPr="005160F5">
        <w:rPr>
          <w:rFonts w:asciiTheme="minorHAnsi" w:hAnsiTheme="minorHAnsi" w:cstheme="minorHAnsi"/>
          <w:sz w:val="22"/>
          <w:lang w:val="en-US"/>
        </w:rPr>
        <w:t>.</w:t>
      </w:r>
    </w:p>
    <w:p w14:paraId="6570E7AA" w14:textId="480E2C6A" w:rsidR="005160F5" w:rsidRPr="005160F5" w:rsidRDefault="005160F5" w:rsidP="00241AFF">
      <w:pPr>
        <w:pStyle w:val="CMSANIndent2"/>
        <w:ind w:left="0"/>
        <w:rPr>
          <w:rFonts w:asciiTheme="minorHAnsi" w:hAnsiTheme="minorHAnsi" w:cstheme="minorHAnsi"/>
          <w:sz w:val="22"/>
        </w:rPr>
      </w:pPr>
      <w:r w:rsidRPr="005160F5">
        <w:rPr>
          <w:rFonts w:asciiTheme="minorHAnsi" w:hAnsiTheme="minorHAnsi" w:cstheme="minorHAnsi"/>
          <w:sz w:val="22"/>
        </w:rPr>
        <w:t>Voting on the resolutions was taken on a poll. The resul</w:t>
      </w:r>
      <w:r w:rsidR="008323EF">
        <w:rPr>
          <w:rFonts w:asciiTheme="minorHAnsi" w:hAnsiTheme="minorHAnsi" w:cstheme="minorHAnsi"/>
          <w:sz w:val="22"/>
        </w:rPr>
        <w:t>ts of the poll were as follows:</w:t>
      </w:r>
    </w:p>
    <w:p w14:paraId="377462A3" w14:textId="77777777" w:rsidR="005160F5" w:rsidRPr="005160F5" w:rsidRDefault="005160F5" w:rsidP="005160F5">
      <w:pPr>
        <w:pStyle w:val="CMSANIndent2"/>
        <w:rPr>
          <w:rFonts w:asciiTheme="minorHAnsi" w:hAnsiTheme="minorHAnsi" w:cstheme="minorHAnsi"/>
          <w:sz w:val="22"/>
        </w:rPr>
      </w:pPr>
      <w:r w:rsidRPr="005160F5">
        <w:rPr>
          <w:rFonts w:asciiTheme="minorHAnsi" w:hAnsiTheme="minorHAnsi" w:cstheme="minorHAnsi"/>
          <w:sz w:val="22"/>
        </w:rPr>
        <w:t> </w:t>
      </w:r>
    </w:p>
    <w:tbl>
      <w:tblPr>
        <w:tblW w:w="9347" w:type="dxa"/>
        <w:tblInd w:w="-10" w:type="dxa"/>
        <w:shd w:val="clear" w:color="auto" w:fill="FFFFFF"/>
        <w:tblCellMar>
          <w:left w:w="0" w:type="dxa"/>
          <w:right w:w="0" w:type="dxa"/>
        </w:tblCellMar>
        <w:tblLook w:val="04A0" w:firstRow="1" w:lastRow="0" w:firstColumn="1" w:lastColumn="0" w:noHBand="0" w:noVBand="1"/>
      </w:tblPr>
      <w:tblGrid>
        <w:gridCol w:w="1169"/>
        <w:gridCol w:w="1785"/>
        <w:gridCol w:w="1730"/>
        <w:gridCol w:w="1262"/>
        <w:gridCol w:w="1713"/>
        <w:gridCol w:w="1688"/>
      </w:tblGrid>
      <w:tr w:rsidR="005160F5" w:rsidRPr="005160F5" w14:paraId="3C837F7B" w14:textId="77777777" w:rsidTr="008323EF">
        <w:trPr>
          <w:trHeight w:val="274"/>
        </w:trPr>
        <w:tc>
          <w:tcPr>
            <w:tcW w:w="9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F8E70D" w14:textId="77777777" w:rsidR="005160F5" w:rsidRPr="005160F5" w:rsidRDefault="005160F5" w:rsidP="005160F5">
            <w:pPr>
              <w:pStyle w:val="CMSANIndent2"/>
              <w:ind w:left="0"/>
              <w:rPr>
                <w:rFonts w:asciiTheme="minorHAnsi" w:hAnsiTheme="minorHAnsi" w:cstheme="minorHAnsi"/>
                <w:sz w:val="22"/>
              </w:rPr>
            </w:pPr>
            <w:r w:rsidRPr="005160F5">
              <w:rPr>
                <w:rFonts w:asciiTheme="minorHAnsi" w:hAnsiTheme="minorHAnsi" w:cstheme="minorHAnsi"/>
                <w:sz w:val="22"/>
              </w:rPr>
              <w:t>Resolution</w:t>
            </w:r>
          </w:p>
        </w:tc>
        <w:tc>
          <w:tcPr>
            <w:tcW w:w="360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D7AE1F" w14:textId="3A6412FD" w:rsidR="005160F5" w:rsidRPr="005160F5" w:rsidRDefault="005160F5" w:rsidP="005160F5">
            <w:pPr>
              <w:pStyle w:val="CMSANIndent2"/>
              <w:ind w:left="0"/>
              <w:jc w:val="center"/>
              <w:rPr>
                <w:rFonts w:asciiTheme="minorHAnsi" w:hAnsiTheme="minorHAnsi" w:cstheme="minorHAnsi"/>
                <w:sz w:val="22"/>
              </w:rPr>
            </w:pPr>
            <w:r w:rsidRPr="005160F5">
              <w:rPr>
                <w:rFonts w:asciiTheme="minorHAnsi" w:hAnsiTheme="minorHAnsi" w:cstheme="minorHAnsi"/>
                <w:sz w:val="22"/>
              </w:rPr>
              <w:t>In favour</w:t>
            </w:r>
          </w:p>
        </w:tc>
        <w:tc>
          <w:tcPr>
            <w:tcW w:w="306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3FA119" w14:textId="77777777" w:rsidR="005160F5" w:rsidRPr="005160F5" w:rsidRDefault="005160F5" w:rsidP="005160F5">
            <w:pPr>
              <w:pStyle w:val="CMSANIndent2"/>
              <w:ind w:left="0"/>
              <w:jc w:val="center"/>
              <w:rPr>
                <w:rFonts w:asciiTheme="minorHAnsi" w:hAnsiTheme="minorHAnsi" w:cstheme="minorHAnsi"/>
                <w:sz w:val="22"/>
              </w:rPr>
            </w:pPr>
            <w:r w:rsidRPr="005160F5">
              <w:rPr>
                <w:rFonts w:asciiTheme="minorHAnsi" w:hAnsiTheme="minorHAnsi" w:cstheme="minorHAnsi"/>
                <w:sz w:val="22"/>
              </w:rPr>
              <w:t>Against</w:t>
            </w:r>
          </w:p>
        </w:tc>
        <w:tc>
          <w:tcPr>
            <w:tcW w:w="17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13FAA5" w14:textId="77777777" w:rsidR="005160F5" w:rsidRPr="005160F5" w:rsidRDefault="005160F5" w:rsidP="00B777E8">
            <w:pPr>
              <w:pStyle w:val="CMSANIndent2"/>
              <w:ind w:left="0"/>
              <w:jc w:val="center"/>
              <w:rPr>
                <w:rFonts w:asciiTheme="minorHAnsi" w:hAnsiTheme="minorHAnsi" w:cstheme="minorHAnsi"/>
                <w:sz w:val="22"/>
              </w:rPr>
            </w:pPr>
            <w:r w:rsidRPr="005160F5">
              <w:rPr>
                <w:rFonts w:asciiTheme="minorHAnsi" w:hAnsiTheme="minorHAnsi" w:cstheme="minorHAnsi"/>
                <w:sz w:val="22"/>
              </w:rPr>
              <w:t>Withheld</w:t>
            </w:r>
          </w:p>
        </w:tc>
      </w:tr>
      <w:tr w:rsidR="005160F5" w:rsidRPr="005160F5" w14:paraId="5496BFF3" w14:textId="77777777" w:rsidTr="008323EF">
        <w:trPr>
          <w:trHeight w:val="274"/>
        </w:trPr>
        <w:tc>
          <w:tcPr>
            <w:tcW w:w="9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BE6F1F" w14:textId="77777777" w:rsidR="005160F5" w:rsidRPr="005160F5" w:rsidRDefault="005160F5" w:rsidP="005160F5">
            <w:pPr>
              <w:pStyle w:val="CMSANIndent2"/>
              <w:ind w:left="0"/>
              <w:rPr>
                <w:rFonts w:asciiTheme="minorHAnsi" w:hAnsiTheme="minorHAnsi" w:cstheme="minorHAnsi"/>
                <w:sz w:val="22"/>
              </w:rPr>
            </w:pP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9BF24" w14:textId="77777777" w:rsidR="005160F5" w:rsidRPr="005160F5" w:rsidRDefault="005160F5" w:rsidP="00241AFF">
            <w:pPr>
              <w:pStyle w:val="CMSANIndent2"/>
              <w:ind w:left="0"/>
              <w:jc w:val="right"/>
              <w:rPr>
                <w:rFonts w:asciiTheme="minorHAnsi" w:hAnsiTheme="minorHAnsi" w:cstheme="minorHAnsi"/>
                <w:sz w:val="22"/>
              </w:rPr>
            </w:pPr>
            <w:r w:rsidRPr="005160F5">
              <w:rPr>
                <w:rFonts w:asciiTheme="minorHAnsi" w:hAnsiTheme="minorHAnsi" w:cstheme="minorHAnsi"/>
                <w:b/>
                <w:bCs/>
                <w:sz w:val="22"/>
              </w:rPr>
              <w:t>Votes</w:t>
            </w:r>
          </w:p>
        </w:tc>
        <w:tc>
          <w:tcPr>
            <w:tcW w:w="1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E6C1D6" w14:textId="77777777" w:rsidR="005160F5" w:rsidRPr="005160F5" w:rsidRDefault="005160F5" w:rsidP="00241AFF">
            <w:pPr>
              <w:pStyle w:val="CMSANIndent2"/>
              <w:ind w:left="0"/>
              <w:jc w:val="right"/>
              <w:rPr>
                <w:rFonts w:asciiTheme="minorHAnsi" w:hAnsiTheme="minorHAnsi" w:cstheme="minorHAnsi"/>
                <w:sz w:val="22"/>
              </w:rPr>
            </w:pPr>
            <w:r w:rsidRPr="005160F5">
              <w:rPr>
                <w:rFonts w:asciiTheme="minorHAnsi" w:hAnsiTheme="minorHAnsi" w:cstheme="minorHAnsi"/>
                <w:b/>
                <w:bCs/>
                <w:sz w:val="22"/>
              </w:rPr>
              <w:t>% Votes Cast</w:t>
            </w:r>
          </w:p>
        </w:tc>
        <w:tc>
          <w:tcPr>
            <w:tcW w:w="1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70F07" w14:textId="77777777" w:rsidR="005160F5" w:rsidRPr="005160F5" w:rsidRDefault="005160F5" w:rsidP="00241AFF">
            <w:pPr>
              <w:pStyle w:val="CMSANIndent2"/>
              <w:ind w:left="0"/>
              <w:jc w:val="right"/>
              <w:rPr>
                <w:rFonts w:asciiTheme="minorHAnsi" w:hAnsiTheme="minorHAnsi" w:cstheme="minorHAnsi"/>
                <w:sz w:val="22"/>
              </w:rPr>
            </w:pPr>
            <w:r w:rsidRPr="005160F5">
              <w:rPr>
                <w:rFonts w:asciiTheme="minorHAnsi" w:hAnsiTheme="minorHAnsi" w:cstheme="minorHAnsi"/>
                <w:b/>
                <w:bCs/>
                <w:sz w:val="22"/>
              </w:rPr>
              <w:t>Votes</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F842AD" w14:textId="77777777" w:rsidR="005160F5" w:rsidRPr="005160F5" w:rsidRDefault="005160F5" w:rsidP="00241AFF">
            <w:pPr>
              <w:pStyle w:val="CMSANIndent2"/>
              <w:ind w:left="0"/>
              <w:jc w:val="right"/>
              <w:rPr>
                <w:rFonts w:asciiTheme="minorHAnsi" w:hAnsiTheme="minorHAnsi" w:cstheme="minorHAnsi"/>
                <w:sz w:val="22"/>
              </w:rPr>
            </w:pPr>
            <w:r w:rsidRPr="005160F5">
              <w:rPr>
                <w:rFonts w:asciiTheme="minorHAnsi" w:hAnsiTheme="minorHAnsi" w:cstheme="minorHAnsi"/>
                <w:b/>
                <w:bCs/>
                <w:sz w:val="22"/>
              </w:rPr>
              <w:t>% Votes Cast</w:t>
            </w:r>
          </w:p>
        </w:tc>
        <w:tc>
          <w:tcPr>
            <w:tcW w:w="1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22DD77" w14:textId="77777777" w:rsidR="005160F5" w:rsidRPr="005160F5" w:rsidRDefault="005160F5" w:rsidP="00241AFF">
            <w:pPr>
              <w:pStyle w:val="CMSANIndent2"/>
              <w:ind w:left="0"/>
              <w:jc w:val="right"/>
              <w:rPr>
                <w:rFonts w:asciiTheme="minorHAnsi" w:hAnsiTheme="minorHAnsi" w:cstheme="minorHAnsi"/>
                <w:sz w:val="22"/>
              </w:rPr>
            </w:pPr>
            <w:r w:rsidRPr="005160F5">
              <w:rPr>
                <w:rFonts w:asciiTheme="minorHAnsi" w:hAnsiTheme="minorHAnsi" w:cstheme="minorHAnsi"/>
                <w:b/>
                <w:bCs/>
                <w:sz w:val="22"/>
              </w:rPr>
              <w:t>Votes</w:t>
            </w:r>
          </w:p>
        </w:tc>
      </w:tr>
      <w:tr w:rsidR="005160F5" w:rsidRPr="005160F5" w14:paraId="1AF2218A" w14:textId="77777777" w:rsidTr="008323EF">
        <w:trPr>
          <w:trHeight w:val="274"/>
        </w:trPr>
        <w:tc>
          <w:tcPr>
            <w:tcW w:w="9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4E9D14" w14:textId="77777777" w:rsidR="005160F5" w:rsidRPr="005160F5" w:rsidRDefault="005160F5" w:rsidP="00241AFF">
            <w:pPr>
              <w:pStyle w:val="CMSANIndent2"/>
              <w:ind w:left="0"/>
              <w:jc w:val="right"/>
              <w:rPr>
                <w:rFonts w:asciiTheme="minorHAnsi" w:hAnsiTheme="minorHAnsi" w:cstheme="minorHAnsi"/>
                <w:sz w:val="22"/>
              </w:rPr>
            </w:pPr>
            <w:r w:rsidRPr="005160F5">
              <w:rPr>
                <w:rFonts w:asciiTheme="minorHAnsi" w:hAnsiTheme="minorHAnsi" w:cstheme="minorHAnsi"/>
                <w:sz w:val="22"/>
              </w:rPr>
              <w:t>1</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ECDB4A" w14:textId="21A8E901" w:rsidR="005160F5" w:rsidRPr="005160F5" w:rsidRDefault="00175FE6" w:rsidP="00241AFF">
            <w:pPr>
              <w:pStyle w:val="CMSANIndent2"/>
              <w:ind w:left="0"/>
              <w:jc w:val="right"/>
              <w:rPr>
                <w:rFonts w:asciiTheme="minorHAnsi" w:hAnsiTheme="minorHAnsi" w:cstheme="minorHAnsi"/>
                <w:sz w:val="22"/>
              </w:rPr>
            </w:pPr>
            <w:r>
              <w:rPr>
                <w:rFonts w:asciiTheme="minorHAnsi" w:hAnsiTheme="minorHAnsi" w:cstheme="minorHAnsi"/>
                <w:sz w:val="22"/>
              </w:rPr>
              <w:t>55,934,860</w:t>
            </w:r>
          </w:p>
        </w:tc>
        <w:tc>
          <w:tcPr>
            <w:tcW w:w="1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A56340" w14:textId="3BECC3DD" w:rsidR="005160F5" w:rsidRPr="005160F5" w:rsidRDefault="00175FE6" w:rsidP="00241AFF">
            <w:pPr>
              <w:pStyle w:val="CMSANIndent2"/>
              <w:ind w:left="0"/>
              <w:jc w:val="right"/>
              <w:rPr>
                <w:rFonts w:asciiTheme="minorHAnsi" w:hAnsiTheme="minorHAnsi" w:cstheme="minorHAnsi"/>
                <w:sz w:val="22"/>
              </w:rPr>
            </w:pPr>
            <w:r>
              <w:rPr>
                <w:rFonts w:asciiTheme="minorHAnsi" w:hAnsiTheme="minorHAnsi" w:cstheme="minorHAnsi"/>
                <w:sz w:val="22"/>
              </w:rPr>
              <w:t>99.9</w:t>
            </w:r>
          </w:p>
        </w:tc>
        <w:tc>
          <w:tcPr>
            <w:tcW w:w="12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DD5F05" w14:textId="45D999CF" w:rsidR="005160F5" w:rsidRPr="005160F5" w:rsidRDefault="00175FE6" w:rsidP="00241AFF">
            <w:pPr>
              <w:pStyle w:val="CMSANIndent2"/>
              <w:ind w:left="0"/>
              <w:jc w:val="right"/>
              <w:rPr>
                <w:rFonts w:asciiTheme="minorHAnsi" w:hAnsiTheme="minorHAnsi" w:cstheme="minorHAnsi"/>
                <w:sz w:val="22"/>
              </w:rPr>
            </w:pPr>
            <w:r>
              <w:rPr>
                <w:rFonts w:asciiTheme="minorHAnsi" w:hAnsiTheme="minorHAnsi" w:cstheme="minorHAnsi"/>
                <w:sz w:val="22"/>
              </w:rPr>
              <w:t>3,505</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93472D" w14:textId="24DDB5C0" w:rsidR="005160F5" w:rsidRPr="005160F5" w:rsidRDefault="00175FE6" w:rsidP="00241AFF">
            <w:pPr>
              <w:pStyle w:val="CMSANIndent2"/>
              <w:ind w:left="0"/>
              <w:jc w:val="right"/>
              <w:rPr>
                <w:rFonts w:asciiTheme="minorHAnsi" w:hAnsiTheme="minorHAnsi" w:cstheme="minorHAnsi"/>
                <w:sz w:val="22"/>
              </w:rPr>
            </w:pPr>
            <w:r>
              <w:rPr>
                <w:rFonts w:asciiTheme="minorHAnsi" w:hAnsiTheme="minorHAnsi" w:cstheme="minorHAnsi"/>
                <w:sz w:val="22"/>
              </w:rPr>
              <w:t>0.01</w:t>
            </w:r>
          </w:p>
        </w:tc>
        <w:tc>
          <w:tcPr>
            <w:tcW w:w="1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1E716D" w14:textId="39DA8872" w:rsidR="005160F5" w:rsidRPr="005160F5" w:rsidRDefault="00175FE6" w:rsidP="00241AFF">
            <w:pPr>
              <w:pStyle w:val="CMSANIndent2"/>
              <w:ind w:left="0"/>
              <w:jc w:val="right"/>
              <w:rPr>
                <w:rFonts w:asciiTheme="minorHAnsi" w:hAnsiTheme="minorHAnsi" w:cstheme="minorHAnsi"/>
                <w:sz w:val="22"/>
              </w:rPr>
            </w:pPr>
            <w:r>
              <w:rPr>
                <w:rFonts w:asciiTheme="minorHAnsi" w:hAnsiTheme="minorHAnsi" w:cstheme="minorHAnsi"/>
                <w:sz w:val="22"/>
              </w:rPr>
              <w:t>1,500</w:t>
            </w:r>
          </w:p>
        </w:tc>
      </w:tr>
    </w:tbl>
    <w:p w14:paraId="4322A7AF" w14:textId="526ED8B6" w:rsidR="00496B31" w:rsidRPr="004D06E5" w:rsidRDefault="008323EF" w:rsidP="004D06E5">
      <w:pPr>
        <w:pStyle w:val="CMSANIndent2"/>
        <w:ind w:left="0"/>
        <w:rPr>
          <w:rFonts w:asciiTheme="minorHAnsi" w:hAnsiTheme="minorHAnsi" w:cstheme="minorHAnsi"/>
          <w:sz w:val="22"/>
        </w:rPr>
      </w:pPr>
      <w:r w:rsidRPr="008323EF">
        <w:rPr>
          <w:rFonts w:asciiTheme="minorHAnsi" w:hAnsiTheme="minorHAnsi" w:cstheme="minorHAnsi"/>
          <w:sz w:val="22"/>
        </w:rPr>
        <w:t>At the time of the above meeting, the Company's issued share capital consisted of 100,000,000 ordinary shares. The Company held no shares in treasury.  Therefore, the total number of ordinary shares with voting rights was 100,000,000. Each ordinary share held entitles the holder to one vote and there are no restrictions on those voting rights. A "Vote withheld" is not a vote in law and is not counted in the calculation of the percentage of shares voted "For" or "Against" a resolution.</w:t>
      </w:r>
    </w:p>
    <w:p w14:paraId="62C264C2" w14:textId="77777777" w:rsidR="004D06E5" w:rsidRPr="004D06E5" w:rsidRDefault="004D06E5" w:rsidP="004D06E5">
      <w:pPr>
        <w:pStyle w:val="CMSANIndent2"/>
        <w:ind w:left="0"/>
        <w:rPr>
          <w:rFonts w:asciiTheme="minorHAnsi" w:hAnsiTheme="minorHAnsi" w:cstheme="minorHAnsi"/>
          <w:b/>
          <w:sz w:val="22"/>
        </w:rPr>
      </w:pPr>
      <w:r w:rsidRPr="004D06E5">
        <w:rPr>
          <w:rFonts w:asciiTheme="minorHAnsi" w:hAnsiTheme="minorHAnsi" w:cstheme="minorHAnsi"/>
          <w:b/>
          <w:sz w:val="22"/>
        </w:rPr>
        <w:t>Total Voting Rights</w:t>
      </w:r>
    </w:p>
    <w:p w14:paraId="1C1FA0F6" w14:textId="38EAE351" w:rsidR="00496B31" w:rsidRPr="00496B31" w:rsidRDefault="00496B31" w:rsidP="004D06E5">
      <w:pPr>
        <w:spacing w:after="0" w:line="240" w:lineRule="auto"/>
        <w:rPr>
          <w:rFonts w:asciiTheme="minorHAnsi" w:hAnsiTheme="minorHAnsi" w:cstheme="minorHAnsi"/>
          <w:sz w:val="22"/>
        </w:rPr>
      </w:pPr>
      <w:r w:rsidRPr="00496B31">
        <w:rPr>
          <w:rFonts w:ascii="Calibri" w:eastAsia="Calibri" w:hAnsi="Calibri" w:cs="Calibri"/>
          <w:sz w:val="22"/>
          <w:szCs w:val="22"/>
          <w:lang w:val="en-GB"/>
        </w:rPr>
        <w:t xml:space="preserve">In accordance with DTR 5.6.1R, </w:t>
      </w:r>
      <w:r w:rsidR="004D06E5" w:rsidRPr="00496B31">
        <w:rPr>
          <w:rFonts w:asciiTheme="minorHAnsi" w:hAnsiTheme="minorHAnsi" w:cstheme="minorHAnsi"/>
          <w:sz w:val="22"/>
        </w:rPr>
        <w:t>following</w:t>
      </w:r>
      <w:r w:rsidRPr="00496B31">
        <w:rPr>
          <w:rFonts w:asciiTheme="minorHAnsi" w:hAnsiTheme="minorHAnsi" w:cstheme="minorHAnsi"/>
          <w:sz w:val="22"/>
        </w:rPr>
        <w:t xml:space="preserve"> the repurchase and cancellation of the tendered </w:t>
      </w:r>
      <w:r>
        <w:rPr>
          <w:rFonts w:asciiTheme="minorHAnsi" w:hAnsiTheme="minorHAnsi" w:cstheme="minorHAnsi"/>
          <w:sz w:val="22"/>
        </w:rPr>
        <w:t xml:space="preserve">Ordinary </w:t>
      </w:r>
      <w:r w:rsidRPr="00496B31">
        <w:rPr>
          <w:rFonts w:asciiTheme="minorHAnsi" w:hAnsiTheme="minorHAnsi" w:cstheme="minorHAnsi"/>
          <w:sz w:val="22"/>
        </w:rPr>
        <w:t>Shares by the Company</w:t>
      </w:r>
      <w:r>
        <w:rPr>
          <w:rFonts w:asciiTheme="minorHAnsi" w:hAnsiTheme="minorHAnsi" w:cstheme="minorHAnsi"/>
          <w:sz w:val="22"/>
        </w:rPr>
        <w:t xml:space="preserve">, </w:t>
      </w:r>
      <w:r w:rsidRPr="00496B31">
        <w:rPr>
          <w:rFonts w:asciiTheme="minorHAnsi" w:hAnsiTheme="minorHAnsi" w:cstheme="minorHAnsi"/>
          <w:sz w:val="22"/>
        </w:rPr>
        <w:t>the Company's total issued share capital consists of 81,438,268</w:t>
      </w:r>
      <w:r>
        <w:rPr>
          <w:rFonts w:asciiTheme="minorHAnsi" w:hAnsiTheme="minorHAnsi" w:cstheme="minorHAnsi"/>
          <w:sz w:val="22"/>
        </w:rPr>
        <w:t xml:space="preserve"> </w:t>
      </w:r>
      <w:r w:rsidRPr="00496B31">
        <w:rPr>
          <w:rFonts w:asciiTheme="minorHAnsi" w:hAnsiTheme="minorHAnsi" w:cstheme="minorHAnsi"/>
          <w:sz w:val="22"/>
        </w:rPr>
        <w:t xml:space="preserve">Shares of </w:t>
      </w:r>
      <w:r w:rsidR="00D65C2C">
        <w:rPr>
          <w:rFonts w:asciiTheme="minorHAnsi" w:hAnsiTheme="minorHAnsi" w:cstheme="minorHAnsi"/>
          <w:sz w:val="22"/>
        </w:rPr>
        <w:t>£0.01</w:t>
      </w:r>
      <w:r>
        <w:rPr>
          <w:rFonts w:asciiTheme="minorHAnsi" w:hAnsiTheme="minorHAnsi" w:cstheme="minorHAnsi"/>
          <w:sz w:val="22"/>
        </w:rPr>
        <w:t xml:space="preserve"> each</w:t>
      </w:r>
      <w:r w:rsidRPr="00496B31">
        <w:rPr>
          <w:rFonts w:asciiTheme="minorHAnsi" w:hAnsiTheme="minorHAnsi" w:cstheme="minorHAnsi"/>
          <w:sz w:val="22"/>
        </w:rPr>
        <w:t xml:space="preserve">. The Company does not hold any </w:t>
      </w:r>
      <w:r>
        <w:rPr>
          <w:rFonts w:asciiTheme="minorHAnsi" w:hAnsiTheme="minorHAnsi" w:cstheme="minorHAnsi"/>
          <w:sz w:val="22"/>
        </w:rPr>
        <w:t xml:space="preserve">Ordinary </w:t>
      </w:r>
      <w:r w:rsidRPr="00496B31">
        <w:rPr>
          <w:rFonts w:asciiTheme="minorHAnsi" w:hAnsiTheme="minorHAnsi" w:cstheme="minorHAnsi"/>
          <w:sz w:val="22"/>
        </w:rPr>
        <w:t>Shares in treasury.</w:t>
      </w:r>
    </w:p>
    <w:p w14:paraId="299C50F0" w14:textId="1ECD911D" w:rsidR="00496B31" w:rsidRPr="00496B31" w:rsidRDefault="00496B31" w:rsidP="00496B31">
      <w:pPr>
        <w:pStyle w:val="CMSANIndent2"/>
        <w:ind w:left="0"/>
        <w:rPr>
          <w:rFonts w:asciiTheme="minorHAnsi" w:hAnsiTheme="minorHAnsi" w:cstheme="minorHAnsi"/>
          <w:sz w:val="22"/>
        </w:rPr>
      </w:pPr>
      <w:r w:rsidRPr="00496B31">
        <w:rPr>
          <w:rFonts w:asciiTheme="minorHAnsi" w:hAnsiTheme="minorHAnsi" w:cstheme="minorHAnsi"/>
          <w:sz w:val="22"/>
        </w:rPr>
        <w:t xml:space="preserve">Accordingly, the total number of </w:t>
      </w:r>
      <w:r w:rsidR="00D65C2C">
        <w:rPr>
          <w:rFonts w:asciiTheme="minorHAnsi" w:hAnsiTheme="minorHAnsi" w:cstheme="minorHAnsi"/>
          <w:sz w:val="22"/>
        </w:rPr>
        <w:t xml:space="preserve">Ordinary </w:t>
      </w:r>
      <w:r w:rsidRPr="00496B31">
        <w:rPr>
          <w:rFonts w:asciiTheme="minorHAnsi" w:hAnsiTheme="minorHAnsi" w:cstheme="minorHAnsi"/>
          <w:sz w:val="22"/>
        </w:rPr>
        <w:t>Shares in the Company, each with equal voting rights, is currently 81,438,268.</w:t>
      </w:r>
    </w:p>
    <w:p w14:paraId="75EC624D" w14:textId="4538F416" w:rsidR="00955CDD" w:rsidRPr="00920161" w:rsidRDefault="00496B31" w:rsidP="00496B31">
      <w:pPr>
        <w:pStyle w:val="CMSANIndent2"/>
        <w:ind w:left="0"/>
        <w:rPr>
          <w:rFonts w:asciiTheme="minorHAnsi" w:hAnsiTheme="minorHAnsi" w:cstheme="minorHAnsi"/>
          <w:sz w:val="22"/>
        </w:rPr>
      </w:pPr>
      <w:r w:rsidRPr="00496B31">
        <w:rPr>
          <w:rFonts w:asciiTheme="minorHAnsi" w:hAnsiTheme="minorHAnsi" w:cstheme="minorHAnsi"/>
          <w:sz w:val="22"/>
        </w:rPr>
        <w:t xml:space="preserve">This total voting rights figure can be used by shareholders as the denominator for the calculations by which they will determine whether they are required to notify their interest, or a change to their interest, in the Company under the FCA's Disclosure Guidance and Transparency Rules. </w:t>
      </w:r>
    </w:p>
    <w:p w14:paraId="420EA4A8" w14:textId="5AE36E8B" w:rsidR="00584896" w:rsidRPr="00920161" w:rsidRDefault="00955CDD" w:rsidP="00132167">
      <w:pPr>
        <w:pStyle w:val="CMSANIndent2"/>
        <w:widowControl w:val="0"/>
        <w:ind w:left="0"/>
        <w:rPr>
          <w:rStyle w:val="ay"/>
          <w:rFonts w:asciiTheme="minorHAnsi" w:hAnsiTheme="minorHAnsi" w:cstheme="minorHAnsi"/>
          <w:color w:val="212721"/>
          <w:sz w:val="22"/>
        </w:rPr>
      </w:pPr>
      <w:r w:rsidRPr="00920161">
        <w:rPr>
          <w:rFonts w:asciiTheme="minorHAnsi" w:hAnsiTheme="minorHAnsi" w:cstheme="minorHAnsi"/>
          <w:sz w:val="22"/>
        </w:rPr>
        <w:t xml:space="preserve"> </w:t>
      </w:r>
    </w:p>
    <w:p w14:paraId="6D25A573" w14:textId="3707D1F6" w:rsidR="00955CDD" w:rsidRPr="00920161" w:rsidRDefault="00955CDD" w:rsidP="00955CDD">
      <w:pPr>
        <w:pStyle w:val="bo"/>
        <w:spacing w:before="0" w:beforeAutospacing="0" w:after="220" w:afterAutospacing="0" w:line="240" w:lineRule="atLeast"/>
        <w:jc w:val="both"/>
        <w:rPr>
          <w:rFonts w:asciiTheme="minorHAnsi" w:hAnsiTheme="minorHAnsi" w:cstheme="minorHAnsi"/>
          <w:color w:val="000000"/>
          <w:sz w:val="22"/>
          <w:szCs w:val="22"/>
        </w:rPr>
      </w:pPr>
      <w:r w:rsidRPr="00920161">
        <w:rPr>
          <w:rStyle w:val="ay"/>
          <w:rFonts w:asciiTheme="minorHAnsi" w:hAnsiTheme="minorHAnsi" w:cstheme="minorHAnsi"/>
          <w:b/>
          <w:bCs/>
          <w:color w:val="212721"/>
          <w:sz w:val="22"/>
          <w:szCs w:val="22"/>
        </w:rPr>
        <w:t>For further information, please contact:</w:t>
      </w:r>
    </w:p>
    <w:tbl>
      <w:tblPr>
        <w:tblW w:w="0" w:type="auto"/>
        <w:tblCellMar>
          <w:left w:w="0" w:type="dxa"/>
          <w:right w:w="0" w:type="dxa"/>
        </w:tblCellMar>
        <w:tblLook w:val="04A0" w:firstRow="1" w:lastRow="0" w:firstColumn="1" w:lastColumn="0" w:noHBand="0" w:noVBand="1"/>
      </w:tblPr>
      <w:tblGrid>
        <w:gridCol w:w="7513"/>
        <w:gridCol w:w="1502"/>
      </w:tblGrid>
      <w:tr w:rsidR="00955CDD" w:rsidRPr="00920161" w14:paraId="50D4A7C9" w14:textId="77777777" w:rsidTr="00DB223D">
        <w:tc>
          <w:tcPr>
            <w:tcW w:w="7513" w:type="dxa"/>
          </w:tcPr>
          <w:p w14:paraId="58490F3B" w14:textId="77777777" w:rsidR="00955CDD" w:rsidRPr="00920161" w:rsidRDefault="00955CDD" w:rsidP="00DB223D">
            <w:pPr>
              <w:pStyle w:val="NoSpacing"/>
              <w:rPr>
                <w:rStyle w:val="bk"/>
                <w:rFonts w:asciiTheme="minorHAnsi" w:hAnsiTheme="minorHAnsi" w:cstheme="minorHAnsi"/>
                <w:color w:val="212721"/>
                <w:sz w:val="22"/>
                <w:szCs w:val="22"/>
                <w:lang w:val="pt-BR"/>
              </w:rPr>
            </w:pPr>
            <w:r w:rsidRPr="00920161">
              <w:rPr>
                <w:rStyle w:val="bl"/>
                <w:rFonts w:asciiTheme="minorHAnsi" w:hAnsiTheme="minorHAnsi" w:cstheme="minorHAnsi"/>
                <w:b/>
                <w:color w:val="212721"/>
                <w:sz w:val="22"/>
                <w:szCs w:val="22"/>
                <w:lang w:val="pt-BR"/>
              </w:rPr>
              <w:t>Aquila Capital</w:t>
            </w:r>
            <w:r w:rsidRPr="00920161">
              <w:rPr>
                <w:rFonts w:asciiTheme="minorHAnsi" w:hAnsiTheme="minorHAnsi" w:cstheme="minorHAnsi"/>
                <w:color w:val="000000"/>
                <w:sz w:val="22"/>
                <w:szCs w:val="22"/>
                <w:lang w:val="pt-BR"/>
              </w:rPr>
              <w:t> </w:t>
            </w:r>
            <w:r w:rsidRPr="00920161">
              <w:rPr>
                <w:rStyle w:val="bk"/>
                <w:rFonts w:asciiTheme="minorHAnsi" w:hAnsiTheme="minorHAnsi" w:cstheme="minorHAnsi"/>
                <w:color w:val="212721"/>
                <w:sz w:val="22"/>
                <w:szCs w:val="22"/>
                <w:lang w:val="pt-BR"/>
              </w:rPr>
              <w:t>(Investment Adviser)  Via Buchanan</w:t>
            </w:r>
          </w:p>
          <w:p w14:paraId="05DA3E5A" w14:textId="77777777" w:rsidR="00955CDD" w:rsidRPr="00920161" w:rsidRDefault="00955CDD" w:rsidP="00DB223D">
            <w:pPr>
              <w:pStyle w:val="NoSpacing"/>
              <w:rPr>
                <w:rStyle w:val="ay"/>
                <w:rFonts w:asciiTheme="minorHAnsi" w:hAnsiTheme="minorHAnsi" w:cstheme="minorHAnsi"/>
                <w:b/>
                <w:color w:val="212721"/>
                <w:sz w:val="22"/>
                <w:szCs w:val="22"/>
                <w:lang w:val="pt-BR"/>
              </w:rPr>
            </w:pPr>
          </w:p>
        </w:tc>
        <w:tc>
          <w:tcPr>
            <w:tcW w:w="1502" w:type="dxa"/>
          </w:tcPr>
          <w:p w14:paraId="2096B619" w14:textId="77777777" w:rsidR="00955CDD" w:rsidRPr="00920161" w:rsidRDefault="00955CDD" w:rsidP="00DB223D">
            <w:pPr>
              <w:pStyle w:val="NoSpacing"/>
              <w:rPr>
                <w:rFonts w:asciiTheme="minorHAnsi" w:hAnsiTheme="minorHAnsi" w:cstheme="minorHAnsi"/>
                <w:color w:val="212721"/>
                <w:sz w:val="22"/>
                <w:szCs w:val="22"/>
                <w:lang w:val="pt-BR"/>
              </w:rPr>
            </w:pPr>
          </w:p>
        </w:tc>
      </w:tr>
      <w:tr w:rsidR="00955CDD" w:rsidRPr="00920161" w14:paraId="6C2CA8D5" w14:textId="77777777" w:rsidTr="00DB223D">
        <w:tc>
          <w:tcPr>
            <w:tcW w:w="7513" w:type="dxa"/>
          </w:tcPr>
          <w:p w14:paraId="0935A789"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b/>
                <w:color w:val="212721"/>
                <w:sz w:val="22"/>
                <w:szCs w:val="22"/>
                <w:lang w:val="en-GB"/>
              </w:rPr>
              <w:t xml:space="preserve">Stifel Nicolaus Europe Limited </w:t>
            </w:r>
            <w:r w:rsidRPr="00920161">
              <w:rPr>
                <w:rStyle w:val="ay"/>
                <w:rFonts w:asciiTheme="minorHAnsi" w:hAnsiTheme="minorHAnsi" w:cstheme="minorHAnsi"/>
                <w:color w:val="212721"/>
                <w:sz w:val="22"/>
                <w:szCs w:val="22"/>
                <w:lang w:val="en-GB"/>
              </w:rPr>
              <w:t>(Corporate Broker)</w:t>
            </w:r>
          </w:p>
          <w:p w14:paraId="6A68DA41"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color w:val="212721"/>
                <w:sz w:val="22"/>
                <w:szCs w:val="22"/>
                <w:lang w:val="en-GB"/>
              </w:rPr>
              <w:t>Edward Gibson-Watt, Rajpal Padam, Madison Kominski</w:t>
            </w:r>
          </w:p>
        </w:tc>
        <w:tc>
          <w:tcPr>
            <w:tcW w:w="1502" w:type="dxa"/>
          </w:tcPr>
          <w:p w14:paraId="5389E540"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Fonts w:asciiTheme="minorHAnsi" w:hAnsiTheme="minorHAnsi" w:cstheme="minorHAnsi"/>
                <w:color w:val="212721"/>
                <w:sz w:val="22"/>
                <w:szCs w:val="22"/>
                <w:lang w:val="en-GB"/>
              </w:rPr>
              <w:t>020 7710 7600</w:t>
            </w:r>
          </w:p>
        </w:tc>
      </w:tr>
      <w:tr w:rsidR="00955CDD" w:rsidRPr="00920161" w14:paraId="2777904D" w14:textId="77777777" w:rsidTr="00DB223D">
        <w:tc>
          <w:tcPr>
            <w:tcW w:w="7513" w:type="dxa"/>
          </w:tcPr>
          <w:p w14:paraId="0855D264" w14:textId="77777777" w:rsidR="00955CDD" w:rsidRPr="00920161" w:rsidRDefault="00955CDD" w:rsidP="00DB223D">
            <w:pPr>
              <w:pStyle w:val="NoSpacing"/>
              <w:rPr>
                <w:rStyle w:val="ay"/>
                <w:rFonts w:asciiTheme="minorHAnsi" w:hAnsiTheme="minorHAnsi" w:cstheme="minorHAnsi"/>
                <w:b/>
                <w:color w:val="212721"/>
                <w:sz w:val="22"/>
                <w:szCs w:val="22"/>
                <w:lang w:val="en-GB"/>
              </w:rPr>
            </w:pPr>
          </w:p>
        </w:tc>
        <w:tc>
          <w:tcPr>
            <w:tcW w:w="1502" w:type="dxa"/>
          </w:tcPr>
          <w:p w14:paraId="5F750617" w14:textId="77777777" w:rsidR="00955CDD" w:rsidRPr="00920161" w:rsidRDefault="00955CDD" w:rsidP="00DB223D">
            <w:pPr>
              <w:pStyle w:val="NoSpacing"/>
              <w:rPr>
                <w:rStyle w:val="ay"/>
                <w:rFonts w:asciiTheme="minorHAnsi" w:hAnsiTheme="minorHAnsi" w:cstheme="minorHAnsi"/>
                <w:color w:val="212721"/>
                <w:sz w:val="22"/>
                <w:szCs w:val="22"/>
                <w:lang w:val="en-GB"/>
              </w:rPr>
            </w:pPr>
          </w:p>
        </w:tc>
      </w:tr>
      <w:tr w:rsidR="00955CDD" w:rsidRPr="00920161" w14:paraId="5287E6B1" w14:textId="77777777" w:rsidTr="00DB223D">
        <w:tc>
          <w:tcPr>
            <w:tcW w:w="7513" w:type="dxa"/>
            <w:hideMark/>
          </w:tcPr>
          <w:p w14:paraId="30E79BB0"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b/>
                <w:color w:val="212721"/>
                <w:sz w:val="22"/>
                <w:szCs w:val="22"/>
                <w:lang w:val="en-GB"/>
              </w:rPr>
              <w:t>Buchanan</w:t>
            </w:r>
            <w:r w:rsidRPr="00920161">
              <w:rPr>
                <w:rStyle w:val="ay"/>
                <w:rFonts w:asciiTheme="minorHAnsi" w:hAnsiTheme="minorHAnsi" w:cstheme="minorHAnsi"/>
                <w:color w:val="212721"/>
                <w:sz w:val="22"/>
                <w:szCs w:val="22"/>
                <w:lang w:val="en-GB"/>
              </w:rPr>
              <w:t> (Financial PR)</w:t>
            </w:r>
          </w:p>
          <w:p w14:paraId="404C6DE1"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color w:val="212721"/>
                <w:sz w:val="22"/>
                <w:szCs w:val="22"/>
              </w:rPr>
              <w:t>Charles Ryland, George</w:t>
            </w:r>
            <w:r w:rsidRPr="00920161">
              <w:rPr>
                <w:rStyle w:val="ay"/>
                <w:rFonts w:asciiTheme="minorHAnsi" w:hAnsiTheme="minorHAnsi" w:cstheme="minorHAnsi"/>
                <w:color w:val="212721"/>
                <w:sz w:val="22"/>
                <w:szCs w:val="22"/>
                <w:lang w:val="en-GB"/>
              </w:rPr>
              <w:t xml:space="preserve"> Beale</w:t>
            </w:r>
          </w:p>
          <w:p w14:paraId="4F201A64"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color w:val="212721"/>
                <w:sz w:val="22"/>
                <w:szCs w:val="22"/>
                <w:lang w:val="en-GB"/>
              </w:rPr>
              <w:t> </w:t>
            </w:r>
          </w:p>
        </w:tc>
        <w:tc>
          <w:tcPr>
            <w:tcW w:w="1502" w:type="dxa"/>
            <w:hideMark/>
          </w:tcPr>
          <w:p w14:paraId="1DA15D60"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color w:val="212721"/>
                <w:sz w:val="22"/>
                <w:szCs w:val="22"/>
                <w:lang w:val="en-GB"/>
              </w:rPr>
              <w:t>020 7466 5000</w:t>
            </w:r>
          </w:p>
        </w:tc>
      </w:tr>
      <w:tr w:rsidR="00955CDD" w:rsidRPr="00920161" w14:paraId="3DF14F56" w14:textId="77777777" w:rsidTr="00DB223D">
        <w:tc>
          <w:tcPr>
            <w:tcW w:w="7513" w:type="dxa"/>
            <w:hideMark/>
          </w:tcPr>
          <w:p w14:paraId="42AA04B2"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b/>
                <w:color w:val="212721"/>
                <w:sz w:val="22"/>
                <w:szCs w:val="22"/>
                <w:lang w:val="en-GB"/>
              </w:rPr>
              <w:t>Apex Listed Companies Services (UK) Limited</w:t>
            </w:r>
            <w:r w:rsidRPr="00920161">
              <w:rPr>
                <w:rStyle w:val="ay"/>
                <w:rFonts w:asciiTheme="minorHAnsi" w:hAnsiTheme="minorHAnsi" w:cstheme="minorHAnsi"/>
                <w:color w:val="212721"/>
                <w:sz w:val="22"/>
                <w:szCs w:val="22"/>
                <w:lang w:val="en-GB"/>
              </w:rPr>
              <w:t> (Company Secretary)</w:t>
            </w:r>
          </w:p>
          <w:p w14:paraId="0F82E5D3"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color w:val="212721"/>
                <w:sz w:val="22"/>
                <w:szCs w:val="22"/>
                <w:lang w:val="en-GB"/>
              </w:rPr>
              <w:t>Sinead van Duuren</w:t>
            </w:r>
          </w:p>
        </w:tc>
        <w:tc>
          <w:tcPr>
            <w:tcW w:w="1502" w:type="dxa"/>
            <w:hideMark/>
          </w:tcPr>
          <w:p w14:paraId="2BB79C3B" w14:textId="77777777" w:rsidR="00955CDD" w:rsidRPr="00920161" w:rsidRDefault="00955CDD" w:rsidP="00DB223D">
            <w:pPr>
              <w:pStyle w:val="NoSpacing"/>
              <w:rPr>
                <w:rStyle w:val="ay"/>
                <w:rFonts w:asciiTheme="minorHAnsi" w:hAnsiTheme="minorHAnsi" w:cstheme="minorHAnsi"/>
                <w:color w:val="212721"/>
                <w:sz w:val="22"/>
                <w:szCs w:val="22"/>
                <w:lang w:val="en-GB"/>
              </w:rPr>
            </w:pPr>
            <w:r w:rsidRPr="00920161">
              <w:rPr>
                <w:rStyle w:val="ay"/>
                <w:rFonts w:asciiTheme="minorHAnsi" w:hAnsiTheme="minorHAnsi" w:cstheme="minorHAnsi"/>
                <w:color w:val="212721"/>
                <w:sz w:val="22"/>
                <w:szCs w:val="22"/>
                <w:lang w:val="en-GB"/>
              </w:rPr>
              <w:t>020 3327 9720</w:t>
            </w:r>
          </w:p>
        </w:tc>
      </w:tr>
    </w:tbl>
    <w:p w14:paraId="6D7D7027" w14:textId="77777777" w:rsidR="00955CDD" w:rsidRPr="00920161" w:rsidRDefault="00955CDD" w:rsidP="00955CDD">
      <w:pPr>
        <w:pStyle w:val="bv"/>
        <w:spacing w:before="0" w:beforeAutospacing="0" w:after="0" w:afterAutospacing="0"/>
        <w:jc w:val="both"/>
        <w:rPr>
          <w:rStyle w:val="bp"/>
          <w:rFonts w:asciiTheme="minorHAnsi" w:hAnsiTheme="minorHAnsi" w:cstheme="minorHAnsi"/>
          <w:color w:val="000000"/>
          <w:sz w:val="22"/>
          <w:szCs w:val="22"/>
        </w:rPr>
      </w:pPr>
    </w:p>
    <w:p w14:paraId="0044872D" w14:textId="77777777" w:rsidR="00955CDD" w:rsidRPr="00920161" w:rsidRDefault="00955CDD" w:rsidP="00955CDD">
      <w:pPr>
        <w:pStyle w:val="bv"/>
        <w:spacing w:before="0" w:beforeAutospacing="0" w:after="0" w:afterAutospacing="0"/>
        <w:jc w:val="both"/>
        <w:rPr>
          <w:rStyle w:val="bp"/>
          <w:rFonts w:asciiTheme="minorHAnsi" w:hAnsiTheme="minorHAnsi" w:cstheme="minorHAnsi"/>
          <w:color w:val="000000"/>
          <w:sz w:val="22"/>
          <w:szCs w:val="22"/>
        </w:rPr>
      </w:pPr>
    </w:p>
    <w:p w14:paraId="60027853" w14:textId="77777777" w:rsidR="00955CDD" w:rsidRPr="00920161" w:rsidRDefault="00955CDD" w:rsidP="00955CDD">
      <w:pPr>
        <w:pStyle w:val="NoSpacing"/>
        <w:rPr>
          <w:rFonts w:asciiTheme="minorHAnsi" w:hAnsiTheme="minorHAnsi" w:cstheme="minorHAnsi"/>
          <w:sz w:val="22"/>
          <w:szCs w:val="22"/>
        </w:rPr>
      </w:pPr>
      <w:r w:rsidRPr="00920161">
        <w:rPr>
          <w:rFonts w:asciiTheme="minorHAnsi" w:hAnsiTheme="minorHAnsi" w:cstheme="minorHAnsi"/>
          <w:color w:val="212721"/>
          <w:sz w:val="22"/>
          <w:szCs w:val="22"/>
        </w:rPr>
        <w:lastRenderedPageBreak/>
        <w:t>The Company's LEI is 213800AJ3TY3OJCQQC53</w:t>
      </w:r>
    </w:p>
    <w:p w14:paraId="5A18BA19" w14:textId="77777777" w:rsidR="00752EE1" w:rsidRPr="00920161" w:rsidRDefault="00752EE1" w:rsidP="00752EE1">
      <w:pPr>
        <w:rPr>
          <w:rFonts w:asciiTheme="minorHAnsi" w:hAnsiTheme="minorHAnsi" w:cstheme="minorHAnsi"/>
          <w:i/>
          <w:iCs/>
          <w:sz w:val="22"/>
          <w:szCs w:val="22"/>
        </w:rPr>
      </w:pPr>
    </w:p>
    <w:p w14:paraId="7D4E5DFE" w14:textId="77777777" w:rsidR="00496B31" w:rsidRPr="00920161" w:rsidRDefault="00496B31" w:rsidP="00496B31">
      <w:pPr>
        <w:jc w:val="both"/>
        <w:rPr>
          <w:rFonts w:asciiTheme="minorHAnsi" w:hAnsiTheme="minorHAnsi" w:cstheme="minorHAnsi"/>
          <w:i/>
          <w:iCs/>
          <w:sz w:val="22"/>
          <w:szCs w:val="22"/>
        </w:rPr>
      </w:pPr>
      <w:r w:rsidRPr="00920161">
        <w:rPr>
          <w:rFonts w:asciiTheme="minorHAnsi" w:hAnsiTheme="minorHAnsi" w:cstheme="minorHAnsi"/>
          <w:i/>
          <w:iCs/>
          <w:sz w:val="22"/>
          <w:szCs w:val="22"/>
        </w:rPr>
        <w:t>This announcement is not for publication or distribution, directly or indirectly, in or into, or from the United States or any other jurisdiction where to do so would violate the laws in that jurisdiction. This announcement does not constitute or form part of any offer to purchase, or invitation to sell, Ordinary Shares in the United State or any jurisdiction in which such offer or invitation is unlawful. Any failure to comply with these restrictions or requirements may constitute a violation of the securities or other laws of such jurisdiction.</w:t>
      </w:r>
    </w:p>
    <w:p w14:paraId="4278C1F3" w14:textId="77777777" w:rsidR="00496B31" w:rsidRPr="00920161" w:rsidRDefault="00496B31" w:rsidP="00496B31">
      <w:pPr>
        <w:jc w:val="both"/>
        <w:rPr>
          <w:rFonts w:asciiTheme="minorHAnsi" w:hAnsiTheme="minorHAnsi" w:cstheme="minorHAnsi"/>
          <w:i/>
          <w:iCs/>
          <w:sz w:val="22"/>
          <w:szCs w:val="22"/>
        </w:rPr>
      </w:pPr>
      <w:r w:rsidRPr="00920161">
        <w:rPr>
          <w:rFonts w:asciiTheme="minorHAnsi" w:hAnsiTheme="minorHAnsi" w:cstheme="minorHAnsi"/>
          <w:i/>
          <w:iCs/>
          <w:sz w:val="22"/>
          <w:szCs w:val="22"/>
        </w:rPr>
        <w:t>This announcement may contain "forward-looking statements" with respect to certain of the Company's plans and its current goals and expectations relating to its future financial condition, performance, strategic initiatives, objectives and results. Forward-looking statements sometimes use words such as "aim", "anticipate", "target", "expect", "estimate", "intend", "plan", "goal", "believe", "seek", "may", "could", "outlook" or other words of similar meaning. By their nature, all forward-looking statements involve risk and uncertainty because they relate to future events and circumstances which are beyond the control of the Company. As a result, the actual future financial condition, performance and results of the Company may differ materially from the plans, goals and expectations set forth in any forward-looking statements. Any forward-looking statements made in this announcement by or on behalf of the Company speak only as of the date they are made. The information contained in this announcement is subject to change without notice and except as required by applicable law or regulation, the Company expressly disclaims any obligation or undertaking to publish any updates or revisions to any forward-looking statements contained in this announcement to reflect any changes in the Company's expectations with regard thereto or any changes in events, conditions or circumstances on which any such statements are based.</w:t>
      </w:r>
    </w:p>
    <w:p w14:paraId="2DB557AD" w14:textId="77777777" w:rsidR="00496B31" w:rsidRPr="00920161" w:rsidRDefault="00496B31" w:rsidP="00496B31">
      <w:pPr>
        <w:jc w:val="both"/>
        <w:rPr>
          <w:rFonts w:asciiTheme="minorHAnsi" w:hAnsiTheme="minorHAnsi" w:cstheme="minorHAnsi"/>
          <w:i/>
          <w:iCs/>
          <w:sz w:val="22"/>
          <w:szCs w:val="22"/>
        </w:rPr>
      </w:pPr>
      <w:r w:rsidRPr="00920161">
        <w:rPr>
          <w:rFonts w:asciiTheme="minorHAnsi" w:hAnsiTheme="minorHAnsi" w:cstheme="minorHAnsi"/>
          <w:i/>
          <w:iCs/>
          <w:sz w:val="22"/>
          <w:szCs w:val="22"/>
        </w:rPr>
        <w:t>Neither the content of the Company's website (or any other website) nor the content of any website accessible from hyperlinks on the Company's website (or any other website) is incorporated into or forms part of this announcement.</w:t>
      </w:r>
    </w:p>
    <w:p w14:paraId="59CF0415" w14:textId="77777777" w:rsidR="00955CDD" w:rsidRPr="00920161" w:rsidRDefault="00955CDD" w:rsidP="008C1EDD">
      <w:pPr>
        <w:pStyle w:val="CMSANSch5XRef"/>
        <w:numPr>
          <w:ilvl w:val="0"/>
          <w:numId w:val="0"/>
        </w:numPr>
        <w:rPr>
          <w:rFonts w:asciiTheme="minorHAnsi" w:hAnsiTheme="minorHAnsi" w:cstheme="minorHAnsi"/>
          <w:i w:val="0"/>
          <w:sz w:val="22"/>
          <w:szCs w:val="22"/>
        </w:rPr>
      </w:pPr>
    </w:p>
    <w:sectPr w:rsidR="00955CDD" w:rsidRPr="009201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4EE2E" w14:textId="77777777" w:rsidR="00955CDD" w:rsidRDefault="00955CDD" w:rsidP="00955CDD">
      <w:pPr>
        <w:spacing w:after="0" w:line="240" w:lineRule="auto"/>
      </w:pPr>
      <w:r>
        <w:separator/>
      </w:r>
    </w:p>
  </w:endnote>
  <w:endnote w:type="continuationSeparator" w:id="0">
    <w:p w14:paraId="58E05EB6" w14:textId="77777777" w:rsidR="00955CDD" w:rsidRDefault="00955CDD" w:rsidP="0095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C9E8" w14:textId="77777777" w:rsidR="00927A1B" w:rsidRDefault="00927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D014" w14:textId="77777777" w:rsidR="00927A1B" w:rsidRDefault="00927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6BD68" w14:textId="77777777" w:rsidR="00927A1B" w:rsidRDefault="0092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C9EBA" w14:textId="77777777" w:rsidR="00955CDD" w:rsidRDefault="00955CDD" w:rsidP="00955CDD">
      <w:pPr>
        <w:spacing w:after="0" w:line="240" w:lineRule="auto"/>
      </w:pPr>
      <w:r>
        <w:separator/>
      </w:r>
    </w:p>
  </w:footnote>
  <w:footnote w:type="continuationSeparator" w:id="0">
    <w:p w14:paraId="7F02F0E3" w14:textId="77777777" w:rsidR="00955CDD" w:rsidRDefault="00955CDD" w:rsidP="00955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C9A8" w14:textId="77777777" w:rsidR="00927A1B" w:rsidRDefault="00927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EFD70" w14:textId="77777777" w:rsidR="00927A1B" w:rsidRDefault="00927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6EDAD" w14:textId="77777777" w:rsidR="00927A1B" w:rsidRDefault="00927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1EEC"/>
    <w:multiLevelType w:val="multilevel"/>
    <w:tmpl w:val="46DCB7D8"/>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isLgl/>
      <w:lvlText w:val="%4."/>
      <w:lvlJc w:val="left"/>
      <w:pPr>
        <w:tabs>
          <w:tab w:val="num" w:pos="851"/>
        </w:tabs>
        <w:ind w:left="851" w:hanging="851"/>
      </w:pPr>
      <w:rPr>
        <w:rFonts w:hint="default"/>
      </w:rPr>
    </w:lvl>
    <w:lvl w:ilvl="4">
      <w:start w:val="1"/>
      <w:numFmt w:val="decimal"/>
      <w:pStyle w:val="CMSANSch5XRef"/>
      <w:isLgl/>
      <w:lvlText w:val="%4.%5"/>
      <w:lvlJc w:val="left"/>
      <w:pPr>
        <w:tabs>
          <w:tab w:val="num" w:pos="851"/>
        </w:tabs>
        <w:ind w:left="851" w:hanging="851"/>
      </w:pPr>
      <w:rPr>
        <w:rFonts w:hint="default"/>
      </w:rPr>
    </w:lvl>
    <w:lvl w:ilvl="5">
      <w:start w:val="1"/>
      <w:numFmt w:val="decimal"/>
      <w:pStyle w:val="CMSANSch6XRef"/>
      <w:isLgl/>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 w15:restartNumberingAfterBreak="0">
    <w:nsid w:val="3E2B27C0"/>
    <w:multiLevelType w:val="hybridMultilevel"/>
    <w:tmpl w:val="303CE42E"/>
    <w:name w:val="CMS-AN-Heading3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4A9211B1"/>
    <w:multiLevelType w:val="multilevel"/>
    <w:tmpl w:val="46DCB7D8"/>
    <w:name w:val="CMS-AN-Sch-XRef2"/>
    <w:numStyleLink w:val="CMS-ANSchXRef"/>
  </w:abstractNum>
  <w:abstractNum w:abstractNumId="3" w15:restartNumberingAfterBreak="0">
    <w:nsid w:val="6EA85FB5"/>
    <w:multiLevelType w:val="hybridMultilevel"/>
    <w:tmpl w:val="FA96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304321">
    <w:abstractNumId w:val="0"/>
  </w:num>
  <w:num w:numId="2" w16cid:durableId="441850711">
    <w:abstractNumId w:val="2"/>
    <w:lvlOverride w:ilvl="0">
      <w:lvl w:ilvl="0">
        <w:start w:val="1"/>
        <w:numFmt w:val="decimal"/>
        <w:pStyle w:val="CMSANSch1XRef"/>
        <w:suff w:val="space"/>
        <w:lvlText w:val="Schedule %1"/>
        <w:lvlJc w:val="left"/>
        <w:pPr>
          <w:ind w:left="0" w:firstLine="0"/>
        </w:pPr>
        <w:rPr>
          <w:rFonts w:hint="default"/>
        </w:rPr>
      </w:lvl>
    </w:lvlOverride>
    <w:lvlOverride w:ilvl="1">
      <w:lvl w:ilvl="1">
        <w:start w:val="1"/>
        <w:numFmt w:val="upperRoman"/>
        <w:pStyle w:val="CMSANSch2XRef"/>
        <w:suff w:val="space"/>
        <w:lvlText w:val="Part %2"/>
        <w:lvlJc w:val="left"/>
        <w:pPr>
          <w:ind w:left="0" w:firstLine="0"/>
        </w:pPr>
        <w:rPr>
          <w:rFonts w:hint="default"/>
        </w:rPr>
      </w:lvl>
    </w:lvlOverride>
    <w:lvlOverride w:ilvl="2">
      <w:lvl w:ilvl="2">
        <w:start w:val="1"/>
        <w:numFmt w:val="upperLetter"/>
        <w:pStyle w:val="CMSANSch3XRef"/>
        <w:suff w:val="space"/>
        <w:lvlText w:val="Part %3"/>
        <w:lvlJc w:val="left"/>
        <w:pPr>
          <w:ind w:left="0" w:firstLine="0"/>
        </w:pPr>
        <w:rPr>
          <w:rFonts w:hint="default"/>
        </w:rPr>
      </w:lvl>
    </w:lvlOverride>
    <w:lvlOverride w:ilvl="3">
      <w:lvl w:ilvl="3">
        <w:start w:val="1"/>
        <w:numFmt w:val="decimal"/>
        <w:pStyle w:val="CMSANSch4XRef"/>
        <w:isLgl/>
        <w:lvlText w:val="%4."/>
        <w:lvlJc w:val="left"/>
        <w:pPr>
          <w:tabs>
            <w:tab w:val="num" w:pos="851"/>
          </w:tabs>
          <w:ind w:left="851" w:hanging="851"/>
        </w:pPr>
        <w:rPr>
          <w:rFonts w:cs="Times New Roman" w:hint="default"/>
          <w:bCs/>
          <w:iCs w:val="0"/>
          <w:caps w:val="0"/>
          <w:szCs w:val="20"/>
        </w:rPr>
      </w:lvl>
    </w:lvlOverride>
    <w:lvlOverride w:ilvl="4">
      <w:lvl w:ilvl="4">
        <w:start w:val="1"/>
        <w:numFmt w:val="decimal"/>
        <w:pStyle w:val="CMSANSch5XRef"/>
        <w:isLgl/>
        <w:lvlText w:val="%4.%5"/>
        <w:lvlJc w:val="left"/>
        <w:pPr>
          <w:tabs>
            <w:tab w:val="num" w:pos="851"/>
          </w:tabs>
          <w:ind w:left="851" w:hanging="851"/>
        </w:pPr>
        <w:rPr>
          <w:rFonts w:ascii="Times New Roman Bold" w:hAnsi="Times New Roman Bold" w:cs="Times New Roman" w:hint="default"/>
          <w:b/>
          <w:bCs w:val="0"/>
          <w:i w:val="0"/>
          <w:iCs/>
          <w:sz w:val="20"/>
          <w:szCs w:val="20"/>
        </w:rPr>
      </w:lvl>
    </w:lvlOverride>
    <w:lvlOverride w:ilvl="5">
      <w:lvl w:ilvl="5">
        <w:start w:val="1"/>
        <w:numFmt w:val="decimal"/>
        <w:pStyle w:val="CMSANSch6XRef"/>
        <w:isLgl/>
        <w:lvlText w:val="%4.%5.%6"/>
        <w:lvlJc w:val="left"/>
        <w:pPr>
          <w:tabs>
            <w:tab w:val="num" w:pos="1701"/>
          </w:tabs>
          <w:ind w:left="1701" w:hanging="850"/>
        </w:pPr>
        <w:rPr>
          <w:rFonts w:hint="default"/>
        </w:rPr>
      </w:lvl>
    </w:lvlOverride>
    <w:lvlOverride w:ilvl="6">
      <w:lvl w:ilvl="6">
        <w:start w:val="1"/>
        <w:numFmt w:val="lowerLetter"/>
        <w:pStyle w:val="CMSANSch7XRef"/>
        <w:lvlText w:val="(%7)"/>
        <w:lvlJc w:val="left"/>
        <w:pPr>
          <w:tabs>
            <w:tab w:val="num" w:pos="2552"/>
          </w:tabs>
          <w:ind w:left="2552" w:hanging="851"/>
        </w:pPr>
        <w:rPr>
          <w:rFonts w:hint="default"/>
        </w:rPr>
      </w:lvl>
    </w:lvlOverride>
    <w:lvlOverride w:ilvl="7">
      <w:lvl w:ilvl="7">
        <w:start w:val="1"/>
        <w:numFmt w:val="lowerRoman"/>
        <w:pStyle w:val="CMSANSch8XRef"/>
        <w:lvlText w:val="(%8)"/>
        <w:lvlJc w:val="left"/>
        <w:pPr>
          <w:tabs>
            <w:tab w:val="num" w:pos="3402"/>
          </w:tabs>
          <w:ind w:left="3402" w:hanging="850"/>
        </w:pPr>
        <w:rPr>
          <w:rFonts w:hint="default"/>
        </w:rPr>
      </w:lvl>
    </w:lvlOverride>
    <w:lvlOverride w:ilvl="8">
      <w:lvl w:ilvl="8">
        <w:start w:val="1"/>
        <w:numFmt w:val="upperLetter"/>
        <w:pStyle w:val="CMSANSch9XRef"/>
        <w:lvlText w:val="(%9)"/>
        <w:lvlJc w:val="left"/>
        <w:pPr>
          <w:tabs>
            <w:tab w:val="num" w:pos="4253"/>
          </w:tabs>
          <w:ind w:left="4253" w:hanging="851"/>
        </w:pPr>
        <w:rPr>
          <w:rFonts w:hint="default"/>
        </w:rPr>
      </w:lvl>
    </w:lvlOverride>
  </w:num>
  <w:num w:numId="3" w16cid:durableId="705374363">
    <w:abstractNumId w:val="1"/>
  </w:num>
  <w:num w:numId="4" w16cid:durableId="368993997">
    <w:abstractNumId w:val="2"/>
    <w:lvlOverride w:ilvl="0">
      <w:lvl w:ilvl="0">
        <w:start w:val="1"/>
        <w:numFmt w:val="decimal"/>
        <w:pStyle w:val="CMSANSch1XRef"/>
        <w:suff w:val="space"/>
        <w:lvlText w:val="Schedule %1"/>
        <w:lvlJc w:val="left"/>
        <w:pPr>
          <w:ind w:left="0" w:firstLine="0"/>
        </w:pPr>
        <w:rPr>
          <w:rFonts w:hint="default"/>
        </w:rPr>
      </w:lvl>
    </w:lvlOverride>
    <w:lvlOverride w:ilvl="1">
      <w:lvl w:ilvl="1">
        <w:start w:val="1"/>
        <w:numFmt w:val="upperRoman"/>
        <w:pStyle w:val="CMSANSch2XRef"/>
        <w:suff w:val="space"/>
        <w:lvlText w:val="Part %2"/>
        <w:lvlJc w:val="left"/>
        <w:pPr>
          <w:ind w:left="0" w:firstLine="0"/>
        </w:pPr>
        <w:rPr>
          <w:rFonts w:hint="default"/>
        </w:rPr>
      </w:lvl>
    </w:lvlOverride>
    <w:lvlOverride w:ilvl="2">
      <w:lvl w:ilvl="2">
        <w:start w:val="1"/>
        <w:numFmt w:val="upperLetter"/>
        <w:pStyle w:val="CMSANSch3XRef"/>
        <w:suff w:val="space"/>
        <w:lvlText w:val="Part %3"/>
        <w:lvlJc w:val="left"/>
        <w:pPr>
          <w:ind w:left="0" w:firstLine="0"/>
        </w:pPr>
        <w:rPr>
          <w:rFonts w:hint="default"/>
        </w:rPr>
      </w:lvl>
    </w:lvlOverride>
    <w:lvlOverride w:ilvl="3">
      <w:lvl w:ilvl="3">
        <w:start w:val="1"/>
        <w:numFmt w:val="decimal"/>
        <w:pStyle w:val="CMSANSch4XRef"/>
        <w:isLgl/>
        <w:lvlText w:val="%4."/>
        <w:lvlJc w:val="left"/>
        <w:pPr>
          <w:tabs>
            <w:tab w:val="num" w:pos="851"/>
          </w:tabs>
          <w:ind w:left="851" w:hanging="851"/>
        </w:pPr>
        <w:rPr>
          <w:rFonts w:cs="Times New Roman" w:hint="default"/>
          <w:bCs/>
          <w:iCs w:val="0"/>
          <w:caps w:val="0"/>
          <w:szCs w:val="20"/>
        </w:rPr>
      </w:lvl>
    </w:lvlOverride>
    <w:lvlOverride w:ilvl="4">
      <w:lvl w:ilvl="4">
        <w:start w:val="1"/>
        <w:numFmt w:val="decimal"/>
        <w:pStyle w:val="CMSANSch5XRef"/>
        <w:isLgl/>
        <w:lvlText w:val="%4.%5"/>
        <w:lvlJc w:val="left"/>
        <w:pPr>
          <w:tabs>
            <w:tab w:val="num" w:pos="851"/>
          </w:tabs>
          <w:ind w:left="851" w:hanging="851"/>
        </w:pPr>
        <w:rPr>
          <w:rFonts w:ascii="Times New Roman Bold" w:hAnsi="Times New Roman Bold" w:cs="Times New Roman" w:hint="default"/>
          <w:b/>
          <w:bCs w:val="0"/>
          <w:i w:val="0"/>
          <w:iCs/>
          <w:sz w:val="20"/>
          <w:szCs w:val="20"/>
        </w:rPr>
      </w:lvl>
    </w:lvlOverride>
    <w:lvlOverride w:ilvl="5">
      <w:lvl w:ilvl="5">
        <w:start w:val="1"/>
        <w:numFmt w:val="decimal"/>
        <w:pStyle w:val="CMSANSch6XRef"/>
        <w:isLgl/>
        <w:lvlText w:val="%4.%5.%6"/>
        <w:lvlJc w:val="left"/>
        <w:pPr>
          <w:tabs>
            <w:tab w:val="num" w:pos="1701"/>
          </w:tabs>
          <w:ind w:left="1701" w:hanging="850"/>
        </w:pPr>
        <w:rPr>
          <w:rFonts w:hint="default"/>
        </w:rPr>
      </w:lvl>
    </w:lvlOverride>
    <w:lvlOverride w:ilvl="6">
      <w:lvl w:ilvl="6">
        <w:start w:val="1"/>
        <w:numFmt w:val="lowerLetter"/>
        <w:pStyle w:val="CMSANSch7XRef"/>
        <w:lvlText w:val="(%7)"/>
        <w:lvlJc w:val="left"/>
        <w:pPr>
          <w:tabs>
            <w:tab w:val="num" w:pos="2552"/>
          </w:tabs>
          <w:ind w:left="2552" w:hanging="851"/>
        </w:pPr>
        <w:rPr>
          <w:rFonts w:hint="default"/>
        </w:rPr>
      </w:lvl>
    </w:lvlOverride>
    <w:lvlOverride w:ilvl="7">
      <w:lvl w:ilvl="7">
        <w:start w:val="1"/>
        <w:numFmt w:val="lowerRoman"/>
        <w:pStyle w:val="CMSANSch8XRef"/>
        <w:lvlText w:val="(%8)"/>
        <w:lvlJc w:val="left"/>
        <w:pPr>
          <w:tabs>
            <w:tab w:val="num" w:pos="3402"/>
          </w:tabs>
          <w:ind w:left="3402" w:hanging="850"/>
        </w:pPr>
        <w:rPr>
          <w:rFonts w:hint="default"/>
        </w:rPr>
      </w:lvl>
    </w:lvlOverride>
    <w:lvlOverride w:ilvl="8">
      <w:lvl w:ilvl="8">
        <w:start w:val="1"/>
        <w:numFmt w:val="upperLetter"/>
        <w:pStyle w:val="CMSANSch9XRef"/>
        <w:lvlText w:val="(%9)"/>
        <w:lvlJc w:val="left"/>
        <w:pPr>
          <w:tabs>
            <w:tab w:val="num" w:pos="4253"/>
          </w:tabs>
          <w:ind w:left="4253" w:hanging="851"/>
        </w:pPr>
        <w:rPr>
          <w:rFonts w:hint="default"/>
        </w:rPr>
      </w:lvl>
    </w:lvlOverride>
  </w:num>
  <w:num w:numId="5" w16cid:durableId="46774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955CDD"/>
    <w:rsid w:val="000202DD"/>
    <w:rsid w:val="000A39BA"/>
    <w:rsid w:val="000B0C68"/>
    <w:rsid w:val="00132167"/>
    <w:rsid w:val="00175007"/>
    <w:rsid w:val="00175FE6"/>
    <w:rsid w:val="00190C00"/>
    <w:rsid w:val="001B2AB8"/>
    <w:rsid w:val="001C1D87"/>
    <w:rsid w:val="001D628F"/>
    <w:rsid w:val="00241AFF"/>
    <w:rsid w:val="00256840"/>
    <w:rsid w:val="0027117F"/>
    <w:rsid w:val="002827B0"/>
    <w:rsid w:val="00286619"/>
    <w:rsid w:val="002C0B6B"/>
    <w:rsid w:val="002C23BD"/>
    <w:rsid w:val="00317E6F"/>
    <w:rsid w:val="0034362E"/>
    <w:rsid w:val="0037064D"/>
    <w:rsid w:val="00393578"/>
    <w:rsid w:val="00396AA4"/>
    <w:rsid w:val="003A79D4"/>
    <w:rsid w:val="003B466E"/>
    <w:rsid w:val="003E08EC"/>
    <w:rsid w:val="003F1A15"/>
    <w:rsid w:val="00407ADA"/>
    <w:rsid w:val="00496B31"/>
    <w:rsid w:val="004C1346"/>
    <w:rsid w:val="004D06E5"/>
    <w:rsid w:val="0051278E"/>
    <w:rsid w:val="005160F5"/>
    <w:rsid w:val="00530EBD"/>
    <w:rsid w:val="00584896"/>
    <w:rsid w:val="005E0CF0"/>
    <w:rsid w:val="00675C49"/>
    <w:rsid w:val="006D2085"/>
    <w:rsid w:val="00712BB2"/>
    <w:rsid w:val="00752EE1"/>
    <w:rsid w:val="00755910"/>
    <w:rsid w:val="008058CD"/>
    <w:rsid w:val="008323EF"/>
    <w:rsid w:val="00835642"/>
    <w:rsid w:val="0085187A"/>
    <w:rsid w:val="00867D07"/>
    <w:rsid w:val="008A45F1"/>
    <w:rsid w:val="008C1EDD"/>
    <w:rsid w:val="008C72BB"/>
    <w:rsid w:val="00920161"/>
    <w:rsid w:val="00927A1B"/>
    <w:rsid w:val="0093328C"/>
    <w:rsid w:val="00955CDD"/>
    <w:rsid w:val="00964063"/>
    <w:rsid w:val="009E1C79"/>
    <w:rsid w:val="00AF1BC1"/>
    <w:rsid w:val="00B120B2"/>
    <w:rsid w:val="00B777E8"/>
    <w:rsid w:val="00C72D99"/>
    <w:rsid w:val="00C750DC"/>
    <w:rsid w:val="00CF73B5"/>
    <w:rsid w:val="00D65C2C"/>
    <w:rsid w:val="00D719CF"/>
    <w:rsid w:val="00DB609F"/>
    <w:rsid w:val="00EA651C"/>
    <w:rsid w:val="00EC29AA"/>
    <w:rsid w:val="00F01C5D"/>
    <w:rsid w:val="00FE26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0731"/>
  <w15:chartTrackingRefBased/>
  <w15:docId w15:val="{A3D95E6A-9A03-4EB0-AA5A-C3207CA5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1BC1"/>
    <w:pPr>
      <w:spacing w:after="0" w:line="240" w:lineRule="auto"/>
    </w:pPr>
  </w:style>
  <w:style w:type="paragraph" w:customStyle="1" w:styleId="CMSANBodyText">
    <w:name w:val="CMS AN Body Text"/>
    <w:uiPriority w:val="9"/>
    <w:qFormat/>
    <w:rsid w:val="00955CDD"/>
    <w:pPr>
      <w:spacing w:before="120" w:after="120" w:line="300" w:lineRule="atLeast"/>
      <w:jc w:val="both"/>
    </w:pPr>
    <w:rPr>
      <w:rFonts w:cs="Segoe Script"/>
      <w:color w:val="000000" w:themeColor="text1"/>
      <w:sz w:val="20"/>
      <w:szCs w:val="22"/>
      <w:lang w:val="en-GB"/>
    </w:rPr>
  </w:style>
  <w:style w:type="paragraph" w:customStyle="1" w:styleId="CMSANIndent2">
    <w:name w:val="CMS AN Indent 2"/>
    <w:uiPriority w:val="10"/>
    <w:qFormat/>
    <w:rsid w:val="00955CDD"/>
    <w:pPr>
      <w:spacing w:before="120" w:after="120" w:line="300" w:lineRule="atLeast"/>
      <w:ind w:left="851"/>
      <w:jc w:val="both"/>
    </w:pPr>
    <w:rPr>
      <w:rFonts w:cs="Segoe Script"/>
      <w:color w:val="000000" w:themeColor="text1"/>
      <w:sz w:val="20"/>
      <w:szCs w:val="22"/>
      <w:lang w:val="en-GB"/>
    </w:rPr>
  </w:style>
  <w:style w:type="character" w:styleId="FootnoteReference">
    <w:name w:val="footnote reference"/>
    <w:basedOn w:val="DefaultParagraphFont"/>
    <w:uiPriority w:val="39"/>
    <w:semiHidden/>
    <w:rsid w:val="00955CDD"/>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955CDD"/>
    <w:pPr>
      <w:spacing w:after="0" w:line="240" w:lineRule="auto"/>
      <w:jc w:val="both"/>
    </w:pPr>
    <w:rPr>
      <w:color w:val="000000" w:themeColor="text1"/>
      <w:sz w:val="18"/>
      <w:szCs w:val="20"/>
      <w:lang w:val="en-GB"/>
    </w:rPr>
  </w:style>
  <w:style w:type="character" w:customStyle="1" w:styleId="FootnoteTextChar">
    <w:name w:val="Footnote Text Char"/>
    <w:basedOn w:val="DefaultParagraphFont"/>
    <w:link w:val="FootnoteText"/>
    <w:uiPriority w:val="39"/>
    <w:semiHidden/>
    <w:rsid w:val="00955CDD"/>
    <w:rPr>
      <w:color w:val="000000" w:themeColor="text1"/>
      <w:sz w:val="18"/>
      <w:szCs w:val="20"/>
      <w:lang w:val="en-GB"/>
    </w:rPr>
  </w:style>
  <w:style w:type="paragraph" w:customStyle="1" w:styleId="CMSANSch1XRef">
    <w:name w:val="CMS AN Sch 1 XRef"/>
    <w:next w:val="CMSANSch2XRef"/>
    <w:uiPriority w:val="24"/>
    <w:rsid w:val="00955CDD"/>
    <w:pPr>
      <w:keepNext/>
      <w:pageBreakBefore/>
      <w:numPr>
        <w:numId w:val="2"/>
      </w:numPr>
      <w:tabs>
        <w:tab w:val="num" w:pos="360"/>
      </w:tabs>
      <w:spacing w:after="240" w:line="300" w:lineRule="atLeast"/>
      <w:jc w:val="center"/>
      <w:outlineLvl w:val="0"/>
    </w:pPr>
    <w:rPr>
      <w:rFonts w:cs="Segoe Script"/>
      <w:b/>
      <w:caps/>
      <w:color w:val="000000" w:themeColor="text1"/>
      <w:sz w:val="22"/>
      <w:szCs w:val="22"/>
      <w:lang w:val="en-GB"/>
    </w:rPr>
  </w:style>
  <w:style w:type="paragraph" w:customStyle="1" w:styleId="CMSANSch2XRef">
    <w:name w:val="CMS AN Sch 2 XRef"/>
    <w:next w:val="CMSANSch4XRef"/>
    <w:uiPriority w:val="24"/>
    <w:rsid w:val="00955CDD"/>
    <w:pPr>
      <w:keepNext/>
      <w:pageBreakBefore/>
      <w:numPr>
        <w:ilvl w:val="1"/>
        <w:numId w:val="2"/>
      </w:numPr>
      <w:tabs>
        <w:tab w:val="num" w:pos="360"/>
      </w:tabs>
      <w:spacing w:before="240" w:after="120" w:line="300" w:lineRule="atLeast"/>
      <w:jc w:val="center"/>
      <w:outlineLvl w:val="1"/>
    </w:pPr>
    <w:rPr>
      <w:rFonts w:ascii="Times New Roman Bold" w:hAnsi="Times New Roman Bold" w:cs="Segoe Script"/>
      <w:b/>
      <w:caps/>
      <w:color w:val="000000" w:themeColor="text1"/>
      <w:sz w:val="22"/>
      <w:szCs w:val="22"/>
      <w:lang w:val="en-GB"/>
    </w:rPr>
  </w:style>
  <w:style w:type="paragraph" w:customStyle="1" w:styleId="CMSANSch3XRef">
    <w:name w:val="CMS AN Sch 3 XRef"/>
    <w:next w:val="CMSANSch4XRef"/>
    <w:uiPriority w:val="24"/>
    <w:rsid w:val="00955CDD"/>
    <w:pPr>
      <w:keepNext/>
      <w:keepLines/>
      <w:numPr>
        <w:ilvl w:val="2"/>
        <w:numId w:val="2"/>
      </w:numPr>
      <w:tabs>
        <w:tab w:val="num" w:pos="360"/>
      </w:tabs>
      <w:spacing w:before="240" w:after="120" w:line="300" w:lineRule="atLeast"/>
      <w:jc w:val="center"/>
      <w:outlineLvl w:val="2"/>
    </w:pPr>
    <w:rPr>
      <w:rFonts w:cs="Segoe Script"/>
      <w:b/>
      <w:color w:val="000000" w:themeColor="text1"/>
      <w:sz w:val="22"/>
      <w:szCs w:val="22"/>
      <w:lang w:val="en-GB"/>
    </w:rPr>
  </w:style>
  <w:style w:type="paragraph" w:customStyle="1" w:styleId="CMSANSch4XRef">
    <w:name w:val="CMS AN Sch 4 XRef"/>
    <w:next w:val="CMSANSch5XRef"/>
    <w:uiPriority w:val="24"/>
    <w:rsid w:val="00955CDD"/>
    <w:pPr>
      <w:keepNext/>
      <w:keepLines/>
      <w:numPr>
        <w:ilvl w:val="3"/>
        <w:numId w:val="2"/>
      </w:numPr>
      <w:spacing w:before="240" w:after="120" w:line="300" w:lineRule="atLeast"/>
      <w:jc w:val="both"/>
      <w:outlineLvl w:val="3"/>
    </w:pPr>
    <w:rPr>
      <w:rFonts w:ascii="Times New Roman Bold" w:hAnsi="Times New Roman Bold" w:cs="Segoe Script"/>
      <w:b/>
      <w:color w:val="000000" w:themeColor="text1"/>
      <w:sz w:val="20"/>
      <w:szCs w:val="22"/>
      <w:lang w:val="en-GB"/>
    </w:rPr>
  </w:style>
  <w:style w:type="paragraph" w:customStyle="1" w:styleId="CMSANSch5XRef">
    <w:name w:val="CMS AN Sch 5 XRef"/>
    <w:uiPriority w:val="24"/>
    <w:rsid w:val="00955CDD"/>
    <w:pPr>
      <w:numPr>
        <w:ilvl w:val="4"/>
        <w:numId w:val="2"/>
      </w:numPr>
      <w:spacing w:before="120" w:after="120" w:line="300" w:lineRule="atLeast"/>
      <w:jc w:val="both"/>
      <w:outlineLvl w:val="4"/>
    </w:pPr>
    <w:rPr>
      <w:rFonts w:cs="Times New Roman"/>
      <w:b/>
      <w:bCs/>
      <w:i/>
      <w:color w:val="000000" w:themeColor="text1"/>
      <w:sz w:val="20"/>
      <w:szCs w:val="20"/>
      <w:lang w:val="en-GB"/>
    </w:rPr>
  </w:style>
  <w:style w:type="paragraph" w:customStyle="1" w:styleId="CMSANSch6XRef">
    <w:name w:val="CMS AN Sch 6 XRef"/>
    <w:uiPriority w:val="24"/>
    <w:rsid w:val="00955CDD"/>
    <w:pPr>
      <w:numPr>
        <w:ilvl w:val="5"/>
        <w:numId w:val="2"/>
      </w:numPr>
      <w:spacing w:before="120" w:after="120" w:line="300" w:lineRule="atLeast"/>
      <w:jc w:val="both"/>
      <w:outlineLvl w:val="5"/>
    </w:pPr>
    <w:rPr>
      <w:rFonts w:cs="Segoe Script"/>
      <w:color w:val="000000" w:themeColor="text1"/>
      <w:sz w:val="22"/>
      <w:szCs w:val="22"/>
      <w:lang w:val="en-GB"/>
    </w:rPr>
  </w:style>
  <w:style w:type="paragraph" w:customStyle="1" w:styleId="CMSANSch7XRef">
    <w:name w:val="CMS AN Sch 7 XRef"/>
    <w:uiPriority w:val="24"/>
    <w:rsid w:val="00955CDD"/>
    <w:pPr>
      <w:numPr>
        <w:ilvl w:val="6"/>
        <w:numId w:val="2"/>
      </w:numPr>
      <w:spacing w:before="120" w:after="120" w:line="300" w:lineRule="atLeast"/>
      <w:jc w:val="both"/>
      <w:outlineLvl w:val="6"/>
    </w:pPr>
    <w:rPr>
      <w:rFonts w:cs="Segoe Script"/>
      <w:color w:val="000000" w:themeColor="text1"/>
      <w:sz w:val="22"/>
      <w:szCs w:val="22"/>
      <w:lang w:val="en-GB"/>
    </w:rPr>
  </w:style>
  <w:style w:type="paragraph" w:customStyle="1" w:styleId="CMSANSch8XRef">
    <w:name w:val="CMS AN Sch 8 XRef"/>
    <w:uiPriority w:val="24"/>
    <w:rsid w:val="00955CDD"/>
    <w:pPr>
      <w:numPr>
        <w:ilvl w:val="7"/>
        <w:numId w:val="2"/>
      </w:numPr>
      <w:spacing w:before="120" w:after="120" w:line="300" w:lineRule="atLeast"/>
      <w:jc w:val="both"/>
      <w:outlineLvl w:val="7"/>
    </w:pPr>
    <w:rPr>
      <w:rFonts w:cs="Segoe Script"/>
      <w:color w:val="000000" w:themeColor="text1"/>
      <w:sz w:val="22"/>
      <w:szCs w:val="22"/>
      <w:lang w:val="en-GB"/>
    </w:rPr>
  </w:style>
  <w:style w:type="paragraph" w:customStyle="1" w:styleId="CMSANSch9XRef">
    <w:name w:val="CMS AN Sch 9 XRef"/>
    <w:uiPriority w:val="24"/>
    <w:rsid w:val="00955CDD"/>
    <w:pPr>
      <w:numPr>
        <w:ilvl w:val="8"/>
        <w:numId w:val="2"/>
      </w:numPr>
      <w:spacing w:before="120" w:after="120" w:line="300" w:lineRule="atLeast"/>
      <w:jc w:val="both"/>
      <w:outlineLvl w:val="8"/>
    </w:pPr>
    <w:rPr>
      <w:rFonts w:cs="Segoe Script"/>
      <w:color w:val="000000" w:themeColor="text1"/>
      <w:sz w:val="22"/>
      <w:szCs w:val="22"/>
      <w:lang w:val="en-GB"/>
    </w:rPr>
  </w:style>
  <w:style w:type="numbering" w:customStyle="1" w:styleId="CMS-ANSchXRef">
    <w:name w:val="CMS-AN Sch XRef"/>
    <w:basedOn w:val="NoList"/>
    <w:uiPriority w:val="99"/>
    <w:rsid w:val="00955CDD"/>
    <w:pPr>
      <w:numPr>
        <w:numId w:val="1"/>
      </w:numPr>
    </w:pPr>
  </w:style>
  <w:style w:type="paragraph" w:customStyle="1" w:styleId="bt">
    <w:name w:val="bt"/>
    <w:basedOn w:val="Normal"/>
    <w:rsid w:val="00955CDD"/>
    <w:pPr>
      <w:spacing w:before="100" w:beforeAutospacing="1" w:after="100" w:afterAutospacing="1" w:line="240" w:lineRule="auto"/>
    </w:pPr>
    <w:rPr>
      <w:rFonts w:eastAsia="Times New Roman" w:cs="Times New Roman"/>
      <w:lang w:val="en-GB" w:eastAsia="en-GB"/>
    </w:rPr>
  </w:style>
  <w:style w:type="paragraph" w:customStyle="1" w:styleId="bu">
    <w:name w:val="bu"/>
    <w:basedOn w:val="Normal"/>
    <w:rsid w:val="00955CDD"/>
    <w:pPr>
      <w:spacing w:before="100" w:beforeAutospacing="1" w:after="100" w:afterAutospacing="1" w:line="240" w:lineRule="auto"/>
    </w:pPr>
    <w:rPr>
      <w:rFonts w:eastAsia="Times New Roman" w:cs="Times New Roman"/>
      <w:lang w:val="en-GB" w:eastAsia="en-GB"/>
    </w:rPr>
  </w:style>
  <w:style w:type="paragraph" w:customStyle="1" w:styleId="bv">
    <w:name w:val="bv"/>
    <w:basedOn w:val="Normal"/>
    <w:rsid w:val="00955CDD"/>
    <w:pPr>
      <w:spacing w:before="100" w:beforeAutospacing="1" w:after="100" w:afterAutospacing="1" w:line="240" w:lineRule="auto"/>
    </w:pPr>
    <w:rPr>
      <w:rFonts w:eastAsia="Times New Roman" w:cs="Times New Roman"/>
      <w:lang w:val="en-GB" w:eastAsia="en-GB"/>
    </w:rPr>
  </w:style>
  <w:style w:type="character" w:customStyle="1" w:styleId="bp">
    <w:name w:val="bp"/>
    <w:basedOn w:val="DefaultParagraphFont"/>
    <w:rsid w:val="00955CDD"/>
  </w:style>
  <w:style w:type="character" w:customStyle="1" w:styleId="ay">
    <w:name w:val="ay"/>
    <w:basedOn w:val="DefaultParagraphFont"/>
    <w:rsid w:val="00955CDD"/>
  </w:style>
  <w:style w:type="character" w:customStyle="1" w:styleId="bl">
    <w:name w:val="bl"/>
    <w:basedOn w:val="DefaultParagraphFont"/>
    <w:rsid w:val="00955CDD"/>
  </w:style>
  <w:style w:type="character" w:customStyle="1" w:styleId="bk">
    <w:name w:val="bk"/>
    <w:basedOn w:val="DefaultParagraphFont"/>
    <w:rsid w:val="00955CDD"/>
  </w:style>
  <w:style w:type="paragraph" w:customStyle="1" w:styleId="bo">
    <w:name w:val="bo"/>
    <w:basedOn w:val="Normal"/>
    <w:rsid w:val="00955CDD"/>
    <w:pPr>
      <w:spacing w:before="100" w:beforeAutospacing="1" w:after="100" w:afterAutospacing="1" w:line="240" w:lineRule="auto"/>
    </w:pPr>
    <w:rPr>
      <w:rFonts w:eastAsia="Times New Roman" w:cs="Times New Roman"/>
      <w:lang w:val="en-GB" w:eastAsia="en-GB"/>
    </w:rPr>
  </w:style>
  <w:style w:type="table" w:customStyle="1" w:styleId="CMSTableLight">
    <w:name w:val="CMS Table Light"/>
    <w:basedOn w:val="TableNormal"/>
    <w:uiPriority w:val="99"/>
    <w:rsid w:val="001C1D87"/>
    <w:pPr>
      <w:spacing w:after="0" w:line="240" w:lineRule="auto"/>
    </w:pPr>
    <w:rPr>
      <w:color w:val="000000" w:themeColor="text1"/>
      <w:sz w:val="22"/>
      <w:szCs w:val="22"/>
      <w:lang w:val="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Hyperlink">
    <w:name w:val="Hyperlink"/>
    <w:basedOn w:val="DefaultParagraphFont"/>
    <w:uiPriority w:val="99"/>
    <w:unhideWhenUsed/>
    <w:rsid w:val="001C1D87"/>
    <w:rPr>
      <w:color w:val="0563C1" w:themeColor="hyperlink"/>
      <w:u w:val="single"/>
    </w:rPr>
  </w:style>
  <w:style w:type="paragraph" w:styleId="BalloonText">
    <w:name w:val="Balloon Text"/>
    <w:basedOn w:val="Normal"/>
    <w:link w:val="BalloonTextChar"/>
    <w:uiPriority w:val="99"/>
    <w:semiHidden/>
    <w:unhideWhenUsed/>
    <w:rsid w:val="00933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28C"/>
    <w:rPr>
      <w:rFonts w:ascii="Segoe UI" w:hAnsi="Segoe UI" w:cs="Segoe UI"/>
      <w:sz w:val="18"/>
      <w:szCs w:val="18"/>
    </w:rPr>
  </w:style>
  <w:style w:type="paragraph" w:styleId="Header">
    <w:name w:val="header"/>
    <w:basedOn w:val="Normal"/>
    <w:link w:val="HeaderChar"/>
    <w:uiPriority w:val="99"/>
    <w:unhideWhenUsed/>
    <w:rsid w:val="0086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D07"/>
  </w:style>
  <w:style w:type="paragraph" w:styleId="Footer">
    <w:name w:val="footer"/>
    <w:basedOn w:val="Normal"/>
    <w:link w:val="FooterChar"/>
    <w:uiPriority w:val="99"/>
    <w:unhideWhenUsed/>
    <w:rsid w:val="0086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D07"/>
  </w:style>
  <w:style w:type="character" w:customStyle="1" w:styleId="UnresolvedMention1">
    <w:name w:val="Unresolved Mention1"/>
    <w:basedOn w:val="DefaultParagraphFont"/>
    <w:uiPriority w:val="99"/>
    <w:semiHidden/>
    <w:unhideWhenUsed/>
    <w:rsid w:val="005E0CF0"/>
    <w:rPr>
      <w:color w:val="605E5C"/>
      <w:shd w:val="clear" w:color="auto" w:fill="E1DFDD"/>
    </w:rPr>
  </w:style>
  <w:style w:type="table" w:styleId="TableGrid">
    <w:name w:val="Table Grid"/>
    <w:basedOn w:val="TableNormal"/>
    <w:uiPriority w:val="39"/>
    <w:rsid w:val="0096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2167"/>
    <w:rPr>
      <w:sz w:val="16"/>
      <w:szCs w:val="16"/>
    </w:rPr>
  </w:style>
  <w:style w:type="paragraph" w:styleId="CommentText">
    <w:name w:val="annotation text"/>
    <w:basedOn w:val="Normal"/>
    <w:link w:val="CommentTextChar"/>
    <w:uiPriority w:val="99"/>
    <w:semiHidden/>
    <w:unhideWhenUsed/>
    <w:rsid w:val="00132167"/>
    <w:pPr>
      <w:spacing w:line="240" w:lineRule="auto"/>
    </w:pPr>
    <w:rPr>
      <w:sz w:val="20"/>
      <w:szCs w:val="20"/>
    </w:rPr>
  </w:style>
  <w:style w:type="character" w:customStyle="1" w:styleId="CommentTextChar">
    <w:name w:val="Comment Text Char"/>
    <w:basedOn w:val="DefaultParagraphFont"/>
    <w:link w:val="CommentText"/>
    <w:uiPriority w:val="99"/>
    <w:semiHidden/>
    <w:rsid w:val="00132167"/>
    <w:rPr>
      <w:sz w:val="20"/>
      <w:szCs w:val="20"/>
    </w:rPr>
  </w:style>
  <w:style w:type="paragraph" w:styleId="CommentSubject">
    <w:name w:val="annotation subject"/>
    <w:basedOn w:val="CommentText"/>
    <w:next w:val="CommentText"/>
    <w:link w:val="CommentSubjectChar"/>
    <w:uiPriority w:val="99"/>
    <w:semiHidden/>
    <w:unhideWhenUsed/>
    <w:rsid w:val="00132167"/>
    <w:rPr>
      <w:b/>
      <w:bCs/>
    </w:rPr>
  </w:style>
  <w:style w:type="character" w:customStyle="1" w:styleId="CommentSubjectChar">
    <w:name w:val="Comment Subject Char"/>
    <w:basedOn w:val="CommentTextChar"/>
    <w:link w:val="CommentSubject"/>
    <w:uiPriority w:val="99"/>
    <w:semiHidden/>
    <w:rsid w:val="00132167"/>
    <w:rPr>
      <w:b/>
      <w:bCs/>
      <w:sz w:val="20"/>
      <w:szCs w:val="20"/>
    </w:rPr>
  </w:style>
  <w:style w:type="paragraph" w:styleId="Revision">
    <w:name w:val="Revision"/>
    <w:hidden/>
    <w:uiPriority w:val="99"/>
    <w:semiHidden/>
    <w:rsid w:val="00175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725605">
      <w:bodyDiv w:val="1"/>
      <w:marLeft w:val="0"/>
      <w:marRight w:val="0"/>
      <w:marTop w:val="0"/>
      <w:marBottom w:val="0"/>
      <w:divBdr>
        <w:top w:val="none" w:sz="0" w:space="0" w:color="auto"/>
        <w:left w:val="none" w:sz="0" w:space="0" w:color="auto"/>
        <w:bottom w:val="none" w:sz="0" w:space="0" w:color="auto"/>
        <w:right w:val="none" w:sz="0" w:space="0" w:color="auto"/>
      </w:divBdr>
    </w:div>
    <w:div w:id="1525706491">
      <w:bodyDiv w:val="1"/>
      <w:marLeft w:val="0"/>
      <w:marRight w:val="0"/>
      <w:marTop w:val="0"/>
      <w:marBottom w:val="0"/>
      <w:divBdr>
        <w:top w:val="none" w:sz="0" w:space="0" w:color="auto"/>
        <w:left w:val="none" w:sz="0" w:space="0" w:color="auto"/>
        <w:bottom w:val="none" w:sz="0" w:space="0" w:color="auto"/>
        <w:right w:val="none" w:sz="0" w:space="0" w:color="auto"/>
      </w:divBdr>
    </w:div>
    <w:div w:id="1631394663">
      <w:bodyDiv w:val="1"/>
      <w:marLeft w:val="0"/>
      <w:marRight w:val="0"/>
      <w:marTop w:val="0"/>
      <w:marBottom w:val="0"/>
      <w:divBdr>
        <w:top w:val="none" w:sz="0" w:space="0" w:color="auto"/>
        <w:left w:val="none" w:sz="0" w:space="0" w:color="auto"/>
        <w:bottom w:val="none" w:sz="0" w:space="0" w:color="auto"/>
        <w:right w:val="none" w:sz="0" w:space="0" w:color="auto"/>
      </w:divBdr>
    </w:div>
    <w:div w:id="1682391771">
      <w:bodyDiv w:val="1"/>
      <w:marLeft w:val="0"/>
      <w:marRight w:val="0"/>
      <w:marTop w:val="0"/>
      <w:marBottom w:val="0"/>
      <w:divBdr>
        <w:top w:val="none" w:sz="0" w:space="0" w:color="auto"/>
        <w:left w:val="none" w:sz="0" w:space="0" w:color="auto"/>
        <w:bottom w:val="none" w:sz="0" w:space="0" w:color="auto"/>
        <w:right w:val="none" w:sz="0" w:space="0" w:color="auto"/>
      </w:divBdr>
    </w:div>
    <w:div w:id="20638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ila-energy-efficiency-trus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UK!693685977.2</documentid>
  <senderid>HACC</senderid>
  <senderemail>HARRY.CROSS@CMS-CMNO.COM</senderemail>
  <lastmodified>2024-05-08T17:49:00.0000000+01:00</lastmodified>
  <database>UK</database>
</properties>
</file>

<file path=customXml/itemProps1.xml><?xml version="1.0" encoding="utf-8"?>
<ds:datastoreItem xmlns:ds="http://schemas.openxmlformats.org/officeDocument/2006/customXml" ds:itemID="{EDC4CCDE-46BF-4B74-B93B-F406046B888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Stifel</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Watt, Edward (Investment Banking)</dc:creator>
  <cp:keywords/>
  <dc:description/>
  <cp:lastModifiedBy>Sinead Van Duuren</cp:lastModifiedBy>
  <cp:revision>5</cp:revision>
  <dcterms:created xsi:type="dcterms:W3CDTF">2024-05-13T11:12:00Z</dcterms:created>
  <dcterms:modified xsi:type="dcterms:W3CDTF">2024-05-13T11:22:00Z</dcterms:modified>
</cp:coreProperties>
</file>