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6B99" w14:textId="77777777" w:rsidR="002575D7" w:rsidRDefault="002575D7"/>
    <w:p w14:paraId="54B917A0" w14:textId="77777777" w:rsidR="00B25909" w:rsidRPr="00B25909" w:rsidRDefault="00B25909" w:rsidP="00B25909">
      <w:pPr>
        <w:spacing w:after="0" w:line="240" w:lineRule="auto"/>
        <w:jc w:val="center"/>
        <w:rPr>
          <w:rStyle w:val="gs"/>
          <w:rFonts w:ascii="Arial" w:eastAsia="Times New Roman" w:hAnsi="Arial" w:cs="Arial"/>
          <w:b/>
          <w:bCs/>
          <w:sz w:val="20"/>
          <w:szCs w:val="20"/>
        </w:rPr>
      </w:pPr>
      <w:r w:rsidRPr="00B25909">
        <w:rPr>
          <w:rStyle w:val="gs"/>
          <w:rFonts w:ascii="Arial" w:eastAsia="Times New Roman" w:hAnsi="Arial" w:cs="Arial"/>
          <w:b/>
          <w:bCs/>
          <w:sz w:val="20"/>
          <w:szCs w:val="20"/>
        </w:rPr>
        <w:t>RHI Magnesita N.V.</w:t>
      </w:r>
    </w:p>
    <w:p w14:paraId="5BCC3EEC" w14:textId="77777777" w:rsidR="00B25909" w:rsidRPr="00B25909" w:rsidRDefault="00B25909" w:rsidP="00B25909">
      <w:pPr>
        <w:spacing w:after="0" w:line="240" w:lineRule="auto"/>
        <w:jc w:val="center"/>
        <w:rPr>
          <w:rStyle w:val="gs"/>
          <w:rFonts w:ascii="Arial" w:hAnsi="Arial" w:cs="Arial"/>
          <w:b/>
          <w:bCs/>
          <w:sz w:val="20"/>
          <w:szCs w:val="20"/>
        </w:rPr>
      </w:pPr>
      <w:r w:rsidRPr="00B25909">
        <w:rPr>
          <w:rStyle w:val="gs"/>
          <w:rFonts w:ascii="Arial" w:eastAsia="Times New Roman" w:hAnsi="Arial" w:cs="Arial"/>
          <w:bCs/>
          <w:sz w:val="20"/>
          <w:szCs w:val="20"/>
        </w:rPr>
        <w:t>(“RHI Magnesita” or</w:t>
      </w:r>
      <w:r w:rsidRPr="00B25909">
        <w:rPr>
          <w:rStyle w:val="gs"/>
          <w:rFonts w:ascii="Arial" w:eastAsia="Times New Roman" w:hAnsi="Arial" w:cs="Arial"/>
          <w:b/>
          <w:bCs/>
          <w:sz w:val="20"/>
          <w:szCs w:val="20"/>
        </w:rPr>
        <w:t xml:space="preserve"> </w:t>
      </w:r>
      <w:r w:rsidRPr="00B25909">
        <w:rPr>
          <w:rStyle w:val="gs"/>
          <w:rFonts w:ascii="Arial" w:eastAsia="Times New Roman" w:hAnsi="Arial" w:cs="Arial"/>
          <w:bCs/>
          <w:sz w:val="20"/>
          <w:szCs w:val="20"/>
        </w:rPr>
        <w:t>the “Company”</w:t>
      </w:r>
      <w:r w:rsidRPr="00B25909">
        <w:rPr>
          <w:rStyle w:val="gs"/>
          <w:rFonts w:ascii="Arial" w:eastAsia="Times New Roman" w:hAnsi="Arial" w:cs="Arial"/>
          <w:b/>
          <w:bCs/>
          <w:sz w:val="20"/>
          <w:szCs w:val="20"/>
        </w:rPr>
        <w:t>)</w:t>
      </w:r>
    </w:p>
    <w:p w14:paraId="4596CFDB" w14:textId="77777777" w:rsidR="00B25909" w:rsidRPr="00B25909" w:rsidRDefault="00B25909" w:rsidP="00B25909">
      <w:pPr>
        <w:pStyle w:val="gy"/>
        <w:spacing w:before="0" w:beforeAutospacing="0" w:after="120" w:afterAutospacing="0"/>
        <w:jc w:val="center"/>
        <w:rPr>
          <w:rStyle w:val="gs"/>
          <w:rFonts w:ascii="Arial" w:hAnsi="Arial" w:cs="Arial"/>
          <w:b/>
          <w:bCs/>
          <w:sz w:val="20"/>
          <w:szCs w:val="20"/>
        </w:rPr>
      </w:pPr>
    </w:p>
    <w:p w14:paraId="45B0E285" w14:textId="76BE34E0" w:rsidR="00B25909" w:rsidRPr="00B25909" w:rsidRDefault="00B25909" w:rsidP="00B25909">
      <w:pPr>
        <w:pStyle w:val="gy"/>
        <w:spacing w:before="0" w:beforeAutospacing="0" w:after="120" w:afterAutospacing="0"/>
        <w:jc w:val="center"/>
        <w:rPr>
          <w:rFonts w:ascii="Arial" w:hAnsi="Arial" w:cs="Arial"/>
          <w:b/>
          <w:bCs/>
          <w:sz w:val="20"/>
          <w:szCs w:val="20"/>
        </w:rPr>
      </w:pPr>
      <w:r w:rsidRPr="00B25909">
        <w:rPr>
          <w:rFonts w:ascii="Arial" w:hAnsi="Arial" w:cs="Arial"/>
          <w:b/>
          <w:bCs/>
          <w:sz w:val="20"/>
          <w:szCs w:val="20"/>
        </w:rPr>
        <w:t>Result of the Annual General Meeting 202</w:t>
      </w:r>
      <w:r w:rsidR="00C60AF3">
        <w:rPr>
          <w:rFonts w:ascii="Arial" w:hAnsi="Arial" w:cs="Arial"/>
          <w:b/>
          <w:bCs/>
          <w:sz w:val="20"/>
          <w:szCs w:val="20"/>
        </w:rPr>
        <w:t>5</w:t>
      </w:r>
      <w:r w:rsidRPr="00B25909">
        <w:rPr>
          <w:rFonts w:ascii="Arial" w:hAnsi="Arial" w:cs="Arial"/>
          <w:b/>
          <w:bCs/>
          <w:sz w:val="20"/>
          <w:szCs w:val="20"/>
        </w:rPr>
        <w:t xml:space="preserve"> ("AGM")</w:t>
      </w:r>
    </w:p>
    <w:p w14:paraId="2DEED99D" w14:textId="77777777" w:rsidR="00B25909" w:rsidRPr="00B25909" w:rsidRDefault="00B25909" w:rsidP="00B25909">
      <w:pPr>
        <w:pStyle w:val="gy"/>
        <w:spacing w:before="0" w:beforeAutospacing="0" w:after="120" w:afterAutospacing="0"/>
        <w:rPr>
          <w:rFonts w:ascii="Arial" w:hAnsi="Arial" w:cs="Arial"/>
          <w:b/>
          <w:bCs/>
          <w:sz w:val="20"/>
          <w:szCs w:val="20"/>
        </w:rPr>
      </w:pPr>
    </w:p>
    <w:p w14:paraId="1697B2F5" w14:textId="4BFCFC9B" w:rsidR="00B25909" w:rsidRPr="00B25909" w:rsidRDefault="00B25909" w:rsidP="00B25909">
      <w:pPr>
        <w:rPr>
          <w:rFonts w:ascii="Arial" w:hAnsi="Arial" w:cs="Arial"/>
          <w:sz w:val="20"/>
          <w:szCs w:val="20"/>
        </w:rPr>
      </w:pPr>
      <w:r w:rsidRPr="00B25909">
        <w:rPr>
          <w:rFonts w:ascii="Arial" w:hAnsi="Arial" w:cs="Arial"/>
          <w:sz w:val="20"/>
          <w:szCs w:val="20"/>
        </w:rPr>
        <w:t xml:space="preserve">Following the AGM held today, </w:t>
      </w:r>
      <w:r w:rsidR="00C60AF3">
        <w:rPr>
          <w:rFonts w:ascii="Arial" w:hAnsi="Arial" w:cs="Arial"/>
          <w:sz w:val="20"/>
          <w:szCs w:val="20"/>
        </w:rPr>
        <w:t>7</w:t>
      </w:r>
      <w:r w:rsidRPr="00B25909">
        <w:rPr>
          <w:rFonts w:ascii="Arial" w:hAnsi="Arial" w:cs="Arial"/>
          <w:sz w:val="20"/>
          <w:szCs w:val="20"/>
        </w:rPr>
        <w:t xml:space="preserve"> May 202</w:t>
      </w:r>
      <w:r w:rsidR="00C60AF3">
        <w:rPr>
          <w:rFonts w:ascii="Arial" w:hAnsi="Arial" w:cs="Arial"/>
          <w:sz w:val="20"/>
          <w:szCs w:val="20"/>
        </w:rPr>
        <w:t>5</w:t>
      </w:r>
      <w:r w:rsidRPr="00B25909">
        <w:rPr>
          <w:rFonts w:ascii="Arial" w:hAnsi="Arial" w:cs="Arial"/>
          <w:sz w:val="20"/>
          <w:szCs w:val="20"/>
        </w:rPr>
        <w:t>, the following Resolutions were passed as Special Resolutions:</w:t>
      </w:r>
    </w:p>
    <w:p w14:paraId="1C11DD69" w14:textId="280E3355" w:rsidR="00B25909" w:rsidRDefault="00B25909">
      <w:pPr>
        <w:rPr>
          <w:rFonts w:ascii="Arial" w:hAnsi="Arial" w:cs="Arial"/>
          <w:b/>
          <w:bCs/>
          <w:sz w:val="20"/>
          <w:szCs w:val="20"/>
        </w:rPr>
      </w:pPr>
      <w:r w:rsidRPr="00B25909">
        <w:rPr>
          <w:rFonts w:ascii="Arial" w:hAnsi="Arial" w:cs="Arial"/>
          <w:b/>
          <w:bCs/>
          <w:sz w:val="20"/>
          <w:szCs w:val="20"/>
        </w:rPr>
        <w:t>Resolution 1</w:t>
      </w:r>
      <w:r w:rsidR="00E04B15">
        <w:rPr>
          <w:rFonts w:ascii="Arial" w:hAnsi="Arial" w:cs="Arial"/>
          <w:b/>
          <w:bCs/>
          <w:sz w:val="20"/>
          <w:szCs w:val="20"/>
        </w:rPr>
        <w:t>1</w:t>
      </w:r>
    </w:p>
    <w:p w14:paraId="0084CD86" w14:textId="677A4529" w:rsidR="00B25909" w:rsidRDefault="00B25909" w:rsidP="00E04B15">
      <w:pPr>
        <w:jc w:val="both"/>
        <w:rPr>
          <w:rFonts w:ascii="Arial" w:hAnsi="Arial" w:cs="Arial"/>
          <w:sz w:val="20"/>
          <w:szCs w:val="20"/>
        </w:rPr>
      </w:pPr>
      <w:r w:rsidRPr="00E04B15">
        <w:rPr>
          <w:rFonts w:ascii="Arial" w:hAnsi="Arial" w:cs="Arial"/>
          <w:sz w:val="20"/>
          <w:szCs w:val="20"/>
        </w:rPr>
        <w:t>Subject to the passing of Resolution 1</w:t>
      </w:r>
      <w:r w:rsidR="00E04B15">
        <w:rPr>
          <w:rFonts w:ascii="Arial" w:hAnsi="Arial" w:cs="Arial"/>
          <w:sz w:val="20"/>
          <w:szCs w:val="20"/>
        </w:rPr>
        <w:t>0</w:t>
      </w:r>
      <w:r w:rsidRPr="00E04B15">
        <w:rPr>
          <w:rFonts w:ascii="Arial" w:hAnsi="Arial" w:cs="Arial"/>
          <w:sz w:val="20"/>
          <w:szCs w:val="20"/>
        </w:rPr>
        <w:t>, to irrevocably authorise the Board until the end of the next Annual General Meeting or the date that falls 15 months from the date of this Annual General Meeting, whichever is the earlier, but in each case to resolve to limit or exclude pre-emptive rights in respect of any issue of ordinary shares or granting of rights to acquire ordinary shares, pursuant to the authority given by paragraph (i) of Resolution 1</w:t>
      </w:r>
      <w:r w:rsidR="00E04B15">
        <w:rPr>
          <w:rFonts w:ascii="Arial" w:hAnsi="Arial" w:cs="Arial"/>
          <w:sz w:val="20"/>
          <w:szCs w:val="20"/>
        </w:rPr>
        <w:t>0</w:t>
      </w:r>
      <w:r w:rsidRPr="00E04B15">
        <w:rPr>
          <w:rFonts w:ascii="Arial" w:hAnsi="Arial" w:cs="Arial"/>
          <w:sz w:val="20"/>
          <w:szCs w:val="20"/>
        </w:rPr>
        <w:t>, such authority to be limited to:</w:t>
      </w:r>
    </w:p>
    <w:p w14:paraId="36DE35B1" w14:textId="77777777" w:rsidR="00E04B15" w:rsidRDefault="00E04B15" w:rsidP="00E04B15">
      <w:pPr>
        <w:pStyle w:val="ListParagraph"/>
        <w:numPr>
          <w:ilvl w:val="0"/>
          <w:numId w:val="1"/>
        </w:numPr>
        <w:tabs>
          <w:tab w:val="left" w:pos="1440"/>
        </w:tabs>
        <w:ind w:left="1530" w:hanging="630"/>
        <w:jc w:val="both"/>
        <w:rPr>
          <w:rFonts w:ascii="Arial" w:hAnsi="Arial" w:cs="Arial"/>
          <w:sz w:val="20"/>
          <w:szCs w:val="20"/>
        </w:rPr>
      </w:pPr>
      <w:r w:rsidRPr="00B25909">
        <w:rPr>
          <w:rFonts w:ascii="Arial" w:hAnsi="Arial" w:cs="Arial"/>
          <w:sz w:val="20"/>
          <w:szCs w:val="20"/>
        </w:rPr>
        <w:t>allotments in connection with a pre-emptive offer; and</w:t>
      </w:r>
    </w:p>
    <w:p w14:paraId="71807A79" w14:textId="0C403416" w:rsidR="00E04B15" w:rsidRDefault="00E04B15" w:rsidP="00E04B15">
      <w:pPr>
        <w:pStyle w:val="ListParagraph"/>
        <w:numPr>
          <w:ilvl w:val="0"/>
          <w:numId w:val="1"/>
        </w:numPr>
        <w:tabs>
          <w:tab w:val="left" w:pos="1440"/>
        </w:tabs>
        <w:ind w:left="1440" w:hanging="540"/>
        <w:jc w:val="both"/>
        <w:rPr>
          <w:rFonts w:ascii="Arial" w:hAnsi="Arial" w:cs="Arial"/>
          <w:sz w:val="20"/>
          <w:szCs w:val="20"/>
        </w:rPr>
      </w:pPr>
      <w:r w:rsidRPr="00B25909">
        <w:rPr>
          <w:rFonts w:ascii="Arial" w:hAnsi="Arial" w:cs="Arial"/>
          <w:sz w:val="20"/>
          <w:szCs w:val="20"/>
        </w:rPr>
        <w:t>otherwise than in connection with a pre-emptive offer, allotments up to an aggregate</w:t>
      </w:r>
      <w:r>
        <w:rPr>
          <w:rFonts w:ascii="Arial" w:hAnsi="Arial" w:cs="Arial"/>
          <w:sz w:val="20"/>
          <w:szCs w:val="20"/>
        </w:rPr>
        <w:t xml:space="preserve"> </w:t>
      </w:r>
      <w:r w:rsidRPr="00B25909">
        <w:rPr>
          <w:rFonts w:ascii="Arial" w:hAnsi="Arial" w:cs="Arial"/>
          <w:sz w:val="20"/>
          <w:szCs w:val="20"/>
        </w:rPr>
        <w:t>nominal amount of €4,</w:t>
      </w:r>
      <w:r>
        <w:rPr>
          <w:rFonts w:ascii="Arial" w:hAnsi="Arial" w:cs="Arial"/>
          <w:sz w:val="20"/>
          <w:szCs w:val="20"/>
        </w:rPr>
        <w:t>721,459</w:t>
      </w:r>
      <w:r w:rsidRPr="00B25909">
        <w:rPr>
          <w:rFonts w:ascii="Arial" w:hAnsi="Arial" w:cs="Arial"/>
          <w:sz w:val="20"/>
          <w:szCs w:val="20"/>
        </w:rPr>
        <w:t>; and</w:t>
      </w:r>
    </w:p>
    <w:p w14:paraId="74C092A4" w14:textId="37C915D8" w:rsidR="00D1527E" w:rsidRDefault="00D1527E" w:rsidP="00E04B15">
      <w:pPr>
        <w:pStyle w:val="ListParagraph"/>
        <w:numPr>
          <w:ilvl w:val="0"/>
          <w:numId w:val="1"/>
        </w:numPr>
        <w:tabs>
          <w:tab w:val="left" w:pos="1440"/>
        </w:tabs>
        <w:ind w:left="1440" w:hanging="540"/>
        <w:jc w:val="both"/>
        <w:rPr>
          <w:rFonts w:ascii="Arial" w:hAnsi="Arial" w:cs="Arial"/>
          <w:sz w:val="20"/>
          <w:szCs w:val="20"/>
        </w:rPr>
      </w:pPr>
      <w:r>
        <w:rPr>
          <w:rFonts w:ascii="Arial" w:hAnsi="Arial" w:cs="Arial"/>
          <w:sz w:val="20"/>
          <w:szCs w:val="20"/>
        </w:rPr>
        <w:t>otherwise than under paragraphs (i) and (ii) above, allotments up to an aggregate nominal amount equal to 20% of any allotment made from time to time under paragraph (ii) above, such authority to be used only for the purposes of making a follow-on offer which the Board determine to be of a kind contemplated by paragraph 3 of Section 2B of the Statement of Principles of Disapplying Pre-Emption Rights most recently published by the Pre-Emption Group prior to the date of this notice, in each case so that the Company may, before the expiry of such authority, make offers and enter into agreements which would, or might, require shares to be issued after the authority given by this resolution has expired.</w:t>
      </w:r>
    </w:p>
    <w:p w14:paraId="7F49D580" w14:textId="77777777" w:rsidR="00E04B15" w:rsidRPr="00E04B15" w:rsidRDefault="00E04B15" w:rsidP="00E04B15">
      <w:pPr>
        <w:tabs>
          <w:tab w:val="left" w:pos="1530"/>
        </w:tabs>
        <w:jc w:val="both"/>
        <w:rPr>
          <w:rFonts w:ascii="Arial" w:hAnsi="Arial" w:cs="Arial"/>
          <w:sz w:val="20"/>
          <w:szCs w:val="20"/>
        </w:rPr>
      </w:pPr>
    </w:p>
    <w:p w14:paraId="10D2E3E4" w14:textId="77777777" w:rsidR="00B25909" w:rsidRDefault="00B25909" w:rsidP="00D1527E">
      <w:pPr>
        <w:jc w:val="both"/>
        <w:rPr>
          <w:rFonts w:ascii="Arial" w:hAnsi="Arial" w:cs="Arial"/>
          <w:sz w:val="20"/>
          <w:szCs w:val="20"/>
        </w:rPr>
      </w:pPr>
      <w:r w:rsidRPr="00B25909">
        <w:rPr>
          <w:rFonts w:ascii="Arial" w:hAnsi="Arial" w:cs="Arial"/>
          <w:sz w:val="20"/>
          <w:szCs w:val="20"/>
        </w:rPr>
        <w:t>For the purposes of this Resolution:</w:t>
      </w:r>
    </w:p>
    <w:p w14:paraId="01BD41FD" w14:textId="77777777" w:rsidR="00D1527E" w:rsidRPr="00B25909" w:rsidRDefault="00D1527E" w:rsidP="00D1527E">
      <w:pPr>
        <w:pStyle w:val="ListParagraph"/>
        <w:numPr>
          <w:ilvl w:val="0"/>
          <w:numId w:val="2"/>
        </w:numPr>
        <w:ind w:left="1440"/>
        <w:jc w:val="both"/>
        <w:rPr>
          <w:rFonts w:ascii="Arial" w:hAnsi="Arial" w:cs="Arial"/>
          <w:sz w:val="20"/>
          <w:szCs w:val="20"/>
        </w:rPr>
      </w:pPr>
      <w:r w:rsidRPr="00B25909">
        <w:rPr>
          <w:rFonts w:ascii="Arial" w:hAnsi="Arial" w:cs="Arial"/>
          <w:sz w:val="20"/>
          <w:szCs w:val="20"/>
        </w:rPr>
        <w:t xml:space="preserve">“pre-emptive offer” has the same meaning as in Resolution </w:t>
      </w:r>
      <w:r>
        <w:rPr>
          <w:rFonts w:ascii="Arial" w:hAnsi="Arial" w:cs="Arial"/>
          <w:sz w:val="20"/>
          <w:szCs w:val="20"/>
        </w:rPr>
        <w:t>10</w:t>
      </w:r>
      <w:r w:rsidRPr="00B25909">
        <w:rPr>
          <w:rFonts w:ascii="Arial" w:hAnsi="Arial" w:cs="Arial"/>
          <w:sz w:val="20"/>
          <w:szCs w:val="20"/>
        </w:rPr>
        <w:t>;</w:t>
      </w:r>
    </w:p>
    <w:p w14:paraId="1BCD7576" w14:textId="77777777" w:rsidR="00D1527E" w:rsidRPr="00B25909" w:rsidRDefault="00D1527E" w:rsidP="00D1527E">
      <w:pPr>
        <w:pStyle w:val="ListParagraph"/>
        <w:numPr>
          <w:ilvl w:val="0"/>
          <w:numId w:val="2"/>
        </w:numPr>
        <w:ind w:left="1440"/>
        <w:jc w:val="both"/>
        <w:rPr>
          <w:rFonts w:ascii="Arial" w:hAnsi="Arial" w:cs="Arial"/>
          <w:sz w:val="20"/>
          <w:szCs w:val="20"/>
        </w:rPr>
      </w:pPr>
      <w:r w:rsidRPr="00B25909">
        <w:rPr>
          <w:rFonts w:ascii="Arial" w:hAnsi="Arial" w:cs="Arial"/>
          <w:sz w:val="20"/>
          <w:szCs w:val="20"/>
        </w:rPr>
        <w:t>references to an issue of ordinary shares shall include a sale of treasury shares; and</w:t>
      </w:r>
    </w:p>
    <w:p w14:paraId="3CDE7292" w14:textId="51D00F0B" w:rsidR="00D1527E" w:rsidRPr="00D1527E" w:rsidRDefault="00D1527E" w:rsidP="00D1527E">
      <w:pPr>
        <w:pStyle w:val="ListParagraph"/>
        <w:numPr>
          <w:ilvl w:val="0"/>
          <w:numId w:val="2"/>
        </w:numPr>
        <w:ind w:left="1440"/>
        <w:jc w:val="both"/>
        <w:rPr>
          <w:rFonts w:ascii="Arial" w:hAnsi="Arial" w:cs="Arial"/>
          <w:sz w:val="20"/>
          <w:szCs w:val="20"/>
        </w:rPr>
      </w:pPr>
      <w:r w:rsidRPr="00B25909">
        <w:rPr>
          <w:rFonts w:ascii="Arial" w:hAnsi="Arial" w:cs="Arial"/>
          <w:sz w:val="20"/>
          <w:szCs w:val="20"/>
        </w:rPr>
        <w:t>the nominal amount of any shares shall be taken to be, in the case of rights to subscribe for or convert any securities into shares of the Company, the nominal amount of such shares which may be issued pursuant to such rights.</w:t>
      </w:r>
    </w:p>
    <w:p w14:paraId="1A17CFF7" w14:textId="77777777" w:rsidR="00B25909" w:rsidRPr="00B25909" w:rsidRDefault="00B25909" w:rsidP="00D1527E">
      <w:pPr>
        <w:ind w:left="1440"/>
        <w:rPr>
          <w:rFonts w:ascii="Arial" w:hAnsi="Arial" w:cs="Arial"/>
          <w:b/>
          <w:bCs/>
          <w:sz w:val="20"/>
          <w:szCs w:val="20"/>
        </w:rPr>
      </w:pPr>
    </w:p>
    <w:p w14:paraId="53F88F20" w14:textId="1C36BE0C" w:rsidR="00B25909" w:rsidRPr="00B25909" w:rsidRDefault="00B25909">
      <w:pPr>
        <w:rPr>
          <w:rFonts w:ascii="Arial" w:hAnsi="Arial" w:cs="Arial"/>
          <w:b/>
          <w:bCs/>
          <w:sz w:val="20"/>
          <w:szCs w:val="20"/>
        </w:rPr>
      </w:pPr>
      <w:r w:rsidRPr="00B25909">
        <w:rPr>
          <w:rFonts w:ascii="Arial" w:hAnsi="Arial" w:cs="Arial"/>
          <w:b/>
          <w:bCs/>
          <w:sz w:val="20"/>
          <w:szCs w:val="20"/>
        </w:rPr>
        <w:t>Resolution 1</w:t>
      </w:r>
      <w:r w:rsidR="00D1527E">
        <w:rPr>
          <w:rFonts w:ascii="Arial" w:hAnsi="Arial" w:cs="Arial"/>
          <w:b/>
          <w:bCs/>
          <w:sz w:val="20"/>
          <w:szCs w:val="20"/>
        </w:rPr>
        <w:t>2</w:t>
      </w:r>
    </w:p>
    <w:p w14:paraId="2BC83F7F" w14:textId="76FB8BE6" w:rsidR="00B25909" w:rsidRPr="00D1527E" w:rsidRDefault="00B25909" w:rsidP="00D1527E">
      <w:pPr>
        <w:jc w:val="both"/>
        <w:rPr>
          <w:rFonts w:ascii="Arial" w:hAnsi="Arial" w:cs="Arial"/>
          <w:sz w:val="20"/>
          <w:szCs w:val="20"/>
        </w:rPr>
      </w:pPr>
      <w:r w:rsidRPr="00D1527E">
        <w:rPr>
          <w:rFonts w:ascii="Arial" w:hAnsi="Arial" w:cs="Arial"/>
          <w:sz w:val="20"/>
          <w:szCs w:val="20"/>
        </w:rPr>
        <w:t>Subject to the passing of Resolution 1</w:t>
      </w:r>
      <w:r w:rsidR="00D1527E">
        <w:rPr>
          <w:rFonts w:ascii="Arial" w:hAnsi="Arial" w:cs="Arial"/>
          <w:sz w:val="20"/>
          <w:szCs w:val="20"/>
        </w:rPr>
        <w:t>0</w:t>
      </w:r>
      <w:r w:rsidRPr="00D1527E">
        <w:rPr>
          <w:rFonts w:ascii="Arial" w:hAnsi="Arial" w:cs="Arial"/>
          <w:sz w:val="20"/>
          <w:szCs w:val="20"/>
        </w:rPr>
        <w:t>, and in addition to any authority granted under Resolution 1</w:t>
      </w:r>
      <w:r w:rsidR="00D1527E">
        <w:rPr>
          <w:rFonts w:ascii="Arial" w:hAnsi="Arial" w:cs="Arial"/>
          <w:sz w:val="20"/>
          <w:szCs w:val="20"/>
        </w:rPr>
        <w:t>1</w:t>
      </w:r>
      <w:r w:rsidRPr="00D1527E">
        <w:rPr>
          <w:rFonts w:ascii="Arial" w:hAnsi="Arial" w:cs="Arial"/>
          <w:sz w:val="20"/>
          <w:szCs w:val="20"/>
        </w:rPr>
        <w:t xml:space="preserve"> above, to irrevocably authorise the Board until the end of the next Annual General Meeting or the date that falls 15 months from the date of this Annual General Meeting, whichever is the earlier, to resolve to limit or exclude pre-emptive rights in respect of any issue of ordinary shares or granting of rights to acquire ordinary shares pursuant to the authority given by Resolution 1</w:t>
      </w:r>
      <w:r w:rsidR="00D1527E">
        <w:rPr>
          <w:rFonts w:ascii="Arial" w:hAnsi="Arial" w:cs="Arial"/>
          <w:sz w:val="20"/>
          <w:szCs w:val="20"/>
        </w:rPr>
        <w:t>0</w:t>
      </w:r>
      <w:r w:rsidRPr="00D1527E">
        <w:rPr>
          <w:rFonts w:ascii="Arial" w:hAnsi="Arial" w:cs="Arial"/>
          <w:sz w:val="20"/>
          <w:szCs w:val="20"/>
        </w:rPr>
        <w:t>, such authority to be limited to:</w:t>
      </w:r>
    </w:p>
    <w:p w14:paraId="3C38B6AA" w14:textId="32213938" w:rsidR="00B25909" w:rsidRPr="00B25909" w:rsidRDefault="00B25909" w:rsidP="00D1527E">
      <w:pPr>
        <w:pStyle w:val="ListParagraph"/>
        <w:numPr>
          <w:ilvl w:val="0"/>
          <w:numId w:val="4"/>
        </w:numPr>
        <w:ind w:hanging="540"/>
        <w:jc w:val="both"/>
        <w:rPr>
          <w:rFonts w:ascii="Arial" w:hAnsi="Arial" w:cs="Arial"/>
          <w:sz w:val="20"/>
          <w:szCs w:val="20"/>
        </w:rPr>
      </w:pPr>
      <w:r w:rsidRPr="00B25909">
        <w:rPr>
          <w:rFonts w:ascii="Arial" w:hAnsi="Arial" w:cs="Arial"/>
          <w:sz w:val="20"/>
          <w:szCs w:val="20"/>
        </w:rPr>
        <w:t>allotments up to an aggregate nominal amount of €4,</w:t>
      </w:r>
      <w:r w:rsidR="00D1527E">
        <w:rPr>
          <w:rFonts w:ascii="Arial" w:hAnsi="Arial" w:cs="Arial"/>
          <w:sz w:val="20"/>
          <w:szCs w:val="20"/>
        </w:rPr>
        <w:t>721,459</w:t>
      </w:r>
      <w:r w:rsidRPr="00B25909">
        <w:rPr>
          <w:rFonts w:ascii="Arial" w:hAnsi="Arial" w:cs="Arial"/>
          <w:sz w:val="20"/>
          <w:szCs w:val="20"/>
        </w:rPr>
        <w:t xml:space="preserve"> such authority to be used only for the purposes of financing (or refinancing, if the authority is to be used within 12 months after the original transaction), a transaction which the Board determines to be either an acquisition or a specified capital investment of a kind contemplated by the Statement of Principles on Disapplying Pre-Emption Rights most recently published by the Pre-Emption Group prior to the date of this notice; and </w:t>
      </w:r>
    </w:p>
    <w:p w14:paraId="66C47531" w14:textId="77777777" w:rsidR="00B25909" w:rsidRPr="00B25909" w:rsidRDefault="00B25909" w:rsidP="00D1527E">
      <w:pPr>
        <w:pStyle w:val="ListParagraph"/>
        <w:numPr>
          <w:ilvl w:val="0"/>
          <w:numId w:val="4"/>
        </w:numPr>
        <w:ind w:hanging="540"/>
        <w:jc w:val="both"/>
        <w:rPr>
          <w:rFonts w:ascii="Arial" w:hAnsi="Arial" w:cs="Arial"/>
          <w:sz w:val="20"/>
          <w:szCs w:val="20"/>
        </w:rPr>
      </w:pPr>
      <w:r w:rsidRPr="00B25909">
        <w:rPr>
          <w:rFonts w:ascii="Arial" w:hAnsi="Arial" w:cs="Arial"/>
          <w:sz w:val="20"/>
          <w:szCs w:val="20"/>
        </w:rPr>
        <w:t xml:space="preserve">otherwise than under paragraph (i) above, allotments of up to an aggregate nominal amount equal to 20% of any allotment of equity securities or sale of treasury shares from time to time under paragraph (i) above, such authority to be used only for the purposes of making a follow-on offer that the Board determines to be of a kind </w:t>
      </w:r>
      <w:r w:rsidRPr="00B25909">
        <w:rPr>
          <w:rFonts w:ascii="Arial" w:hAnsi="Arial" w:cs="Arial"/>
          <w:sz w:val="20"/>
          <w:szCs w:val="20"/>
        </w:rPr>
        <w:lastRenderedPageBreak/>
        <w:t>contemplated by paragraph 3 of Section 2B of the Statement of Principles on Disapplying Pre-Emption Rights most recently published by the Pre-Emption Group prior to the date of this notice,</w:t>
      </w:r>
    </w:p>
    <w:p w14:paraId="19D0C60D" w14:textId="77777777" w:rsidR="00B25909" w:rsidRPr="00B25909" w:rsidRDefault="00B25909" w:rsidP="00B25909">
      <w:pPr>
        <w:ind w:left="720"/>
        <w:jc w:val="both"/>
        <w:rPr>
          <w:rFonts w:ascii="Arial" w:hAnsi="Arial" w:cs="Arial"/>
          <w:sz w:val="20"/>
          <w:szCs w:val="20"/>
        </w:rPr>
      </w:pPr>
    </w:p>
    <w:p w14:paraId="794A8DC0" w14:textId="144AE53F" w:rsidR="00B25909" w:rsidRPr="00B25909" w:rsidRDefault="00B25909" w:rsidP="009B5861">
      <w:pPr>
        <w:jc w:val="both"/>
        <w:rPr>
          <w:rFonts w:ascii="Arial" w:hAnsi="Arial" w:cs="Arial"/>
          <w:sz w:val="20"/>
          <w:szCs w:val="20"/>
        </w:rPr>
      </w:pPr>
      <w:r w:rsidRPr="00B25909">
        <w:rPr>
          <w:rFonts w:ascii="Arial" w:hAnsi="Arial" w:cs="Arial"/>
          <w:sz w:val="20"/>
          <w:szCs w:val="20"/>
        </w:rPr>
        <w:t>in each case so that the Company may, before the expiry of such authority, make offers and enter into agreements that would, or might, require equity securities to be allotted after the authority given by this resolution has expired</w:t>
      </w:r>
      <w:r w:rsidR="007C46D6">
        <w:rPr>
          <w:rFonts w:ascii="Arial" w:hAnsi="Arial" w:cs="Arial"/>
          <w:sz w:val="20"/>
          <w:szCs w:val="20"/>
        </w:rPr>
        <w:t>.</w:t>
      </w:r>
    </w:p>
    <w:p w14:paraId="2631FD52" w14:textId="77777777" w:rsidR="00B25909" w:rsidRPr="00B25909" w:rsidRDefault="00B25909" w:rsidP="009B5861">
      <w:pPr>
        <w:pStyle w:val="ListParagraph"/>
        <w:ind w:left="0" w:firstLine="0"/>
        <w:jc w:val="both"/>
        <w:rPr>
          <w:rFonts w:ascii="Arial" w:hAnsi="Arial" w:cs="Arial"/>
          <w:sz w:val="20"/>
          <w:szCs w:val="20"/>
        </w:rPr>
      </w:pPr>
      <w:r w:rsidRPr="00B25909">
        <w:rPr>
          <w:rFonts w:ascii="Arial" w:hAnsi="Arial" w:cs="Arial"/>
          <w:sz w:val="20"/>
          <w:szCs w:val="20"/>
        </w:rPr>
        <w:t>For the purposes of this Resolution, references to an issue of ordinary shares shall include a sale of treasury shares.</w:t>
      </w:r>
    </w:p>
    <w:p w14:paraId="77163815" w14:textId="77777777" w:rsidR="00B25909" w:rsidRPr="00B25909" w:rsidRDefault="00B25909">
      <w:pPr>
        <w:rPr>
          <w:rFonts w:ascii="Arial" w:hAnsi="Arial" w:cs="Arial"/>
          <w:b/>
          <w:bCs/>
          <w:sz w:val="20"/>
          <w:szCs w:val="20"/>
        </w:rPr>
      </w:pPr>
    </w:p>
    <w:p w14:paraId="3BCDD11E" w14:textId="0912A21E" w:rsidR="00B25909" w:rsidRPr="00B25909" w:rsidRDefault="00B25909">
      <w:pPr>
        <w:rPr>
          <w:rFonts w:ascii="Arial" w:hAnsi="Arial" w:cs="Arial"/>
          <w:b/>
          <w:bCs/>
          <w:sz w:val="20"/>
          <w:szCs w:val="20"/>
        </w:rPr>
      </w:pPr>
      <w:r w:rsidRPr="00B25909">
        <w:rPr>
          <w:rFonts w:ascii="Arial" w:hAnsi="Arial" w:cs="Arial"/>
          <w:b/>
          <w:bCs/>
          <w:sz w:val="20"/>
          <w:szCs w:val="20"/>
        </w:rPr>
        <w:t>Resolution 1</w:t>
      </w:r>
      <w:r w:rsidR="009B5861">
        <w:rPr>
          <w:rFonts w:ascii="Arial" w:hAnsi="Arial" w:cs="Arial"/>
          <w:b/>
          <w:bCs/>
          <w:sz w:val="20"/>
          <w:szCs w:val="20"/>
        </w:rPr>
        <w:t>4</w:t>
      </w:r>
    </w:p>
    <w:p w14:paraId="7FDAE4ED" w14:textId="3CEF20F2" w:rsidR="00B25909" w:rsidRPr="009B5861" w:rsidRDefault="00B25909" w:rsidP="009B5861">
      <w:pPr>
        <w:jc w:val="both"/>
        <w:rPr>
          <w:rFonts w:ascii="Arial" w:hAnsi="Arial" w:cs="Arial"/>
          <w:sz w:val="20"/>
          <w:szCs w:val="20"/>
        </w:rPr>
      </w:pPr>
      <w:r w:rsidRPr="009B5861">
        <w:rPr>
          <w:rFonts w:ascii="Arial" w:hAnsi="Arial" w:cs="Arial"/>
          <w:sz w:val="20"/>
          <w:szCs w:val="20"/>
        </w:rPr>
        <w:t xml:space="preserve">To propose to the Annual General Meeting to cancel any or all shares or depositary receipts of such shares (including depositary interests) held in treasury by the Company on </w:t>
      </w:r>
      <w:r w:rsidR="009B5861">
        <w:rPr>
          <w:rFonts w:ascii="Arial" w:hAnsi="Arial" w:cs="Arial"/>
          <w:sz w:val="20"/>
          <w:szCs w:val="20"/>
        </w:rPr>
        <w:t>7</w:t>
      </w:r>
      <w:r w:rsidRPr="009B5861">
        <w:rPr>
          <w:rFonts w:ascii="Arial" w:hAnsi="Arial" w:cs="Arial"/>
          <w:sz w:val="20"/>
          <w:szCs w:val="20"/>
        </w:rPr>
        <w:t xml:space="preserve"> May 202</w:t>
      </w:r>
      <w:r w:rsidR="009B5861">
        <w:rPr>
          <w:rFonts w:ascii="Arial" w:hAnsi="Arial" w:cs="Arial"/>
          <w:sz w:val="20"/>
          <w:szCs w:val="20"/>
        </w:rPr>
        <w:t>5</w:t>
      </w:r>
      <w:r w:rsidRPr="009B5861">
        <w:rPr>
          <w:rFonts w:ascii="Arial" w:hAnsi="Arial" w:cs="Arial"/>
          <w:sz w:val="20"/>
          <w:szCs w:val="20"/>
        </w:rPr>
        <w:t>, or to be acquired by the Company under the authorisation referred to under Resolution 1</w:t>
      </w:r>
      <w:r w:rsidR="009B5861">
        <w:rPr>
          <w:rFonts w:ascii="Arial" w:hAnsi="Arial" w:cs="Arial"/>
          <w:sz w:val="20"/>
          <w:szCs w:val="20"/>
        </w:rPr>
        <w:t>3</w:t>
      </w:r>
      <w:r w:rsidRPr="009B5861">
        <w:rPr>
          <w:rFonts w:ascii="Arial" w:hAnsi="Arial" w:cs="Arial"/>
          <w:sz w:val="20"/>
          <w:szCs w:val="20"/>
        </w:rPr>
        <w:t xml:space="preserve">, resulting in a reduction of the Company’s issued shares. The cancellation may be executed in one or more tranches. The number of shares or depositary receipts of such shares (including depositary interests) that will be cancelled (whether or not in several tranches) shall be determined by the Board, with a maximum of the number of shares or depositary receipts held by the Company on </w:t>
      </w:r>
      <w:r w:rsidR="009B5861">
        <w:rPr>
          <w:rFonts w:ascii="Arial" w:hAnsi="Arial" w:cs="Arial"/>
          <w:sz w:val="20"/>
          <w:szCs w:val="20"/>
        </w:rPr>
        <w:t>7</w:t>
      </w:r>
      <w:r w:rsidRPr="009B5861">
        <w:rPr>
          <w:rFonts w:ascii="Arial" w:hAnsi="Arial" w:cs="Arial"/>
          <w:sz w:val="20"/>
          <w:szCs w:val="20"/>
        </w:rPr>
        <w:t xml:space="preserve"> May 202</w:t>
      </w:r>
      <w:r w:rsidR="009B5861">
        <w:rPr>
          <w:rFonts w:ascii="Arial" w:hAnsi="Arial" w:cs="Arial"/>
          <w:sz w:val="20"/>
          <w:szCs w:val="20"/>
        </w:rPr>
        <w:t>5</w:t>
      </w:r>
      <w:r w:rsidRPr="009B5861">
        <w:rPr>
          <w:rFonts w:ascii="Arial" w:hAnsi="Arial" w:cs="Arial"/>
          <w:sz w:val="20"/>
          <w:szCs w:val="20"/>
        </w:rPr>
        <w:t>, plus the number of shares or depositary receipts that may be acquired in accordance with the authorisation referred to under Resolution 1</w:t>
      </w:r>
      <w:r w:rsidR="009B5861">
        <w:rPr>
          <w:rFonts w:ascii="Arial" w:hAnsi="Arial" w:cs="Arial"/>
          <w:sz w:val="20"/>
          <w:szCs w:val="20"/>
        </w:rPr>
        <w:t>3</w:t>
      </w:r>
      <w:r w:rsidRPr="009B5861">
        <w:rPr>
          <w:rFonts w:ascii="Arial" w:hAnsi="Arial" w:cs="Arial"/>
          <w:sz w:val="20"/>
          <w:szCs w:val="20"/>
        </w:rPr>
        <w:t xml:space="preserve">, subject to the following conditions: </w:t>
      </w:r>
    </w:p>
    <w:p w14:paraId="0B8D5695" w14:textId="5251620D" w:rsidR="00B25909" w:rsidRPr="009B5861" w:rsidRDefault="009B5861" w:rsidP="009B5861">
      <w:pPr>
        <w:pStyle w:val="ListParagraph"/>
        <w:numPr>
          <w:ilvl w:val="1"/>
          <w:numId w:val="7"/>
        </w:numPr>
        <w:ind w:hanging="589"/>
        <w:jc w:val="both"/>
        <w:rPr>
          <w:rFonts w:ascii="Arial" w:hAnsi="Arial" w:cs="Arial"/>
          <w:sz w:val="20"/>
          <w:szCs w:val="20"/>
        </w:rPr>
      </w:pPr>
      <w:r>
        <w:rPr>
          <w:rFonts w:ascii="Arial" w:hAnsi="Arial" w:cs="Arial"/>
          <w:sz w:val="20"/>
          <w:szCs w:val="20"/>
        </w:rPr>
        <w:t>p</w:t>
      </w:r>
      <w:r w:rsidR="00B25909" w:rsidRPr="009B5861">
        <w:rPr>
          <w:rFonts w:ascii="Arial" w:hAnsi="Arial" w:cs="Arial"/>
          <w:sz w:val="20"/>
          <w:szCs w:val="20"/>
        </w:rPr>
        <w:t xml:space="preserve">ursuant to the relevant statutory provisions, </w:t>
      </w:r>
      <w:r>
        <w:rPr>
          <w:rFonts w:ascii="Arial" w:hAnsi="Arial" w:cs="Arial"/>
          <w:sz w:val="20"/>
          <w:szCs w:val="20"/>
        </w:rPr>
        <w:t xml:space="preserve">for each tranche </w:t>
      </w:r>
      <w:r w:rsidR="00B25909" w:rsidRPr="009B5861">
        <w:rPr>
          <w:rFonts w:ascii="Arial" w:hAnsi="Arial" w:cs="Arial"/>
          <w:sz w:val="20"/>
          <w:szCs w:val="20"/>
        </w:rPr>
        <w:t xml:space="preserve">cancellation may not be effected earlier than two months after a resolution to cancel shares or depositary receipts is adopted and publicly announced; </w:t>
      </w:r>
      <w:r>
        <w:rPr>
          <w:rFonts w:ascii="Arial" w:hAnsi="Arial" w:cs="Arial"/>
          <w:sz w:val="20"/>
          <w:szCs w:val="20"/>
        </w:rPr>
        <w:t>and</w:t>
      </w:r>
    </w:p>
    <w:p w14:paraId="483F369E" w14:textId="2EE9805E" w:rsidR="00B25909" w:rsidRPr="00B25909" w:rsidRDefault="009B5861" w:rsidP="009B5861">
      <w:pPr>
        <w:pStyle w:val="ListParagraph"/>
        <w:numPr>
          <w:ilvl w:val="1"/>
          <w:numId w:val="7"/>
        </w:numPr>
        <w:ind w:left="1418" w:hanging="567"/>
        <w:jc w:val="both"/>
        <w:rPr>
          <w:rFonts w:ascii="Arial" w:hAnsi="Arial" w:cs="Arial"/>
          <w:sz w:val="20"/>
          <w:szCs w:val="20"/>
        </w:rPr>
      </w:pPr>
      <w:r>
        <w:rPr>
          <w:rFonts w:ascii="Arial" w:hAnsi="Arial" w:cs="Arial"/>
          <w:sz w:val="20"/>
          <w:szCs w:val="20"/>
        </w:rPr>
        <w:t>t</w:t>
      </w:r>
      <w:r w:rsidR="00B25909" w:rsidRPr="00B25909">
        <w:rPr>
          <w:rFonts w:ascii="Arial" w:hAnsi="Arial" w:cs="Arial"/>
          <w:sz w:val="20"/>
          <w:szCs w:val="20"/>
        </w:rPr>
        <w:t>he purpose of this proposal is cancellation of shares or depositary receipts held by the Company</w:t>
      </w:r>
      <w:r>
        <w:rPr>
          <w:rFonts w:ascii="Arial" w:hAnsi="Arial" w:cs="Arial"/>
          <w:sz w:val="20"/>
          <w:szCs w:val="20"/>
        </w:rPr>
        <w:t>,</w:t>
      </w:r>
      <w:r w:rsidR="00B25909" w:rsidRPr="00B25909">
        <w:rPr>
          <w:rFonts w:ascii="Arial" w:hAnsi="Arial" w:cs="Arial"/>
          <w:sz w:val="20"/>
          <w:szCs w:val="20"/>
        </w:rPr>
        <w:t xml:space="preserve"> or those that will be acquired in accordance with the authorisation referred to under Resolution 1</w:t>
      </w:r>
      <w:r>
        <w:rPr>
          <w:rFonts w:ascii="Arial" w:hAnsi="Arial" w:cs="Arial"/>
          <w:sz w:val="20"/>
          <w:szCs w:val="20"/>
        </w:rPr>
        <w:t>3</w:t>
      </w:r>
      <w:r w:rsidR="00B25909" w:rsidRPr="00B25909">
        <w:rPr>
          <w:rFonts w:ascii="Arial" w:hAnsi="Arial" w:cs="Arial"/>
          <w:sz w:val="20"/>
          <w:szCs w:val="20"/>
        </w:rPr>
        <w:t>, to the extent that such shares or depositary receipts shall not be used to cover obligations under share-based remuneration or other obligations</w:t>
      </w:r>
      <w:r w:rsidR="007C46D6">
        <w:rPr>
          <w:rFonts w:ascii="Arial" w:hAnsi="Arial" w:cs="Arial"/>
          <w:sz w:val="20"/>
          <w:szCs w:val="20"/>
        </w:rPr>
        <w:t>.</w:t>
      </w:r>
    </w:p>
    <w:p w14:paraId="5D11684B" w14:textId="77777777" w:rsidR="00B25909" w:rsidRPr="00B25909" w:rsidRDefault="00B25909">
      <w:pPr>
        <w:rPr>
          <w:rFonts w:ascii="Arial" w:hAnsi="Arial" w:cs="Arial"/>
          <w:b/>
          <w:bCs/>
          <w:sz w:val="20"/>
          <w:szCs w:val="20"/>
        </w:rPr>
      </w:pPr>
    </w:p>
    <w:p w14:paraId="2627DDE7" w14:textId="77777777" w:rsidR="00B25909" w:rsidRPr="00B25909" w:rsidRDefault="00B25909">
      <w:pPr>
        <w:rPr>
          <w:rFonts w:ascii="Arial" w:hAnsi="Arial" w:cs="Arial"/>
          <w:sz w:val="20"/>
          <w:szCs w:val="20"/>
        </w:rPr>
      </w:pPr>
    </w:p>
    <w:p w14:paraId="4B70FC34" w14:textId="77777777" w:rsidR="00B25909" w:rsidRPr="00B25909" w:rsidRDefault="00B25909">
      <w:pPr>
        <w:rPr>
          <w:rFonts w:ascii="Arial" w:hAnsi="Arial" w:cs="Arial"/>
          <w:sz w:val="20"/>
          <w:szCs w:val="20"/>
        </w:rPr>
      </w:pPr>
    </w:p>
    <w:p w14:paraId="72DB4072" w14:textId="77777777" w:rsidR="00B25909" w:rsidRPr="00B25909" w:rsidRDefault="00B25909" w:rsidP="00B25909">
      <w:pPr>
        <w:pStyle w:val="NoSpacing"/>
        <w:rPr>
          <w:rFonts w:ascii="Arial" w:eastAsia="Times New Roman" w:hAnsi="Arial" w:cs="Arial"/>
          <w:sz w:val="20"/>
          <w:szCs w:val="20"/>
          <w:lang w:eastAsia="en-GB"/>
        </w:rPr>
      </w:pPr>
      <w:r w:rsidRPr="00B25909">
        <w:rPr>
          <w:rFonts w:ascii="Arial" w:eastAsia="Times New Roman" w:hAnsi="Arial" w:cs="Arial"/>
          <w:sz w:val="20"/>
          <w:szCs w:val="20"/>
          <w:lang w:eastAsia="en-GB"/>
        </w:rPr>
        <w:t>For further enquiries, please contact:</w:t>
      </w:r>
    </w:p>
    <w:p w14:paraId="60444402" w14:textId="77777777" w:rsidR="00B25909" w:rsidRPr="00B25909" w:rsidRDefault="00B25909" w:rsidP="00B25909">
      <w:pPr>
        <w:pStyle w:val="NoSpacing"/>
        <w:rPr>
          <w:rFonts w:ascii="Arial" w:eastAsia="Times New Roman" w:hAnsi="Arial" w:cs="Arial"/>
          <w:sz w:val="20"/>
          <w:szCs w:val="20"/>
          <w:lang w:eastAsia="en-GB"/>
        </w:rPr>
      </w:pPr>
    </w:p>
    <w:p w14:paraId="35F1DE76" w14:textId="77777777" w:rsidR="00B25909" w:rsidRPr="00B25909" w:rsidRDefault="00B25909" w:rsidP="00B25909">
      <w:pPr>
        <w:pStyle w:val="NoSpacing"/>
        <w:rPr>
          <w:rFonts w:ascii="Arial" w:eastAsia="Times New Roman" w:hAnsi="Arial" w:cs="Arial"/>
          <w:sz w:val="20"/>
          <w:szCs w:val="20"/>
          <w:lang w:eastAsia="en-GB"/>
        </w:rPr>
      </w:pPr>
      <w:r w:rsidRPr="00B25909">
        <w:rPr>
          <w:rFonts w:ascii="Arial" w:eastAsia="Times New Roman" w:hAnsi="Arial" w:cs="Arial"/>
          <w:sz w:val="20"/>
          <w:szCs w:val="20"/>
          <w:lang w:eastAsia="en-GB"/>
        </w:rPr>
        <w:t>Sally Caswell, Company Secretary</w:t>
      </w:r>
    </w:p>
    <w:p w14:paraId="1AF037A0" w14:textId="77777777" w:rsidR="00B25909" w:rsidRPr="00B25909" w:rsidRDefault="00B25909" w:rsidP="00B25909">
      <w:pPr>
        <w:pStyle w:val="NoSpacing"/>
        <w:rPr>
          <w:rFonts w:ascii="Arial" w:eastAsia="Times New Roman" w:hAnsi="Arial" w:cs="Arial"/>
          <w:sz w:val="20"/>
          <w:szCs w:val="20"/>
          <w:lang w:val="en-US" w:eastAsia="en-GB"/>
        </w:rPr>
      </w:pPr>
      <w:r w:rsidRPr="00B25909">
        <w:rPr>
          <w:rFonts w:ascii="Arial" w:eastAsia="Times New Roman" w:hAnsi="Arial" w:cs="Arial"/>
          <w:sz w:val="20"/>
          <w:szCs w:val="20"/>
          <w:lang w:val="en-US" w:eastAsia="en-GB"/>
        </w:rPr>
        <w:t>Tel: +43 699 1870 6345</w:t>
      </w:r>
      <w:r w:rsidRPr="00B25909" w:rsidDel="00E46E75">
        <w:rPr>
          <w:rFonts w:ascii="Arial" w:eastAsia="Times New Roman" w:hAnsi="Arial" w:cs="Arial"/>
          <w:sz w:val="20"/>
          <w:szCs w:val="20"/>
          <w:lang w:val="en-US" w:eastAsia="en-GB"/>
        </w:rPr>
        <w:t xml:space="preserve"> </w:t>
      </w:r>
    </w:p>
    <w:p w14:paraId="0C92B80A" w14:textId="77777777" w:rsidR="00B25909" w:rsidRPr="00B25909" w:rsidRDefault="00B25909" w:rsidP="00B25909">
      <w:pPr>
        <w:pStyle w:val="NoSpacing"/>
        <w:rPr>
          <w:rFonts w:ascii="Arial" w:eastAsia="Times New Roman" w:hAnsi="Arial" w:cs="Arial"/>
          <w:color w:val="4D4D4B"/>
          <w:sz w:val="20"/>
          <w:szCs w:val="20"/>
          <w:lang w:val="pt-BR" w:eastAsia="en-GB"/>
        </w:rPr>
      </w:pPr>
      <w:r w:rsidRPr="00B25909">
        <w:rPr>
          <w:rFonts w:ascii="Arial" w:eastAsia="Times New Roman" w:hAnsi="Arial" w:cs="Arial"/>
          <w:sz w:val="20"/>
          <w:szCs w:val="20"/>
          <w:lang w:val="pt-BR" w:eastAsia="en-GB"/>
        </w:rPr>
        <w:t xml:space="preserve">E-mail: </w:t>
      </w:r>
      <w:hyperlink r:id="rId5" w:history="1">
        <w:r w:rsidRPr="00B25909">
          <w:rPr>
            <w:rStyle w:val="Hyperlink"/>
            <w:rFonts w:ascii="Arial" w:eastAsia="Times New Roman" w:hAnsi="Arial" w:cs="Arial"/>
            <w:sz w:val="20"/>
            <w:szCs w:val="20"/>
            <w:lang w:val="pt-BR" w:eastAsia="en-GB"/>
          </w:rPr>
          <w:t>sally.caswell@rhimagnesita.com</w:t>
        </w:r>
      </w:hyperlink>
      <w:r w:rsidRPr="00B25909" w:rsidDel="00E46E75">
        <w:rPr>
          <w:rFonts w:ascii="Arial" w:eastAsia="Times New Roman" w:hAnsi="Arial" w:cs="Arial"/>
          <w:sz w:val="20"/>
          <w:szCs w:val="20"/>
          <w:lang w:val="pt-BR" w:eastAsia="en-GB"/>
        </w:rPr>
        <w:t xml:space="preserve"> </w:t>
      </w:r>
    </w:p>
    <w:p w14:paraId="2B9449AD" w14:textId="77777777" w:rsidR="00B25909" w:rsidRPr="00B25909" w:rsidRDefault="00B25909">
      <w:pPr>
        <w:rPr>
          <w:rFonts w:ascii="Arial" w:hAnsi="Arial" w:cs="Arial"/>
          <w:sz w:val="20"/>
          <w:szCs w:val="20"/>
          <w:lang w:val="pt-BR"/>
        </w:rPr>
      </w:pPr>
    </w:p>
    <w:sectPr w:rsidR="00B25909" w:rsidRPr="00B25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427"/>
    <w:multiLevelType w:val="hybridMultilevel"/>
    <w:tmpl w:val="BB7E43E8"/>
    <w:lvl w:ilvl="0" w:tplc="4AEE1E84">
      <w:start w:val="1"/>
      <w:numFmt w:val="decimal"/>
      <w:lvlText w:val="%1."/>
      <w:lvlJc w:val="left"/>
      <w:pPr>
        <w:ind w:left="720" w:hanging="360"/>
      </w:pPr>
    </w:lvl>
    <w:lvl w:ilvl="1" w:tplc="A480769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40BBC"/>
    <w:multiLevelType w:val="hybridMultilevel"/>
    <w:tmpl w:val="C688C994"/>
    <w:lvl w:ilvl="0" w:tplc="2346BCE0">
      <w:start w:val="1"/>
      <w:numFmt w:val="lowerRoman"/>
      <w:lvlText w:val="(%1)"/>
      <w:lvlJc w:val="right"/>
      <w:pPr>
        <w:ind w:left="1620" w:hanging="360"/>
      </w:pPr>
      <w:rPr>
        <w:rFonts w:ascii="Arial" w:eastAsiaTheme="minorHAnsi" w:hAnsi="Arial" w:cs="Arial"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1DFA3566"/>
    <w:multiLevelType w:val="hybridMultilevel"/>
    <w:tmpl w:val="BB7E43E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742701"/>
    <w:multiLevelType w:val="hybridMultilevel"/>
    <w:tmpl w:val="931410FE"/>
    <w:lvl w:ilvl="0" w:tplc="0F708454">
      <w:start w:val="1"/>
      <w:numFmt w:val="lowerLetter"/>
      <w:lvlText w:val="%1."/>
      <w:lvlJc w:val="left"/>
      <w:pPr>
        <w:ind w:left="1080" w:hanging="360"/>
      </w:pPr>
      <w:rPr>
        <w:rFonts w:hint="default"/>
      </w:rPr>
    </w:lvl>
    <w:lvl w:ilvl="1" w:tplc="4C5A6AD6">
      <w:start w:val="1"/>
      <w:numFmt w:val="lowerRoman"/>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F66D0"/>
    <w:multiLevelType w:val="hybridMultilevel"/>
    <w:tmpl w:val="1C264EF8"/>
    <w:lvl w:ilvl="0" w:tplc="2E0E46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A8F4152"/>
    <w:multiLevelType w:val="hybridMultilevel"/>
    <w:tmpl w:val="88C09080"/>
    <w:lvl w:ilvl="0" w:tplc="49CEC8C2">
      <w:start w:val="1"/>
      <w:numFmt w:val="lowerRoman"/>
      <w:lvlText w:val="(%1)"/>
      <w:lvlJc w:val="left"/>
      <w:pPr>
        <w:ind w:left="720" w:hanging="360"/>
      </w:pPr>
      <w:rPr>
        <w:rFonts w:hint="default"/>
      </w:rPr>
    </w:lvl>
    <w:lvl w:ilvl="1" w:tplc="2E0E461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433907">
    <w:abstractNumId w:val="5"/>
  </w:num>
  <w:num w:numId="2" w16cid:durableId="1989280273">
    <w:abstractNumId w:val="1"/>
  </w:num>
  <w:num w:numId="3" w16cid:durableId="274601181">
    <w:abstractNumId w:val="0"/>
    <w:lvlOverride w:ilvl="0">
      <w:lvl w:ilvl="0" w:tplc="4AEE1E84">
        <w:start w:val="1"/>
        <w:numFmt w:val="decimal"/>
        <w:lvlText w:val="%1."/>
        <w:lvlJc w:val="left"/>
        <w:pPr>
          <w:ind w:left="720" w:hanging="360"/>
        </w:pPr>
        <w:rPr>
          <w:color w:val="auto"/>
          <w:u w:val="none"/>
        </w:rPr>
      </w:lvl>
    </w:lvlOverride>
    <w:lvlOverride w:ilvl="1">
      <w:lvl w:ilvl="1" w:tplc="A480769C">
        <w:start w:val="1"/>
        <w:numFmt w:val="lowerLetter"/>
        <w:lvlText w:val="%2."/>
        <w:lvlJc w:val="left"/>
        <w:pPr>
          <w:ind w:left="1440" w:hanging="360"/>
        </w:pPr>
        <w:rPr>
          <w:rFonts w:hint="default"/>
          <w:color w:val="auto"/>
          <w:u w:val="none"/>
        </w:rPr>
      </w:lvl>
    </w:lvlOverride>
    <w:lvlOverride w:ilvl="2">
      <w:lvl w:ilvl="2" w:tplc="0809001B" w:tentative="1">
        <w:start w:val="1"/>
        <w:numFmt w:val="lowerRoman"/>
        <w:lvlText w:val="%3."/>
        <w:lvlJc w:val="right"/>
        <w:pPr>
          <w:ind w:left="2160" w:hanging="180"/>
        </w:pPr>
        <w:rPr>
          <w:color w:val="0000FF"/>
          <w:u w:val="single"/>
        </w:rPr>
      </w:lvl>
    </w:lvlOverride>
    <w:lvlOverride w:ilvl="3">
      <w:lvl w:ilvl="3" w:tplc="0809000F" w:tentative="1">
        <w:start w:val="1"/>
        <w:numFmt w:val="decimal"/>
        <w:lvlText w:val="%4."/>
        <w:lvlJc w:val="left"/>
        <w:pPr>
          <w:ind w:left="2880" w:hanging="360"/>
        </w:pPr>
        <w:rPr>
          <w:color w:val="0000FF"/>
          <w:u w:val="single"/>
        </w:rPr>
      </w:lvl>
    </w:lvlOverride>
    <w:lvlOverride w:ilvl="4">
      <w:lvl w:ilvl="4" w:tplc="08090019" w:tentative="1">
        <w:start w:val="1"/>
        <w:numFmt w:val="lowerLetter"/>
        <w:lvlText w:val="%5."/>
        <w:lvlJc w:val="left"/>
        <w:pPr>
          <w:ind w:left="3600" w:hanging="360"/>
        </w:pPr>
        <w:rPr>
          <w:color w:val="0000FF"/>
          <w:u w:val="single"/>
        </w:rPr>
      </w:lvl>
    </w:lvlOverride>
    <w:lvlOverride w:ilvl="5">
      <w:lvl w:ilvl="5" w:tplc="0809001B" w:tentative="1">
        <w:start w:val="1"/>
        <w:numFmt w:val="lowerRoman"/>
        <w:lvlText w:val="%6."/>
        <w:lvlJc w:val="right"/>
        <w:pPr>
          <w:ind w:left="4320" w:hanging="180"/>
        </w:pPr>
        <w:rPr>
          <w:color w:val="0000FF"/>
          <w:u w:val="single"/>
        </w:rPr>
      </w:lvl>
    </w:lvlOverride>
    <w:lvlOverride w:ilvl="6">
      <w:lvl w:ilvl="6" w:tplc="0809000F" w:tentative="1">
        <w:start w:val="1"/>
        <w:numFmt w:val="decimal"/>
        <w:lvlText w:val="%7."/>
        <w:lvlJc w:val="left"/>
        <w:pPr>
          <w:ind w:left="5040" w:hanging="360"/>
        </w:pPr>
        <w:rPr>
          <w:color w:val="0000FF"/>
          <w:u w:val="single"/>
        </w:rPr>
      </w:lvl>
    </w:lvlOverride>
    <w:lvlOverride w:ilvl="7">
      <w:lvl w:ilvl="7" w:tplc="08090019" w:tentative="1">
        <w:start w:val="1"/>
        <w:numFmt w:val="lowerLetter"/>
        <w:lvlText w:val="%8."/>
        <w:lvlJc w:val="left"/>
        <w:pPr>
          <w:ind w:left="5760" w:hanging="360"/>
        </w:pPr>
        <w:rPr>
          <w:color w:val="0000FF"/>
          <w:u w:val="single"/>
        </w:rPr>
      </w:lvl>
    </w:lvlOverride>
    <w:lvlOverride w:ilvl="8">
      <w:lvl w:ilvl="8" w:tplc="0809001B" w:tentative="1">
        <w:start w:val="1"/>
        <w:numFmt w:val="lowerRoman"/>
        <w:lvlText w:val="%9."/>
        <w:lvlJc w:val="right"/>
        <w:pPr>
          <w:ind w:left="6480" w:hanging="180"/>
        </w:pPr>
        <w:rPr>
          <w:color w:val="0000FF"/>
          <w:u w:val="single"/>
        </w:rPr>
      </w:lvl>
    </w:lvlOverride>
  </w:num>
  <w:num w:numId="4" w16cid:durableId="408187451">
    <w:abstractNumId w:val="4"/>
  </w:num>
  <w:num w:numId="5" w16cid:durableId="645623275">
    <w:abstractNumId w:val="0"/>
  </w:num>
  <w:num w:numId="6" w16cid:durableId="911425630">
    <w:abstractNumId w:val="2"/>
  </w:num>
  <w:num w:numId="7" w16cid:durableId="16529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09"/>
    <w:rsid w:val="002575D7"/>
    <w:rsid w:val="0030747C"/>
    <w:rsid w:val="004125FB"/>
    <w:rsid w:val="00476E7F"/>
    <w:rsid w:val="007C46D6"/>
    <w:rsid w:val="009B5861"/>
    <w:rsid w:val="009B690D"/>
    <w:rsid w:val="00B25909"/>
    <w:rsid w:val="00C60AF3"/>
    <w:rsid w:val="00D1527E"/>
    <w:rsid w:val="00E0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7BE4"/>
  <w15:chartTrackingRefBased/>
  <w15:docId w15:val="{F85DE082-476F-4CDA-957D-F8EF9852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y">
    <w:name w:val="gy"/>
    <w:basedOn w:val="Normal"/>
    <w:rsid w:val="00B2590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gs">
    <w:name w:val="gs"/>
    <w:basedOn w:val="DefaultParagraphFont"/>
    <w:rsid w:val="00B25909"/>
  </w:style>
  <w:style w:type="character" w:styleId="Hyperlink">
    <w:name w:val="Hyperlink"/>
    <w:basedOn w:val="DefaultParagraphFont"/>
    <w:uiPriority w:val="99"/>
    <w:unhideWhenUsed/>
    <w:rsid w:val="00B25909"/>
    <w:rPr>
      <w:color w:val="0563C1" w:themeColor="hyperlink"/>
      <w:u w:val="single"/>
    </w:rPr>
  </w:style>
  <w:style w:type="paragraph" w:styleId="NoSpacing">
    <w:name w:val="No Spacing"/>
    <w:uiPriority w:val="1"/>
    <w:qFormat/>
    <w:rsid w:val="00B25909"/>
    <w:pPr>
      <w:spacing w:after="0" w:line="240" w:lineRule="auto"/>
    </w:pPr>
    <w:rPr>
      <w:kern w:val="0"/>
      <w14:ligatures w14:val="none"/>
    </w:rPr>
  </w:style>
  <w:style w:type="paragraph" w:styleId="ListParagraph">
    <w:name w:val="List Paragraph"/>
    <w:basedOn w:val="Normal"/>
    <w:uiPriority w:val="34"/>
    <w:qFormat/>
    <w:rsid w:val="00B25909"/>
    <w:pPr>
      <w:widowControl w:val="0"/>
      <w:autoSpaceDE w:val="0"/>
      <w:autoSpaceDN w:val="0"/>
      <w:spacing w:after="0" w:line="240" w:lineRule="auto"/>
      <w:ind w:left="453" w:hanging="340"/>
    </w:pPr>
    <w:rPr>
      <w:rFonts w:ascii="Calibri" w:eastAsia="Calibri" w:hAnsi="Calibri" w:cs="Calibri"/>
      <w:kern w:val="0"/>
      <w:lang w:bidi="en-US"/>
      <w14:ligatures w14:val="none"/>
    </w:rPr>
  </w:style>
  <w:style w:type="paragraph" w:styleId="Revision">
    <w:name w:val="Revision"/>
    <w:hidden/>
    <w:uiPriority w:val="99"/>
    <w:semiHidden/>
    <w:rsid w:val="00476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441949">
      <w:bodyDiv w:val="1"/>
      <w:marLeft w:val="0"/>
      <w:marRight w:val="0"/>
      <w:marTop w:val="0"/>
      <w:marBottom w:val="0"/>
      <w:divBdr>
        <w:top w:val="none" w:sz="0" w:space="0" w:color="auto"/>
        <w:left w:val="none" w:sz="0" w:space="0" w:color="auto"/>
        <w:bottom w:val="none" w:sz="0" w:space="0" w:color="auto"/>
        <w:right w:val="none" w:sz="0" w:space="0" w:color="auto"/>
      </w:divBdr>
    </w:div>
    <w:div w:id="20798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ly.caswell@RHIMagnesi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d9df57-6107-465f-b416-456b5ec3294b}" enabled="1" method="Privileged" siteId="{651b43ce-ccb8-4301-b551-b04dd872d40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Maughan</dc:creator>
  <cp:keywords/>
  <dc:description/>
  <cp:lastModifiedBy>Sally Caswell</cp:lastModifiedBy>
  <cp:revision>4</cp:revision>
  <dcterms:created xsi:type="dcterms:W3CDTF">2024-05-02T15:20:00Z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9df57-6107-465f-b416-456b5ec3294b_Enabled">
    <vt:lpwstr>true</vt:lpwstr>
  </property>
  <property fmtid="{D5CDD505-2E9C-101B-9397-08002B2CF9AE}" pid="3" name="MSIP_Label_9ed9df57-6107-465f-b416-456b5ec3294b_SetDate">
    <vt:lpwstr>2024-05-02T15:31:48Z</vt:lpwstr>
  </property>
  <property fmtid="{D5CDD505-2E9C-101B-9397-08002B2CF9AE}" pid="4" name="MSIP_Label_9ed9df57-6107-465f-b416-456b5ec3294b_Method">
    <vt:lpwstr>Privileged</vt:lpwstr>
  </property>
  <property fmtid="{D5CDD505-2E9C-101B-9397-08002B2CF9AE}" pid="5" name="MSIP_Label_9ed9df57-6107-465f-b416-456b5ec3294b_Name">
    <vt:lpwstr>Public</vt:lpwstr>
  </property>
  <property fmtid="{D5CDD505-2E9C-101B-9397-08002B2CF9AE}" pid="6" name="MSIP_Label_9ed9df57-6107-465f-b416-456b5ec3294b_SiteId">
    <vt:lpwstr>651b43ce-ccb8-4301-b551-b04dd872d401</vt:lpwstr>
  </property>
  <property fmtid="{D5CDD505-2E9C-101B-9397-08002B2CF9AE}" pid="7" name="MSIP_Label_9ed9df57-6107-465f-b416-456b5ec3294b_ActionId">
    <vt:lpwstr>389bfd78-a9ed-40cc-9c6b-324011ec497f</vt:lpwstr>
  </property>
  <property fmtid="{D5CDD505-2E9C-101B-9397-08002B2CF9AE}" pid="8" name="MSIP_Label_9ed9df57-6107-465f-b416-456b5ec3294b_ContentBits">
    <vt:lpwstr>0</vt:lpwstr>
  </property>
</Properties>
</file>