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F41C" w14:textId="77777777" w:rsidR="00012021" w:rsidRPr="008C44C4" w:rsidRDefault="00012021" w:rsidP="004E2A97">
      <w:pPr>
        <w:pStyle w:val="text0"/>
        <w:spacing w:before="0"/>
        <w:jc w:val="center"/>
        <w:rPr>
          <w:rFonts w:ascii="Arial" w:hAnsi="Arial" w:cs="Arial"/>
          <w:b/>
          <w:bCs/>
          <w:sz w:val="22"/>
        </w:rPr>
      </w:pPr>
      <w:r w:rsidRPr="008C44C4">
        <w:rPr>
          <w:rFonts w:ascii="Arial" w:hAnsi="Arial" w:cs="Arial"/>
          <w:b/>
          <w:bCs/>
          <w:sz w:val="22"/>
        </w:rPr>
        <w:t xml:space="preserve">Company No </w:t>
      </w:r>
      <w:r w:rsidR="00CD2EB8" w:rsidRPr="00CD2EB8">
        <w:rPr>
          <w:rFonts w:ascii="Arial" w:hAnsi="Arial" w:cs="Arial"/>
          <w:b/>
          <w:bCs/>
          <w:sz w:val="22"/>
        </w:rPr>
        <w:t>06374598</w:t>
      </w:r>
    </w:p>
    <w:p w14:paraId="5B89D732" w14:textId="77777777" w:rsidR="00012021" w:rsidRPr="008C44C4" w:rsidRDefault="00012021" w:rsidP="004E2A97">
      <w:pPr>
        <w:pStyle w:val="text0"/>
        <w:jc w:val="center"/>
        <w:rPr>
          <w:rFonts w:ascii="Arial" w:hAnsi="Arial" w:cs="Arial"/>
          <w:b/>
          <w:sz w:val="22"/>
          <w:szCs w:val="22"/>
        </w:rPr>
      </w:pPr>
      <w:r w:rsidRPr="008C44C4">
        <w:rPr>
          <w:rFonts w:ascii="Arial" w:hAnsi="Arial" w:cs="Arial"/>
          <w:b/>
          <w:sz w:val="22"/>
          <w:szCs w:val="22"/>
        </w:rPr>
        <w:t xml:space="preserve">The Companies Act </w:t>
      </w:r>
      <w:r>
        <w:rPr>
          <w:rFonts w:ascii="Arial" w:hAnsi="Arial" w:cs="Arial"/>
          <w:b/>
          <w:sz w:val="22"/>
          <w:szCs w:val="22"/>
        </w:rPr>
        <w:t>2006</w:t>
      </w:r>
    </w:p>
    <w:p w14:paraId="52119146" w14:textId="77777777" w:rsidR="00012021" w:rsidRPr="008C44C4" w:rsidRDefault="00012021" w:rsidP="004E2A97">
      <w:pPr>
        <w:pStyle w:val="text0"/>
        <w:jc w:val="center"/>
        <w:rPr>
          <w:rFonts w:ascii="Arial" w:hAnsi="Arial" w:cs="Arial"/>
          <w:b/>
          <w:sz w:val="22"/>
          <w:szCs w:val="22"/>
        </w:rPr>
      </w:pPr>
      <w:r w:rsidRPr="008C44C4">
        <w:rPr>
          <w:rFonts w:ascii="Arial" w:hAnsi="Arial" w:cs="Arial"/>
          <w:b/>
          <w:sz w:val="22"/>
          <w:szCs w:val="22"/>
        </w:rPr>
        <w:t>Public Company Limited by shares</w:t>
      </w:r>
    </w:p>
    <w:p w14:paraId="06FF0ACB" w14:textId="700BE812" w:rsidR="00012021" w:rsidRPr="008C44C4" w:rsidRDefault="0068488A" w:rsidP="004E2A97">
      <w:pPr>
        <w:pStyle w:val="text0"/>
        <w:jc w:val="center"/>
        <w:rPr>
          <w:rFonts w:ascii="Arial" w:hAnsi="Arial" w:cs="Arial"/>
          <w:b/>
          <w:sz w:val="22"/>
          <w:szCs w:val="22"/>
        </w:rPr>
      </w:pPr>
      <w:r w:rsidRPr="00DA694C">
        <w:rPr>
          <w:rFonts w:ascii="Arial" w:hAnsi="Arial" w:cs="Arial"/>
          <w:b/>
          <w:sz w:val="22"/>
          <w:szCs w:val="22"/>
        </w:rPr>
        <w:t>Special Business Resolutions</w:t>
      </w:r>
      <w:r>
        <w:rPr>
          <w:rFonts w:ascii="Arial" w:hAnsi="Arial" w:cs="Arial"/>
          <w:b/>
          <w:sz w:val="22"/>
          <w:szCs w:val="22"/>
        </w:rPr>
        <w:t xml:space="preserve"> of</w:t>
      </w:r>
    </w:p>
    <w:p w14:paraId="014DB17E" w14:textId="77777777" w:rsidR="00CD2EB8" w:rsidRDefault="00CD2EB8" w:rsidP="00CD2EB8">
      <w:pPr>
        <w:pStyle w:val="text0"/>
        <w:spacing w:line="360" w:lineRule="auto"/>
        <w:rPr>
          <w:rFonts w:ascii="Arial" w:hAnsi="Arial" w:cs="Arial"/>
          <w:b/>
          <w:bCs/>
          <w:sz w:val="36"/>
        </w:rPr>
      </w:pPr>
      <w:r>
        <w:rPr>
          <w:rFonts w:ascii="Arial" w:hAnsi="Arial" w:cs="Arial"/>
          <w:b/>
          <w:bCs/>
          <w:sz w:val="36"/>
        </w:rPr>
        <w:t xml:space="preserve">                       </w:t>
      </w:r>
      <w:r w:rsidRPr="00CD2EB8">
        <w:rPr>
          <w:rFonts w:ascii="Arial" w:hAnsi="Arial" w:cs="Arial"/>
          <w:b/>
          <w:bCs/>
          <w:sz w:val="36"/>
        </w:rPr>
        <w:t>Hellenic Dynamics plc</w:t>
      </w:r>
    </w:p>
    <w:p w14:paraId="1C9ED48A" w14:textId="13D2F4FA" w:rsidR="00012021" w:rsidRPr="00CE3E6F" w:rsidRDefault="00012021" w:rsidP="00DE5F51">
      <w:pPr>
        <w:pStyle w:val="text0"/>
        <w:spacing w:line="360" w:lineRule="auto"/>
        <w:rPr>
          <w:rFonts w:ascii="Arial" w:hAnsi="Arial" w:cs="Arial"/>
          <w:sz w:val="21"/>
          <w:szCs w:val="21"/>
        </w:rPr>
      </w:pPr>
      <w:r w:rsidRPr="00F227B7">
        <w:rPr>
          <w:rFonts w:ascii="Arial" w:hAnsi="Arial" w:cs="Arial"/>
          <w:sz w:val="21"/>
          <w:szCs w:val="21"/>
        </w:rPr>
        <w:t xml:space="preserve">At the </w:t>
      </w:r>
      <w:r w:rsidR="00F00E6A">
        <w:rPr>
          <w:rFonts w:ascii="Arial" w:hAnsi="Arial" w:cs="Arial"/>
          <w:sz w:val="21"/>
          <w:szCs w:val="21"/>
        </w:rPr>
        <w:t xml:space="preserve">Annual </w:t>
      </w:r>
      <w:r w:rsidRPr="00F227B7">
        <w:rPr>
          <w:rFonts w:ascii="Arial" w:hAnsi="Arial" w:cs="Arial"/>
          <w:sz w:val="21"/>
          <w:szCs w:val="21"/>
        </w:rPr>
        <w:t xml:space="preserve">General Meeting of the above-named Company duly convened and held on the </w:t>
      </w:r>
      <w:r w:rsidR="00CD2EB8">
        <w:rPr>
          <w:rFonts w:ascii="Arial" w:hAnsi="Arial" w:cs="Arial"/>
          <w:sz w:val="21"/>
          <w:szCs w:val="21"/>
        </w:rPr>
        <w:t>29</w:t>
      </w:r>
      <w:r w:rsidR="00CD2EB8" w:rsidRPr="00CD2EB8">
        <w:rPr>
          <w:rFonts w:ascii="Arial" w:hAnsi="Arial" w:cs="Arial"/>
          <w:sz w:val="21"/>
          <w:szCs w:val="21"/>
          <w:vertAlign w:val="superscript"/>
        </w:rPr>
        <w:t>th</w:t>
      </w:r>
      <w:r w:rsidR="00CD2EB8">
        <w:rPr>
          <w:rFonts w:ascii="Arial" w:hAnsi="Arial" w:cs="Arial"/>
          <w:sz w:val="21"/>
          <w:szCs w:val="21"/>
        </w:rPr>
        <w:t xml:space="preserve"> September 2023</w:t>
      </w:r>
      <w:r w:rsidRPr="00F227B7">
        <w:rPr>
          <w:rFonts w:ascii="Arial" w:hAnsi="Arial" w:cs="Arial"/>
          <w:sz w:val="21"/>
          <w:szCs w:val="21"/>
        </w:rPr>
        <w:t xml:space="preserve"> </w:t>
      </w:r>
      <w:r w:rsidR="00552E96" w:rsidRPr="00552E96">
        <w:rPr>
          <w:rFonts w:ascii="Arial" w:hAnsi="Arial" w:cs="Arial"/>
          <w:sz w:val="21"/>
          <w:szCs w:val="21"/>
        </w:rPr>
        <w:t>the following resolutions wer</w:t>
      </w:r>
      <w:r w:rsidR="00CD2EB8">
        <w:rPr>
          <w:rFonts w:ascii="Arial" w:hAnsi="Arial" w:cs="Arial"/>
          <w:sz w:val="21"/>
          <w:szCs w:val="21"/>
        </w:rPr>
        <w:t>e passed, of which resolution 10</w:t>
      </w:r>
      <w:r w:rsidR="00552E96">
        <w:rPr>
          <w:rFonts w:ascii="Arial" w:hAnsi="Arial" w:cs="Arial"/>
          <w:sz w:val="21"/>
          <w:szCs w:val="21"/>
        </w:rPr>
        <w:t xml:space="preserve"> as</w:t>
      </w:r>
      <w:r w:rsidR="00CD2EB8">
        <w:rPr>
          <w:rFonts w:ascii="Arial" w:hAnsi="Arial" w:cs="Arial"/>
          <w:sz w:val="21"/>
          <w:szCs w:val="21"/>
        </w:rPr>
        <w:t xml:space="preserve"> an ordinary resolution</w:t>
      </w:r>
      <w:r w:rsidR="00552E96">
        <w:rPr>
          <w:rFonts w:ascii="Arial" w:hAnsi="Arial" w:cs="Arial"/>
          <w:sz w:val="21"/>
          <w:szCs w:val="21"/>
        </w:rPr>
        <w:t xml:space="preserve"> and </w:t>
      </w:r>
      <w:r w:rsidR="00552E96" w:rsidRPr="00552E96">
        <w:rPr>
          <w:rFonts w:ascii="Arial" w:hAnsi="Arial" w:cs="Arial"/>
          <w:sz w:val="21"/>
          <w:szCs w:val="21"/>
        </w:rPr>
        <w:t>resolution</w:t>
      </w:r>
      <w:r w:rsidR="00CD2EB8">
        <w:rPr>
          <w:rFonts w:ascii="Arial" w:hAnsi="Arial" w:cs="Arial"/>
          <w:sz w:val="21"/>
          <w:szCs w:val="21"/>
        </w:rPr>
        <w:t>s 11 and 12</w:t>
      </w:r>
      <w:r w:rsidR="00552E96" w:rsidRPr="00552E96">
        <w:rPr>
          <w:rFonts w:ascii="Arial" w:hAnsi="Arial" w:cs="Arial"/>
          <w:sz w:val="21"/>
          <w:szCs w:val="21"/>
        </w:rPr>
        <w:t xml:space="preserve"> a</w:t>
      </w:r>
      <w:r w:rsidR="005B2C56">
        <w:rPr>
          <w:rFonts w:ascii="Arial" w:hAnsi="Arial" w:cs="Arial"/>
          <w:sz w:val="21"/>
          <w:szCs w:val="21"/>
        </w:rPr>
        <w:t>re</w:t>
      </w:r>
      <w:r w:rsidR="00552E96" w:rsidRPr="00552E96">
        <w:rPr>
          <w:rFonts w:ascii="Arial" w:hAnsi="Arial" w:cs="Arial"/>
          <w:sz w:val="21"/>
          <w:szCs w:val="21"/>
        </w:rPr>
        <w:t xml:space="preserve"> special resolution</w:t>
      </w:r>
      <w:r w:rsidR="00CD2EB8">
        <w:rPr>
          <w:rFonts w:ascii="Arial" w:hAnsi="Arial" w:cs="Arial"/>
          <w:sz w:val="21"/>
          <w:szCs w:val="21"/>
        </w:rPr>
        <w:t>s</w:t>
      </w:r>
      <w:r w:rsidR="00552E96" w:rsidRPr="00552E96">
        <w:rPr>
          <w:rFonts w:ascii="Arial" w:hAnsi="Arial" w:cs="Arial"/>
          <w:sz w:val="21"/>
          <w:szCs w:val="21"/>
        </w:rPr>
        <w:t>.</w:t>
      </w:r>
    </w:p>
    <w:p w14:paraId="144C7A98" w14:textId="77777777" w:rsidR="001F0880" w:rsidRDefault="001F0880" w:rsidP="004E2A97">
      <w:pPr>
        <w:tabs>
          <w:tab w:val="left" w:pos="426"/>
        </w:tabs>
        <w:autoSpaceDE w:val="0"/>
        <w:autoSpaceDN w:val="0"/>
        <w:adjustRightInd w:val="0"/>
        <w:ind w:left="426" w:hanging="426"/>
        <w:jc w:val="both"/>
        <w:rPr>
          <w:rFonts w:eastAsia="Calibri"/>
          <w:sz w:val="20"/>
        </w:rPr>
      </w:pPr>
    </w:p>
    <w:p w14:paraId="5507CAA2" w14:textId="77777777" w:rsidR="00B55D36" w:rsidRDefault="00690313" w:rsidP="00E079B2">
      <w:pPr>
        <w:tabs>
          <w:tab w:val="left" w:pos="426"/>
        </w:tabs>
        <w:autoSpaceDE w:val="0"/>
        <w:autoSpaceDN w:val="0"/>
        <w:adjustRightInd w:val="0"/>
        <w:jc w:val="both"/>
        <w:rPr>
          <w:rFonts w:eastAsia="Calibri"/>
          <w:b/>
          <w:sz w:val="20"/>
        </w:rPr>
      </w:pPr>
      <w:r>
        <w:rPr>
          <w:rFonts w:eastAsia="Calibri"/>
          <w:b/>
          <w:sz w:val="20"/>
        </w:rPr>
        <w:t>Ordinary Resolution</w:t>
      </w:r>
    </w:p>
    <w:p w14:paraId="26F58DE5" w14:textId="77777777" w:rsidR="00E079B2" w:rsidRPr="00B55D36" w:rsidRDefault="00E079B2" w:rsidP="00E079B2">
      <w:pPr>
        <w:tabs>
          <w:tab w:val="left" w:pos="426"/>
        </w:tabs>
        <w:autoSpaceDE w:val="0"/>
        <w:autoSpaceDN w:val="0"/>
        <w:adjustRightInd w:val="0"/>
        <w:jc w:val="both"/>
        <w:rPr>
          <w:rFonts w:ascii="HelveticaNeueLT-Light" w:eastAsiaTheme="minorHAnsi" w:hAnsi="HelveticaNeueLT-Light" w:cs="HelveticaNeueLT-Light"/>
          <w:sz w:val="20"/>
        </w:rPr>
      </w:pPr>
    </w:p>
    <w:p w14:paraId="35514EAD" w14:textId="77777777" w:rsidR="00CD2EB8" w:rsidRDefault="00CD2EB8" w:rsidP="00CD2EB8">
      <w:pPr>
        <w:tabs>
          <w:tab w:val="left" w:pos="426"/>
        </w:tabs>
        <w:autoSpaceDE w:val="0"/>
        <w:autoSpaceDN w:val="0"/>
        <w:adjustRightInd w:val="0"/>
        <w:ind w:left="426" w:hanging="426"/>
        <w:jc w:val="both"/>
        <w:rPr>
          <w:rFonts w:eastAsia="Calibri"/>
          <w:sz w:val="20"/>
        </w:rPr>
      </w:pPr>
      <w:r>
        <w:rPr>
          <w:rFonts w:ascii="HelveticaNeueLT-Light" w:eastAsiaTheme="minorHAnsi" w:hAnsi="HelveticaNeueLT-Light" w:cs="HelveticaNeueLT-Light"/>
          <w:sz w:val="20"/>
        </w:rPr>
        <w:t>10</w:t>
      </w:r>
      <w:r w:rsidR="00B55D36" w:rsidRPr="00B55D36">
        <w:rPr>
          <w:rFonts w:ascii="HelveticaNeueLT-Light" w:eastAsiaTheme="minorHAnsi" w:hAnsi="HelveticaNeueLT-Light" w:cs="HelveticaNeueLT-Light"/>
          <w:sz w:val="20"/>
        </w:rPr>
        <w:t>.</w:t>
      </w:r>
      <w:r w:rsidR="00B55D36" w:rsidRPr="00B55D36">
        <w:rPr>
          <w:rFonts w:ascii="HelveticaNeueLT-Light" w:eastAsiaTheme="minorHAnsi" w:hAnsi="HelveticaNeueLT-Light" w:cs="HelveticaNeueLT-Light"/>
          <w:sz w:val="20"/>
        </w:rPr>
        <w:tab/>
      </w:r>
      <w:r>
        <w:rPr>
          <w:rFonts w:eastAsia="Calibri"/>
          <w:sz w:val="20"/>
        </w:rPr>
        <w:t>THAT</w:t>
      </w:r>
      <w:r w:rsidRPr="00CD2EB8">
        <w:rPr>
          <w:rFonts w:eastAsia="Calibri"/>
          <w:sz w:val="20"/>
        </w:rPr>
        <w:t>, the Directors be generally and unconditionally authorised in accordance with s</w:t>
      </w:r>
      <w:r>
        <w:rPr>
          <w:rFonts w:eastAsia="Calibri"/>
          <w:sz w:val="20"/>
        </w:rPr>
        <w:t xml:space="preserve">ection </w:t>
      </w:r>
      <w:r w:rsidRPr="00CD2EB8">
        <w:rPr>
          <w:rFonts w:eastAsia="Calibri"/>
          <w:sz w:val="20"/>
        </w:rPr>
        <w:t xml:space="preserve">551 of the Companies Act 2006 (the ‘Act’) and in addition to </w:t>
      </w:r>
      <w:r>
        <w:rPr>
          <w:rFonts w:eastAsia="Calibri"/>
          <w:sz w:val="20"/>
        </w:rPr>
        <w:t xml:space="preserve">all existing authorities under </w:t>
      </w:r>
      <w:r w:rsidRPr="00CD2EB8">
        <w:rPr>
          <w:rFonts w:eastAsia="Calibri"/>
          <w:sz w:val="20"/>
        </w:rPr>
        <w:t>that section, to exercise all the powers of the Company to all</w:t>
      </w:r>
      <w:r>
        <w:rPr>
          <w:rFonts w:eastAsia="Calibri"/>
          <w:sz w:val="20"/>
        </w:rPr>
        <w:t xml:space="preserve">ot shares in the Company or to </w:t>
      </w:r>
      <w:r w:rsidRPr="00CD2EB8">
        <w:rPr>
          <w:rFonts w:eastAsia="Calibri"/>
          <w:sz w:val="20"/>
        </w:rPr>
        <w:t>grant rights to subscribe for, or to convert any security into, sh</w:t>
      </w:r>
      <w:r>
        <w:rPr>
          <w:rFonts w:eastAsia="Calibri"/>
          <w:sz w:val="20"/>
        </w:rPr>
        <w:t xml:space="preserve">ares in the Company (‘Rights’) </w:t>
      </w:r>
      <w:r w:rsidRPr="00CD2EB8">
        <w:rPr>
          <w:rFonts w:eastAsia="Calibri"/>
          <w:sz w:val="20"/>
        </w:rPr>
        <w:t>up to an aggregate nominal amount of £4,176,666 durin</w:t>
      </w:r>
      <w:r>
        <w:rPr>
          <w:rFonts w:eastAsia="Calibri"/>
          <w:sz w:val="20"/>
        </w:rPr>
        <w:t xml:space="preserve">g the period commencing on the </w:t>
      </w:r>
      <w:r w:rsidRPr="00CD2EB8">
        <w:rPr>
          <w:rFonts w:eastAsia="Calibri"/>
          <w:sz w:val="20"/>
        </w:rPr>
        <w:t>date of the passing of this resolution and expiring at the</w:t>
      </w:r>
      <w:r>
        <w:rPr>
          <w:rFonts w:eastAsia="Calibri"/>
          <w:sz w:val="20"/>
        </w:rPr>
        <w:t xml:space="preserve"> conclusion of the next Annual </w:t>
      </w:r>
      <w:r w:rsidRPr="00CD2EB8">
        <w:rPr>
          <w:rFonts w:eastAsia="Calibri"/>
          <w:sz w:val="20"/>
        </w:rPr>
        <w:t>General Meeting of the Company to be held in 2024 and pro</w:t>
      </w:r>
      <w:r>
        <w:rPr>
          <w:rFonts w:eastAsia="Calibri"/>
          <w:sz w:val="20"/>
        </w:rPr>
        <w:t xml:space="preserve">vided further that the Company </w:t>
      </w:r>
      <w:r w:rsidRPr="00CD2EB8">
        <w:rPr>
          <w:rFonts w:eastAsia="Calibri"/>
          <w:sz w:val="20"/>
        </w:rPr>
        <w:t xml:space="preserve">shall be entitled before such expiry to make an offer or </w:t>
      </w:r>
      <w:r>
        <w:rPr>
          <w:rFonts w:eastAsia="Calibri"/>
          <w:sz w:val="20"/>
        </w:rPr>
        <w:t xml:space="preserve">agreement which would or might </w:t>
      </w:r>
      <w:r w:rsidRPr="00CD2EB8">
        <w:rPr>
          <w:rFonts w:eastAsia="Calibri"/>
          <w:sz w:val="20"/>
        </w:rPr>
        <w:t xml:space="preserve">require shares to be allotted or Rights to be granted after such </w:t>
      </w:r>
      <w:r>
        <w:rPr>
          <w:rFonts w:eastAsia="Calibri"/>
          <w:sz w:val="20"/>
        </w:rPr>
        <w:t xml:space="preserve">expiry and the Directors shall </w:t>
      </w:r>
      <w:r w:rsidRPr="00CD2EB8">
        <w:rPr>
          <w:rFonts w:eastAsia="Calibri"/>
          <w:sz w:val="20"/>
        </w:rPr>
        <w:t xml:space="preserve">be entitled to allot shares and grant Rights under such offer or </w:t>
      </w:r>
      <w:r>
        <w:rPr>
          <w:rFonts w:eastAsia="Calibri"/>
          <w:sz w:val="20"/>
        </w:rPr>
        <w:t xml:space="preserve">agreement as if this authority </w:t>
      </w:r>
      <w:r w:rsidRPr="00CD2EB8">
        <w:rPr>
          <w:rFonts w:eastAsia="Calibri"/>
          <w:sz w:val="20"/>
        </w:rPr>
        <w:t>had not expired.</w:t>
      </w:r>
      <w:r>
        <w:rPr>
          <w:rFonts w:eastAsia="Calibri"/>
          <w:sz w:val="20"/>
        </w:rPr>
        <w:t xml:space="preserve"> </w:t>
      </w:r>
    </w:p>
    <w:p w14:paraId="0B441D71" w14:textId="77777777" w:rsidR="00CD2EB8" w:rsidRDefault="00CD2EB8" w:rsidP="00CD2EB8">
      <w:pPr>
        <w:tabs>
          <w:tab w:val="left" w:pos="426"/>
        </w:tabs>
        <w:autoSpaceDE w:val="0"/>
        <w:autoSpaceDN w:val="0"/>
        <w:adjustRightInd w:val="0"/>
        <w:ind w:left="426" w:hanging="426"/>
        <w:jc w:val="both"/>
        <w:rPr>
          <w:rFonts w:eastAsia="Calibri"/>
          <w:sz w:val="20"/>
        </w:rPr>
      </w:pPr>
    </w:p>
    <w:p w14:paraId="4F2A1C51" w14:textId="77777777" w:rsidR="00CD2EB8" w:rsidRPr="00CD2EB8" w:rsidRDefault="00CD2EB8" w:rsidP="00CD2EB8">
      <w:pPr>
        <w:pStyle w:val="NtocHeading1"/>
        <w:spacing w:after="240" w:line="360" w:lineRule="auto"/>
        <w:jc w:val="both"/>
        <w:rPr>
          <w:rFonts w:cs="Arial"/>
          <w:sz w:val="21"/>
          <w:szCs w:val="21"/>
        </w:rPr>
      </w:pPr>
      <w:r>
        <w:rPr>
          <w:rFonts w:cs="Arial"/>
          <w:sz w:val="21"/>
          <w:szCs w:val="21"/>
        </w:rPr>
        <w:t>Special Resolution</w:t>
      </w:r>
      <w:r w:rsidR="00690313">
        <w:rPr>
          <w:rFonts w:cs="Arial"/>
          <w:sz w:val="21"/>
          <w:szCs w:val="21"/>
        </w:rPr>
        <w:t>s</w:t>
      </w:r>
    </w:p>
    <w:p w14:paraId="1D8D25F8" w14:textId="77777777" w:rsidR="00CD2EB8" w:rsidRDefault="00CD2EB8" w:rsidP="00CD2EB8">
      <w:pPr>
        <w:tabs>
          <w:tab w:val="left" w:pos="426"/>
        </w:tabs>
        <w:autoSpaceDE w:val="0"/>
        <w:autoSpaceDN w:val="0"/>
        <w:adjustRightInd w:val="0"/>
        <w:ind w:left="426" w:hanging="426"/>
        <w:jc w:val="both"/>
        <w:rPr>
          <w:rFonts w:eastAsia="Calibri"/>
          <w:sz w:val="20"/>
        </w:rPr>
      </w:pPr>
    </w:p>
    <w:p w14:paraId="4AF66D11" w14:textId="77777777" w:rsidR="00CD2EB8" w:rsidRDefault="00CD2EB8" w:rsidP="00CD2EB8">
      <w:pPr>
        <w:tabs>
          <w:tab w:val="left" w:pos="426"/>
        </w:tabs>
        <w:autoSpaceDE w:val="0"/>
        <w:autoSpaceDN w:val="0"/>
        <w:adjustRightInd w:val="0"/>
        <w:ind w:left="426" w:hanging="426"/>
        <w:jc w:val="both"/>
        <w:rPr>
          <w:rFonts w:eastAsia="Calibri"/>
          <w:sz w:val="20"/>
        </w:rPr>
      </w:pPr>
      <w:r>
        <w:rPr>
          <w:rFonts w:eastAsia="Calibri"/>
          <w:sz w:val="20"/>
        </w:rPr>
        <w:t xml:space="preserve">11.  </w:t>
      </w:r>
      <w:r w:rsidRPr="00CD2EB8">
        <w:rPr>
          <w:rFonts w:eastAsia="Calibri"/>
          <w:sz w:val="20"/>
        </w:rPr>
        <w:t>THAT, subject to and conditional upon the passing of Resolution</w:t>
      </w:r>
      <w:r>
        <w:rPr>
          <w:rFonts w:eastAsia="Calibri"/>
          <w:sz w:val="20"/>
        </w:rPr>
        <w:t xml:space="preserve"> 10, the Directors be and they </w:t>
      </w:r>
      <w:r w:rsidRPr="00CD2EB8">
        <w:rPr>
          <w:rFonts w:eastAsia="Calibri"/>
          <w:sz w:val="20"/>
        </w:rPr>
        <w:t>are hereby authorised pursuant to Section 570 of the Act to allot equit</w:t>
      </w:r>
      <w:r>
        <w:rPr>
          <w:rFonts w:eastAsia="Calibri"/>
          <w:sz w:val="20"/>
        </w:rPr>
        <w:t xml:space="preserve">y securities (as defined </w:t>
      </w:r>
      <w:r w:rsidRPr="00CD2EB8">
        <w:rPr>
          <w:rFonts w:eastAsia="Calibri"/>
          <w:sz w:val="20"/>
        </w:rPr>
        <w:t>in Section 560 of the Act) for cash pursuant to the authority co</w:t>
      </w:r>
      <w:r>
        <w:rPr>
          <w:rFonts w:eastAsia="Calibri"/>
          <w:sz w:val="20"/>
        </w:rPr>
        <w:t xml:space="preserve">nferred by resolution 10 above </w:t>
      </w:r>
      <w:r w:rsidRPr="00CD2EB8">
        <w:rPr>
          <w:rFonts w:eastAsia="Calibri"/>
          <w:sz w:val="20"/>
        </w:rPr>
        <w:t>as if Section 561(1) of the Act did not apply to any such allo</w:t>
      </w:r>
      <w:r>
        <w:rPr>
          <w:rFonts w:eastAsia="Calibri"/>
          <w:sz w:val="20"/>
        </w:rPr>
        <w:t xml:space="preserve">tment, provided that this power </w:t>
      </w:r>
      <w:r w:rsidRPr="00CD2EB8">
        <w:rPr>
          <w:rFonts w:eastAsia="Calibri"/>
          <w:sz w:val="20"/>
        </w:rPr>
        <w:t>shall be limited to:</w:t>
      </w:r>
      <w:r>
        <w:rPr>
          <w:rFonts w:eastAsia="Calibri"/>
          <w:sz w:val="20"/>
        </w:rPr>
        <w:t xml:space="preserve"> </w:t>
      </w:r>
    </w:p>
    <w:p w14:paraId="6AC2F413" w14:textId="77777777" w:rsidR="00CD2EB8" w:rsidRDefault="00CD2EB8" w:rsidP="00CD2EB8">
      <w:pPr>
        <w:tabs>
          <w:tab w:val="left" w:pos="426"/>
        </w:tabs>
        <w:autoSpaceDE w:val="0"/>
        <w:autoSpaceDN w:val="0"/>
        <w:adjustRightInd w:val="0"/>
        <w:ind w:left="426" w:hanging="426"/>
        <w:jc w:val="both"/>
        <w:rPr>
          <w:rFonts w:eastAsia="Calibri"/>
          <w:sz w:val="20"/>
        </w:rPr>
      </w:pPr>
    </w:p>
    <w:p w14:paraId="541A6101" w14:textId="77777777" w:rsidR="00CD2EB8" w:rsidRPr="00CD2EB8" w:rsidRDefault="00CD2EB8" w:rsidP="00CD2EB8">
      <w:pPr>
        <w:pStyle w:val="ListParagraph"/>
        <w:numPr>
          <w:ilvl w:val="0"/>
          <w:numId w:val="8"/>
        </w:numPr>
        <w:tabs>
          <w:tab w:val="left" w:pos="426"/>
        </w:tabs>
        <w:autoSpaceDE w:val="0"/>
        <w:autoSpaceDN w:val="0"/>
        <w:adjustRightInd w:val="0"/>
        <w:jc w:val="both"/>
        <w:rPr>
          <w:rFonts w:eastAsia="Calibri"/>
          <w:sz w:val="20"/>
        </w:rPr>
      </w:pPr>
      <w:r w:rsidRPr="00CD2EB8">
        <w:rPr>
          <w:rFonts w:eastAsia="Calibri"/>
          <w:sz w:val="20"/>
        </w:rPr>
        <w:t xml:space="preserve"> the allotment of equity securities in connection with an issue in favour of shareholders where the equity securities respectively attributable to the interests of all such shareholders are proportionate (or as nearly as may be practicable) to the respective number of Ordinary Shares in the capital of the Company held by them on the record date for such allotment, but subject to such exclusions or other arrangements as the Directors may deem necessary or expedient in relation to fractional entitlements or legal or practical problems under the laws of, or the requirements of, any recognised regulatory body or any stock exchange, in any territory;</w:t>
      </w:r>
    </w:p>
    <w:p w14:paraId="130856FB" w14:textId="77777777" w:rsidR="00CD2EB8" w:rsidRDefault="00CD2EB8" w:rsidP="00CD2EB8">
      <w:pPr>
        <w:tabs>
          <w:tab w:val="left" w:pos="426"/>
        </w:tabs>
        <w:autoSpaceDE w:val="0"/>
        <w:autoSpaceDN w:val="0"/>
        <w:adjustRightInd w:val="0"/>
        <w:ind w:left="426" w:hanging="426"/>
        <w:jc w:val="both"/>
        <w:rPr>
          <w:rFonts w:eastAsia="Calibri"/>
          <w:sz w:val="20"/>
        </w:rPr>
      </w:pPr>
    </w:p>
    <w:p w14:paraId="41FD9913" w14:textId="77777777" w:rsidR="00CD2EB8" w:rsidRPr="00CD2EB8" w:rsidRDefault="00CD2EB8" w:rsidP="00CD2EB8">
      <w:pPr>
        <w:pStyle w:val="ListParagraph"/>
        <w:numPr>
          <w:ilvl w:val="0"/>
          <w:numId w:val="8"/>
        </w:numPr>
        <w:tabs>
          <w:tab w:val="left" w:pos="426"/>
        </w:tabs>
        <w:autoSpaceDE w:val="0"/>
        <w:autoSpaceDN w:val="0"/>
        <w:adjustRightInd w:val="0"/>
        <w:jc w:val="both"/>
        <w:rPr>
          <w:rFonts w:eastAsia="Calibri"/>
          <w:sz w:val="20"/>
        </w:rPr>
      </w:pPr>
      <w:r w:rsidRPr="00CD2EB8">
        <w:rPr>
          <w:rFonts w:eastAsia="Calibri"/>
          <w:sz w:val="20"/>
        </w:rPr>
        <w:t xml:space="preserve"> the allotment of equity securities arising from the conversion of any other convertible securities outstanding at the date of this resolution; and </w:t>
      </w:r>
    </w:p>
    <w:p w14:paraId="38E64917" w14:textId="77777777" w:rsidR="00CD2EB8" w:rsidRDefault="00CD2EB8" w:rsidP="00CD2EB8">
      <w:pPr>
        <w:tabs>
          <w:tab w:val="left" w:pos="426"/>
        </w:tabs>
        <w:autoSpaceDE w:val="0"/>
        <w:autoSpaceDN w:val="0"/>
        <w:adjustRightInd w:val="0"/>
        <w:ind w:left="426" w:hanging="426"/>
        <w:jc w:val="both"/>
        <w:rPr>
          <w:rFonts w:eastAsia="Calibri"/>
          <w:sz w:val="20"/>
        </w:rPr>
      </w:pPr>
      <w:r>
        <w:rPr>
          <w:rFonts w:eastAsia="Calibri"/>
          <w:sz w:val="20"/>
        </w:rPr>
        <w:t xml:space="preserve">        </w:t>
      </w:r>
    </w:p>
    <w:p w14:paraId="758ED35D" w14:textId="77777777" w:rsidR="00CD2EB8" w:rsidRPr="00CD2EB8" w:rsidRDefault="00CD2EB8" w:rsidP="00CD2EB8">
      <w:pPr>
        <w:pStyle w:val="ListParagraph"/>
        <w:numPr>
          <w:ilvl w:val="0"/>
          <w:numId w:val="8"/>
        </w:numPr>
        <w:tabs>
          <w:tab w:val="left" w:pos="426"/>
        </w:tabs>
        <w:autoSpaceDE w:val="0"/>
        <w:autoSpaceDN w:val="0"/>
        <w:adjustRightInd w:val="0"/>
        <w:jc w:val="both"/>
        <w:rPr>
          <w:rFonts w:eastAsia="Calibri"/>
          <w:sz w:val="20"/>
        </w:rPr>
      </w:pPr>
      <w:r w:rsidRPr="00CD2EB8">
        <w:rPr>
          <w:rFonts w:eastAsia="Calibri"/>
          <w:sz w:val="20"/>
        </w:rPr>
        <w:t xml:space="preserve"> the allotment (otherwise than pursuant to sub-paragraph (a) and (b) above) of further equity securities up to an aggregate nominal amount of £2,506,000;</w:t>
      </w:r>
    </w:p>
    <w:p w14:paraId="034F9917" w14:textId="77777777" w:rsidR="00CD2EB8" w:rsidRDefault="00CD2EB8" w:rsidP="00CD2EB8">
      <w:pPr>
        <w:tabs>
          <w:tab w:val="left" w:pos="426"/>
        </w:tabs>
        <w:autoSpaceDE w:val="0"/>
        <w:autoSpaceDN w:val="0"/>
        <w:adjustRightInd w:val="0"/>
        <w:ind w:left="426" w:hanging="426"/>
        <w:jc w:val="both"/>
        <w:rPr>
          <w:rFonts w:eastAsia="Calibri"/>
          <w:sz w:val="20"/>
        </w:rPr>
      </w:pPr>
    </w:p>
    <w:p w14:paraId="1FB0B60A" w14:textId="77777777" w:rsidR="00CD2EB8" w:rsidRDefault="00CD2EB8" w:rsidP="00CD2EB8">
      <w:pPr>
        <w:tabs>
          <w:tab w:val="left" w:pos="426"/>
        </w:tabs>
        <w:autoSpaceDE w:val="0"/>
        <w:autoSpaceDN w:val="0"/>
        <w:adjustRightInd w:val="0"/>
        <w:ind w:left="426" w:hanging="426"/>
        <w:jc w:val="both"/>
        <w:rPr>
          <w:rFonts w:eastAsia="Calibri"/>
          <w:sz w:val="20"/>
        </w:rPr>
      </w:pPr>
    </w:p>
    <w:p w14:paraId="59445754" w14:textId="77777777" w:rsidR="00CD2EB8" w:rsidRDefault="00CD2EB8" w:rsidP="00CD2EB8">
      <w:pPr>
        <w:tabs>
          <w:tab w:val="left" w:pos="426"/>
        </w:tabs>
        <w:autoSpaceDE w:val="0"/>
        <w:autoSpaceDN w:val="0"/>
        <w:adjustRightInd w:val="0"/>
        <w:ind w:left="426" w:hanging="426"/>
        <w:jc w:val="both"/>
        <w:rPr>
          <w:rFonts w:eastAsia="Calibri"/>
          <w:sz w:val="20"/>
        </w:rPr>
      </w:pPr>
      <w:r>
        <w:rPr>
          <w:rFonts w:eastAsia="Calibri"/>
          <w:sz w:val="20"/>
        </w:rPr>
        <w:lastRenderedPageBreak/>
        <w:t xml:space="preserve">        </w:t>
      </w:r>
      <w:r w:rsidRPr="00CD2EB8">
        <w:rPr>
          <w:rFonts w:eastAsia="Calibri"/>
          <w:sz w:val="20"/>
        </w:rPr>
        <w:t>provided that this power shall, unless previously revoked or varied by special resolution of the Company in general meeting, expire at the conclusion of the next Annual General Meeting of the Company to be held in 2024. The Company may, before such expiry, make offers or agreements, which would or might require equity securities to be allotted after such expiry and the Directors are hereby empowered to allot equity securities in pursuance of such offers or agreements as if the power conferred hereby had not expired.</w:t>
      </w:r>
      <w:r>
        <w:rPr>
          <w:rFonts w:eastAsia="Calibri"/>
          <w:sz w:val="20"/>
        </w:rPr>
        <w:t xml:space="preserve"> </w:t>
      </w:r>
    </w:p>
    <w:p w14:paraId="2DD71D1D" w14:textId="77777777" w:rsidR="00CD2EB8" w:rsidRDefault="00CD2EB8" w:rsidP="00CD2EB8">
      <w:pPr>
        <w:tabs>
          <w:tab w:val="left" w:pos="426"/>
        </w:tabs>
        <w:autoSpaceDE w:val="0"/>
        <w:autoSpaceDN w:val="0"/>
        <w:adjustRightInd w:val="0"/>
        <w:ind w:left="426" w:hanging="426"/>
        <w:jc w:val="both"/>
        <w:rPr>
          <w:rFonts w:eastAsia="Calibri"/>
          <w:sz w:val="20"/>
        </w:rPr>
      </w:pPr>
    </w:p>
    <w:p w14:paraId="3084B515" w14:textId="77777777" w:rsidR="00B55D36" w:rsidRDefault="00CD2EB8" w:rsidP="00CD2EB8">
      <w:pPr>
        <w:tabs>
          <w:tab w:val="left" w:pos="426"/>
        </w:tabs>
        <w:autoSpaceDE w:val="0"/>
        <w:autoSpaceDN w:val="0"/>
        <w:adjustRightInd w:val="0"/>
        <w:ind w:left="426" w:hanging="426"/>
        <w:jc w:val="both"/>
        <w:rPr>
          <w:rFonts w:eastAsia="Calibri"/>
          <w:sz w:val="20"/>
        </w:rPr>
      </w:pPr>
      <w:r>
        <w:rPr>
          <w:rFonts w:eastAsia="Calibri"/>
          <w:sz w:val="20"/>
        </w:rPr>
        <w:t>12.  THAT</w:t>
      </w:r>
      <w:r w:rsidRPr="00CD2EB8">
        <w:rPr>
          <w:rFonts w:eastAsia="Calibri"/>
          <w:sz w:val="20"/>
        </w:rPr>
        <w:t xml:space="preserve"> a general meeting of the Company (other than an annual general meeting) may be called on not less than 14 clear days’ notice</w:t>
      </w:r>
    </w:p>
    <w:p w14:paraId="6E23AE68" w14:textId="77777777" w:rsidR="00CD2EB8" w:rsidRDefault="00CD2EB8" w:rsidP="004E2A97">
      <w:pPr>
        <w:tabs>
          <w:tab w:val="left" w:pos="426"/>
        </w:tabs>
        <w:autoSpaceDE w:val="0"/>
        <w:autoSpaceDN w:val="0"/>
        <w:adjustRightInd w:val="0"/>
        <w:ind w:left="426" w:hanging="426"/>
        <w:jc w:val="both"/>
        <w:rPr>
          <w:rFonts w:eastAsia="Calibri"/>
          <w:sz w:val="20"/>
        </w:rPr>
      </w:pPr>
    </w:p>
    <w:p w14:paraId="69E6CC6E" w14:textId="77777777" w:rsidR="00CD2EB8" w:rsidRDefault="00CD2EB8" w:rsidP="004E2A97">
      <w:pPr>
        <w:tabs>
          <w:tab w:val="left" w:pos="426"/>
        </w:tabs>
        <w:autoSpaceDE w:val="0"/>
        <w:autoSpaceDN w:val="0"/>
        <w:adjustRightInd w:val="0"/>
        <w:ind w:left="426" w:hanging="426"/>
        <w:jc w:val="both"/>
        <w:rPr>
          <w:rFonts w:eastAsia="Calibri"/>
          <w:sz w:val="20"/>
        </w:rPr>
      </w:pPr>
    </w:p>
    <w:p w14:paraId="563D9384" w14:textId="77777777" w:rsidR="00B55D36" w:rsidRPr="00B55D36" w:rsidRDefault="00B55D36" w:rsidP="004E2A97">
      <w:pPr>
        <w:tabs>
          <w:tab w:val="left" w:pos="426"/>
        </w:tabs>
        <w:autoSpaceDE w:val="0"/>
        <w:autoSpaceDN w:val="0"/>
        <w:adjustRightInd w:val="0"/>
        <w:jc w:val="both"/>
        <w:rPr>
          <w:rFonts w:ascii="HelveticaNeueLT-Light" w:eastAsiaTheme="minorHAnsi" w:hAnsi="HelveticaNeueLT-Light" w:cs="HelveticaNeueLT-Light"/>
          <w:sz w:val="20"/>
        </w:rPr>
      </w:pPr>
    </w:p>
    <w:p w14:paraId="13511CF3" w14:textId="77777777" w:rsidR="001F0880" w:rsidRDefault="001F0880" w:rsidP="004E2A97">
      <w:pPr>
        <w:autoSpaceDE w:val="0"/>
        <w:autoSpaceDN w:val="0"/>
        <w:adjustRightInd w:val="0"/>
        <w:ind w:left="567"/>
        <w:jc w:val="both"/>
        <w:rPr>
          <w:rFonts w:eastAsia="Calibri"/>
          <w:sz w:val="20"/>
        </w:rPr>
      </w:pPr>
    </w:p>
    <w:p w14:paraId="29D062A2" w14:textId="77777777" w:rsidR="004E2A97" w:rsidRDefault="004E2A97" w:rsidP="004E2A97">
      <w:pPr>
        <w:autoSpaceDE w:val="0"/>
        <w:autoSpaceDN w:val="0"/>
        <w:adjustRightInd w:val="0"/>
        <w:ind w:left="567"/>
        <w:jc w:val="both"/>
        <w:rPr>
          <w:b/>
        </w:rPr>
      </w:pPr>
    </w:p>
    <w:p w14:paraId="3A6497D9" w14:textId="77777777" w:rsidR="00005242" w:rsidRDefault="00E04F11" w:rsidP="00005242">
      <w:pPr>
        <w:pStyle w:val="text0"/>
        <w:spacing w:before="0" w:line="360" w:lineRule="auto"/>
        <w:rPr>
          <w:rFonts w:ascii="Arial" w:hAnsi="Arial" w:cs="Arial"/>
          <w:sz w:val="20"/>
        </w:rPr>
      </w:pPr>
      <w:r w:rsidRPr="00005242">
        <w:rPr>
          <w:rFonts w:ascii="Arial" w:hAnsi="Arial" w:cs="Arial"/>
          <w:noProof/>
          <w:sz w:val="20"/>
          <w:lang w:eastAsia="en-GB"/>
        </w:rPr>
        <w:drawing>
          <wp:inline distT="0" distB="0" distL="0" distR="0" wp14:anchorId="357DFF46" wp14:editId="3DB6E60A">
            <wp:extent cx="987509" cy="720969"/>
            <wp:effectExtent l="0" t="0" r="3175" b="3175"/>
            <wp:docPr id="1" name="Picture 1" descr="C:\Users\ZulafqarS\OneDrive - Shakespeare Martineau LLP\Documents\BH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lafqarS\OneDrive - Shakespeare Martineau LLP\Documents\BH Signa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4276" cy="740512"/>
                    </a:xfrm>
                    <a:prstGeom prst="rect">
                      <a:avLst/>
                    </a:prstGeom>
                    <a:noFill/>
                    <a:ln>
                      <a:noFill/>
                    </a:ln>
                  </pic:spPr>
                </pic:pic>
              </a:graphicData>
            </a:graphic>
          </wp:inline>
        </w:drawing>
      </w:r>
    </w:p>
    <w:p w14:paraId="4022461C" w14:textId="77777777" w:rsidR="00012021" w:rsidRPr="00BE64B0" w:rsidRDefault="00012021" w:rsidP="004E2A97">
      <w:pPr>
        <w:pStyle w:val="text0"/>
        <w:spacing w:before="0" w:line="360" w:lineRule="auto"/>
        <w:ind w:left="720" w:hanging="720"/>
        <w:rPr>
          <w:rFonts w:ascii="Arial" w:hAnsi="Arial" w:cs="Arial"/>
          <w:sz w:val="20"/>
        </w:rPr>
      </w:pPr>
      <w:r w:rsidRPr="00BE64B0">
        <w:rPr>
          <w:rFonts w:ascii="Arial" w:hAnsi="Arial" w:cs="Arial"/>
          <w:sz w:val="20"/>
        </w:rPr>
        <w:t>……………………………….</w:t>
      </w:r>
    </w:p>
    <w:p w14:paraId="7DE877AF" w14:textId="77777777" w:rsidR="00E04F11" w:rsidRDefault="00E04F11" w:rsidP="004E2A97">
      <w:pPr>
        <w:pStyle w:val="text0"/>
        <w:spacing w:before="0" w:line="360" w:lineRule="auto"/>
        <w:ind w:left="720" w:hanging="720"/>
        <w:rPr>
          <w:rFonts w:ascii="Arial" w:hAnsi="Arial" w:cs="Arial"/>
          <w:b/>
          <w:sz w:val="20"/>
        </w:rPr>
      </w:pPr>
      <w:r>
        <w:rPr>
          <w:rFonts w:ascii="Arial" w:hAnsi="Arial" w:cs="Arial"/>
          <w:b/>
          <w:sz w:val="20"/>
        </w:rPr>
        <w:t>Ben Harber</w:t>
      </w:r>
    </w:p>
    <w:p w14:paraId="5A447AC5" w14:textId="77777777" w:rsidR="00012021" w:rsidRPr="00BE64B0" w:rsidRDefault="002B4E59" w:rsidP="004E2A97">
      <w:pPr>
        <w:pStyle w:val="text0"/>
        <w:spacing w:before="0" w:line="360" w:lineRule="auto"/>
        <w:ind w:left="720" w:hanging="720"/>
        <w:rPr>
          <w:rFonts w:ascii="Arial" w:hAnsi="Arial" w:cs="Arial"/>
          <w:b/>
          <w:sz w:val="20"/>
        </w:rPr>
      </w:pPr>
      <w:r>
        <w:rPr>
          <w:rFonts w:ascii="Arial" w:hAnsi="Arial" w:cs="Arial"/>
          <w:b/>
          <w:sz w:val="20"/>
        </w:rPr>
        <w:t>COMPANY SECRETARY</w:t>
      </w:r>
    </w:p>
    <w:p w14:paraId="1026BDB2" w14:textId="77777777" w:rsidR="003145CA" w:rsidRDefault="003145CA" w:rsidP="004E2A97">
      <w:pPr>
        <w:spacing w:line="360" w:lineRule="auto"/>
        <w:jc w:val="both"/>
      </w:pPr>
    </w:p>
    <w:sectPr w:rsidR="003145CA" w:rsidSect="003145CA">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077" w:left="1797"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DE15" w14:textId="77777777" w:rsidR="003145CA" w:rsidRDefault="003145CA">
      <w:r>
        <w:separator/>
      </w:r>
    </w:p>
  </w:endnote>
  <w:endnote w:type="continuationSeparator" w:id="0">
    <w:p w14:paraId="518BAF95" w14:textId="77777777" w:rsidR="003145CA" w:rsidRDefault="0031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3199" w14:textId="77777777" w:rsidR="003145CA" w:rsidRDefault="00314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EC47" w14:textId="77777777" w:rsidR="003145CA" w:rsidRDefault="003145CA">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C752" w14:textId="77777777" w:rsidR="003145CA" w:rsidRDefault="00314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7DFD" w14:textId="77777777" w:rsidR="003145CA" w:rsidRDefault="003145CA">
      <w:r>
        <w:separator/>
      </w:r>
    </w:p>
  </w:footnote>
  <w:footnote w:type="continuationSeparator" w:id="0">
    <w:p w14:paraId="58A8391C" w14:textId="77777777" w:rsidR="003145CA" w:rsidRDefault="0031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59F9" w14:textId="77777777" w:rsidR="003145CA" w:rsidRDefault="00314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9DC4" w14:textId="77777777" w:rsidR="003145CA" w:rsidRDefault="00314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A628" w14:textId="77777777" w:rsidR="003145CA" w:rsidRDefault="00314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7BFC"/>
    <w:multiLevelType w:val="hybridMultilevel"/>
    <w:tmpl w:val="B5C844EA"/>
    <w:lvl w:ilvl="0" w:tplc="9B42AC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F76A29"/>
    <w:multiLevelType w:val="hybridMultilevel"/>
    <w:tmpl w:val="B518F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C1A5E"/>
    <w:multiLevelType w:val="hybridMultilevel"/>
    <w:tmpl w:val="80AA8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4A7220"/>
    <w:multiLevelType w:val="hybridMultilevel"/>
    <w:tmpl w:val="260E5E0A"/>
    <w:lvl w:ilvl="0" w:tplc="F6B065F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382A6608"/>
    <w:multiLevelType w:val="hybridMultilevel"/>
    <w:tmpl w:val="771CC90A"/>
    <w:lvl w:ilvl="0" w:tplc="D5EC6BF8">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5" w15:restartNumberingAfterBreak="0">
    <w:nsid w:val="39DC5A49"/>
    <w:multiLevelType w:val="hybridMultilevel"/>
    <w:tmpl w:val="6BE84590"/>
    <w:lvl w:ilvl="0" w:tplc="454AA72A">
      <w:start w:val="1"/>
      <w:numFmt w:val="lowerLetter"/>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B1D0694"/>
    <w:multiLevelType w:val="hybridMultilevel"/>
    <w:tmpl w:val="55B4376E"/>
    <w:lvl w:ilvl="0" w:tplc="F6B065F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5E594767"/>
    <w:multiLevelType w:val="hybridMultilevel"/>
    <w:tmpl w:val="B46E7716"/>
    <w:lvl w:ilvl="0" w:tplc="554A570A">
      <w:start w:val="1"/>
      <w:numFmt w:val="lowerLetter"/>
      <w:lvlText w:val="(%1)"/>
      <w:lvlJc w:val="left"/>
      <w:pPr>
        <w:ind w:left="996" w:hanging="57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73180692">
    <w:abstractNumId w:val="1"/>
  </w:num>
  <w:num w:numId="2" w16cid:durableId="1715539652">
    <w:abstractNumId w:val="6"/>
  </w:num>
  <w:num w:numId="3" w16cid:durableId="1817379464">
    <w:abstractNumId w:val="0"/>
  </w:num>
  <w:num w:numId="4" w16cid:durableId="1273200092">
    <w:abstractNumId w:val="2"/>
  </w:num>
  <w:num w:numId="5" w16cid:durableId="955871881">
    <w:abstractNumId w:val="3"/>
  </w:num>
  <w:num w:numId="6" w16cid:durableId="98916829">
    <w:abstractNumId w:val="7"/>
  </w:num>
  <w:num w:numId="7" w16cid:durableId="860701970">
    <w:abstractNumId w:val="5"/>
  </w:num>
  <w:num w:numId="8" w16cid:durableId="277833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21"/>
    <w:rsid w:val="00005242"/>
    <w:rsid w:val="00012021"/>
    <w:rsid w:val="00016D71"/>
    <w:rsid w:val="00177A76"/>
    <w:rsid w:val="001F0880"/>
    <w:rsid w:val="002B4E59"/>
    <w:rsid w:val="003145CA"/>
    <w:rsid w:val="003154AE"/>
    <w:rsid w:val="00362B5F"/>
    <w:rsid w:val="00472FAA"/>
    <w:rsid w:val="004E2A97"/>
    <w:rsid w:val="00552E96"/>
    <w:rsid w:val="005B2C56"/>
    <w:rsid w:val="0068488A"/>
    <w:rsid w:val="00690313"/>
    <w:rsid w:val="0087597B"/>
    <w:rsid w:val="00924510"/>
    <w:rsid w:val="009363D2"/>
    <w:rsid w:val="00981BC7"/>
    <w:rsid w:val="00B55D36"/>
    <w:rsid w:val="00C14886"/>
    <w:rsid w:val="00C148D1"/>
    <w:rsid w:val="00CD2EB8"/>
    <w:rsid w:val="00D0526A"/>
    <w:rsid w:val="00D80F58"/>
    <w:rsid w:val="00DA694C"/>
    <w:rsid w:val="00DC1A23"/>
    <w:rsid w:val="00DE5F51"/>
    <w:rsid w:val="00E04F11"/>
    <w:rsid w:val="00E079B2"/>
    <w:rsid w:val="00F00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7F2F"/>
  <w15:docId w15:val="{559D20D9-F238-4390-A1DE-C057E30C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021"/>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0">
    <w:name w:val="text 0"/>
    <w:basedOn w:val="Normal"/>
    <w:rsid w:val="00012021"/>
    <w:pPr>
      <w:spacing w:before="320" w:line="320" w:lineRule="atLeast"/>
      <w:jc w:val="both"/>
    </w:pPr>
    <w:rPr>
      <w:rFonts w:ascii="Times New Roman" w:hAnsi="Times New Roman" w:cs="Times New Roman"/>
      <w:sz w:val="23"/>
    </w:rPr>
  </w:style>
  <w:style w:type="paragraph" w:customStyle="1" w:styleId="NtocHeading1">
    <w:name w:val="NtocHeading 1"/>
    <w:basedOn w:val="Normal"/>
    <w:next w:val="text0"/>
    <w:rsid w:val="00012021"/>
    <w:pPr>
      <w:keepNext/>
      <w:keepLines/>
      <w:spacing w:before="320" w:line="320" w:lineRule="atLeast"/>
    </w:pPr>
    <w:rPr>
      <w:rFonts w:cs="Times New Roman"/>
      <w:b/>
    </w:rPr>
  </w:style>
  <w:style w:type="paragraph" w:styleId="Header">
    <w:name w:val="header"/>
    <w:basedOn w:val="Normal"/>
    <w:link w:val="HeaderChar"/>
    <w:rsid w:val="00012021"/>
    <w:pPr>
      <w:tabs>
        <w:tab w:val="center" w:pos="4153"/>
        <w:tab w:val="right" w:pos="8306"/>
      </w:tabs>
    </w:pPr>
  </w:style>
  <w:style w:type="character" w:customStyle="1" w:styleId="HeaderChar">
    <w:name w:val="Header Char"/>
    <w:basedOn w:val="DefaultParagraphFont"/>
    <w:link w:val="Header"/>
    <w:rsid w:val="00012021"/>
    <w:rPr>
      <w:rFonts w:ascii="Arial" w:eastAsia="Times New Roman" w:hAnsi="Arial" w:cs="Arial"/>
      <w:szCs w:val="20"/>
    </w:rPr>
  </w:style>
  <w:style w:type="paragraph" w:styleId="Footer">
    <w:name w:val="footer"/>
    <w:basedOn w:val="Normal"/>
    <w:link w:val="FooterChar"/>
    <w:rsid w:val="00012021"/>
    <w:pPr>
      <w:tabs>
        <w:tab w:val="center" w:pos="4153"/>
        <w:tab w:val="right" w:pos="8306"/>
      </w:tabs>
    </w:pPr>
  </w:style>
  <w:style w:type="character" w:customStyle="1" w:styleId="FooterChar">
    <w:name w:val="Footer Char"/>
    <w:basedOn w:val="DefaultParagraphFont"/>
    <w:link w:val="Footer"/>
    <w:rsid w:val="00012021"/>
    <w:rPr>
      <w:rFonts w:ascii="Arial" w:eastAsia="Times New Roman" w:hAnsi="Arial" w:cs="Arial"/>
      <w:szCs w:val="20"/>
    </w:rPr>
  </w:style>
  <w:style w:type="paragraph" w:styleId="ListParagraph">
    <w:name w:val="List Paragraph"/>
    <w:basedOn w:val="Normal"/>
    <w:uiPriority w:val="34"/>
    <w:qFormat/>
    <w:rsid w:val="003145CA"/>
    <w:pPr>
      <w:ind w:left="720"/>
      <w:contextualSpacing/>
    </w:pPr>
  </w:style>
  <w:style w:type="paragraph" w:styleId="BalloonText">
    <w:name w:val="Balloon Text"/>
    <w:basedOn w:val="Normal"/>
    <w:link w:val="BalloonTextChar"/>
    <w:uiPriority w:val="99"/>
    <w:semiHidden/>
    <w:unhideWhenUsed/>
    <w:rsid w:val="00005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242"/>
    <w:rPr>
      <w:rFonts w:ascii="Segoe UI" w:eastAsia="Times New Roman" w:hAnsi="Segoe UI" w:cs="Segoe UI"/>
      <w:sz w:val="18"/>
      <w:szCs w:val="18"/>
    </w:rPr>
  </w:style>
  <w:style w:type="paragraph" w:styleId="Revision">
    <w:name w:val="Revision"/>
    <w:hidden/>
    <w:uiPriority w:val="99"/>
    <w:semiHidden/>
    <w:rsid w:val="00DA694C"/>
    <w:pPr>
      <w:spacing w:after="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8c686c-70c7-4a32-bc55-69439e98714b">
      <UserInfo>
        <DisplayName>Emily Staples</DisplayName>
        <AccountId>2364</AccountId>
        <AccountType/>
      </UserInfo>
    </SharedWithUsers>
    <TaxCatchAll xmlns="7c8c686c-70c7-4a32-bc55-69439e98714b" xsi:nil="true"/>
    <_Flow_SignoffStatus xmlns="4f34f0e1-dafe-4e4c-b819-66b826c75336" xsi:nil="true"/>
    <lcf76f155ced4ddcb4097134ff3c332f xmlns="4f34f0e1-dafe-4e4c-b819-66b826c753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341238CF4914B8153B0DA439981CE" ma:contentTypeVersion="18" ma:contentTypeDescription="Create a new document." ma:contentTypeScope="" ma:versionID="f854a3d6dc7e5dd25013b512b283672f">
  <xsd:schema xmlns:xsd="http://www.w3.org/2001/XMLSchema" xmlns:xs="http://www.w3.org/2001/XMLSchema" xmlns:p="http://schemas.microsoft.com/office/2006/metadata/properties" xmlns:ns2="4f34f0e1-dafe-4e4c-b819-66b826c75336" xmlns:ns3="7c8c686c-70c7-4a32-bc55-69439e98714b" targetNamespace="http://schemas.microsoft.com/office/2006/metadata/properties" ma:root="true" ma:fieldsID="e0e9f21fc07d4be1ac71a3ca58c7e0da" ns2:_="" ns3:_="">
    <xsd:import namespace="4f34f0e1-dafe-4e4c-b819-66b826c75336"/>
    <xsd:import namespace="7c8c686c-70c7-4a32-bc55-69439e987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4f0e1-dafe-4e4c-b819-66b826c75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format="Dropdown" ma:internalName="Sign_x002d_off_x0020_statu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1ccef4-1c28-4955-be46-ab63c91bc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c686c-70c7-4a32-bc55-69439e9871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c3dd99-d7b6-4706-86ac-facca148eb9c}" ma:internalName="TaxCatchAll" ma:showField="CatchAllData" ma:web="7c8c686c-70c7-4a32-bc55-69439e987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EA9DE-4E9C-4DBB-A00A-63557BCDCAAE}">
  <ds:schemaRefs>
    <ds:schemaRef ds:uri="http://schemas.microsoft.com/office/2006/metadata/properties"/>
    <ds:schemaRef ds:uri="http://schemas.microsoft.com/office/infopath/2007/PartnerControls"/>
    <ds:schemaRef ds:uri="7c8c686c-70c7-4a32-bc55-69439e98714b"/>
    <ds:schemaRef ds:uri="4f34f0e1-dafe-4e4c-b819-66b826c75336"/>
  </ds:schemaRefs>
</ds:datastoreItem>
</file>

<file path=customXml/itemProps2.xml><?xml version="1.0" encoding="utf-8"?>
<ds:datastoreItem xmlns:ds="http://schemas.openxmlformats.org/officeDocument/2006/customXml" ds:itemID="{B83ED3E1-4BAF-48EC-B6E2-89B994AFD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4f0e1-dafe-4e4c-b819-66b826c75336"/>
    <ds:schemaRef ds:uri="7c8c686c-70c7-4a32-bc55-69439e987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7AD2C-2B88-440B-8257-19D904071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Prado</dc:creator>
  <cp:lastModifiedBy>James Western</cp:lastModifiedBy>
  <cp:revision>8</cp:revision>
  <cp:lastPrinted>2021-12-29T11:47:00Z</cp:lastPrinted>
  <dcterms:created xsi:type="dcterms:W3CDTF">2023-09-07T13:14:00Z</dcterms:created>
  <dcterms:modified xsi:type="dcterms:W3CDTF">2023-09-29T16:42:00Z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0x010100D2D341238CF4914B8153B0DA439981CE</vt:lpwstr>
  </property>
</Properties>
</file>