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DDABC" w14:textId="77777777" w:rsidR="00772E42" w:rsidRPr="00772E42" w:rsidRDefault="003F1D59" w:rsidP="00AF0388">
      <w:pPr>
        <w:jc w:val="both"/>
        <w:rPr>
          <w:rFonts w:ascii="Arial" w:hAnsi="Arial" w:cs="Arial"/>
          <w:b/>
          <w:sz w:val="20"/>
          <w:szCs w:val="20"/>
        </w:rPr>
      </w:pPr>
      <w:r w:rsidRPr="00772E42">
        <w:rPr>
          <w:rFonts w:ascii="Arial" w:hAnsi="Arial" w:cs="Arial"/>
          <w:b/>
          <w:sz w:val="20"/>
          <w:szCs w:val="20"/>
        </w:rPr>
        <w:t xml:space="preserve">ASHOKA INDIA EQUITY INVESTMENT TRUST PLC </w:t>
      </w:r>
    </w:p>
    <w:p w14:paraId="424D2A0D" w14:textId="77777777" w:rsidR="00772E42" w:rsidRDefault="00772E42" w:rsidP="00AF0388">
      <w:pPr>
        <w:jc w:val="both"/>
        <w:rPr>
          <w:rFonts w:ascii="Arial" w:hAnsi="Arial" w:cs="Arial"/>
          <w:sz w:val="20"/>
          <w:szCs w:val="20"/>
        </w:rPr>
      </w:pPr>
      <w:r>
        <w:rPr>
          <w:rFonts w:ascii="Arial" w:hAnsi="Arial" w:cs="Arial"/>
          <w:sz w:val="20"/>
          <w:szCs w:val="20"/>
        </w:rPr>
        <w:t xml:space="preserve">COMPANY </w:t>
      </w:r>
      <w:r w:rsidR="00340E37" w:rsidRPr="003F1D59">
        <w:rPr>
          <w:rFonts w:ascii="Arial" w:hAnsi="Arial" w:cs="Arial"/>
          <w:sz w:val="20"/>
          <w:szCs w:val="20"/>
        </w:rPr>
        <w:t xml:space="preserve">No. </w:t>
      </w:r>
      <w:r w:rsidR="003F1D59" w:rsidRPr="003F1D59">
        <w:rPr>
          <w:rFonts w:ascii="Arial" w:hAnsi="Arial" w:cs="Arial"/>
          <w:sz w:val="20"/>
          <w:szCs w:val="20"/>
        </w:rPr>
        <w:t>11356069</w:t>
      </w:r>
      <w:r w:rsidR="003F1D59">
        <w:rPr>
          <w:rFonts w:ascii="Arial" w:hAnsi="Arial" w:cs="Arial"/>
          <w:sz w:val="20"/>
          <w:szCs w:val="20"/>
        </w:rPr>
        <w:t xml:space="preserve"> </w:t>
      </w:r>
    </w:p>
    <w:p w14:paraId="255300B4" w14:textId="77777777" w:rsidR="00772E42" w:rsidRDefault="00340E37" w:rsidP="00AF0388">
      <w:pPr>
        <w:jc w:val="both"/>
        <w:rPr>
          <w:rFonts w:ascii="Arial" w:hAnsi="Arial" w:cs="Arial"/>
          <w:sz w:val="20"/>
          <w:szCs w:val="20"/>
        </w:rPr>
      </w:pPr>
      <w:r w:rsidRPr="00AF0388">
        <w:rPr>
          <w:rFonts w:ascii="Arial" w:hAnsi="Arial" w:cs="Arial"/>
          <w:sz w:val="20"/>
          <w:szCs w:val="20"/>
        </w:rPr>
        <w:t>COMPANY LIMITED BY SHARES</w:t>
      </w:r>
      <w:r w:rsidR="003F1D59">
        <w:rPr>
          <w:rFonts w:ascii="Arial" w:hAnsi="Arial" w:cs="Arial"/>
          <w:sz w:val="20"/>
          <w:szCs w:val="20"/>
        </w:rPr>
        <w:t xml:space="preserve"> </w:t>
      </w:r>
    </w:p>
    <w:p w14:paraId="7C4EB3E8" w14:textId="77777777" w:rsidR="00340E37" w:rsidRPr="00AF0388" w:rsidRDefault="00340E37" w:rsidP="00AF0388">
      <w:pPr>
        <w:jc w:val="both"/>
        <w:rPr>
          <w:rFonts w:ascii="Arial" w:hAnsi="Arial" w:cs="Arial"/>
          <w:sz w:val="20"/>
          <w:szCs w:val="20"/>
        </w:rPr>
      </w:pPr>
      <w:r w:rsidRPr="00AF0388">
        <w:rPr>
          <w:rFonts w:ascii="Arial" w:hAnsi="Arial" w:cs="Arial"/>
          <w:sz w:val="20"/>
          <w:szCs w:val="20"/>
        </w:rPr>
        <w:t xml:space="preserve">INCORPORATED UNDER THE COMPANIES ACT </w:t>
      </w:r>
      <w:r w:rsidR="00A6792F">
        <w:rPr>
          <w:rFonts w:ascii="Arial" w:hAnsi="Arial" w:cs="Arial"/>
          <w:sz w:val="20"/>
          <w:szCs w:val="20"/>
        </w:rPr>
        <w:t>2006</w:t>
      </w:r>
    </w:p>
    <w:p w14:paraId="52B70EE6" w14:textId="143D0356" w:rsidR="002C1952" w:rsidRPr="00772E42" w:rsidRDefault="00340E37" w:rsidP="001E0BCF">
      <w:pPr>
        <w:jc w:val="both"/>
        <w:rPr>
          <w:rFonts w:ascii="Arial" w:hAnsi="Arial" w:cs="Arial"/>
          <w:sz w:val="20"/>
          <w:szCs w:val="20"/>
        </w:rPr>
      </w:pPr>
      <w:r w:rsidRPr="00AF0388">
        <w:rPr>
          <w:rFonts w:ascii="Arial" w:hAnsi="Arial" w:cs="Arial"/>
          <w:sz w:val="20"/>
          <w:szCs w:val="20"/>
        </w:rPr>
        <w:t>This is to confirm that</w:t>
      </w:r>
      <w:r w:rsidR="0087551C">
        <w:rPr>
          <w:rFonts w:ascii="Arial" w:hAnsi="Arial" w:cs="Arial"/>
          <w:sz w:val="20"/>
          <w:szCs w:val="20"/>
        </w:rPr>
        <w:t>,</w:t>
      </w:r>
      <w:r w:rsidRPr="00AF0388">
        <w:rPr>
          <w:rFonts w:ascii="Arial" w:hAnsi="Arial" w:cs="Arial"/>
          <w:sz w:val="20"/>
          <w:szCs w:val="20"/>
        </w:rPr>
        <w:t xml:space="preserve"> at the General Meeting of </w:t>
      </w:r>
      <w:r w:rsidR="00772E42">
        <w:rPr>
          <w:rFonts w:ascii="Arial" w:hAnsi="Arial" w:cs="Arial"/>
          <w:sz w:val="20"/>
          <w:szCs w:val="20"/>
        </w:rPr>
        <w:t xml:space="preserve">Ashoka India Equity Investment Trust </w:t>
      </w:r>
      <w:r w:rsidR="0087551C">
        <w:rPr>
          <w:rFonts w:ascii="Arial" w:hAnsi="Arial" w:cs="Arial"/>
          <w:sz w:val="20"/>
          <w:szCs w:val="20"/>
        </w:rPr>
        <w:t>p</w:t>
      </w:r>
      <w:r w:rsidR="00772E42">
        <w:rPr>
          <w:rFonts w:ascii="Arial" w:hAnsi="Arial" w:cs="Arial"/>
          <w:sz w:val="20"/>
          <w:szCs w:val="20"/>
        </w:rPr>
        <w:t>lc</w:t>
      </w:r>
      <w:r w:rsidR="0087551C">
        <w:rPr>
          <w:rFonts w:ascii="Arial" w:hAnsi="Arial" w:cs="Arial"/>
          <w:sz w:val="20"/>
          <w:szCs w:val="20"/>
        </w:rPr>
        <w:t xml:space="preserve">, duly convened and </w:t>
      </w:r>
      <w:r w:rsidR="001E0BCF">
        <w:rPr>
          <w:rFonts w:ascii="Arial" w:hAnsi="Arial" w:cs="Arial"/>
          <w:sz w:val="20"/>
          <w:szCs w:val="20"/>
        </w:rPr>
        <w:t xml:space="preserve">held </w:t>
      </w:r>
      <w:r w:rsidR="001E0BCF" w:rsidRPr="001E0BCF">
        <w:rPr>
          <w:rFonts w:ascii="Arial" w:hAnsi="Arial" w:cs="Arial"/>
          <w:sz w:val="20"/>
          <w:szCs w:val="20"/>
        </w:rPr>
        <w:t>at the offices of Apex Listed Companies Services (UK) Limited, 6th Floor, 125 London Wall, London EC2Y 5AS on 3 May 2024 at 10.30 a.m</w:t>
      </w:r>
      <w:r w:rsidR="001E0BCF">
        <w:rPr>
          <w:rFonts w:ascii="Arial" w:hAnsi="Arial" w:cs="Arial"/>
          <w:sz w:val="20"/>
          <w:szCs w:val="20"/>
        </w:rPr>
        <w:t>, t</w:t>
      </w:r>
      <w:r w:rsidRPr="00772E42">
        <w:rPr>
          <w:rFonts w:ascii="Arial" w:hAnsi="Arial" w:cs="Arial"/>
          <w:sz w:val="20"/>
          <w:szCs w:val="20"/>
        </w:rPr>
        <w:t>he fol</w:t>
      </w:r>
      <w:r w:rsidR="00BD4177" w:rsidRPr="00772E42">
        <w:rPr>
          <w:rFonts w:ascii="Arial" w:hAnsi="Arial" w:cs="Arial"/>
          <w:sz w:val="20"/>
          <w:szCs w:val="20"/>
        </w:rPr>
        <w:t>lowing resolutions were passed.</w:t>
      </w:r>
      <w:r w:rsidR="006F752D">
        <w:rPr>
          <w:rFonts w:ascii="Arial" w:hAnsi="Arial" w:cs="Arial"/>
          <w:sz w:val="20"/>
          <w:szCs w:val="20"/>
        </w:rPr>
        <w:t xml:space="preserve"> Resolution </w:t>
      </w:r>
      <w:r w:rsidR="001E0BCF">
        <w:rPr>
          <w:rFonts w:ascii="Arial" w:hAnsi="Arial" w:cs="Arial"/>
          <w:sz w:val="20"/>
          <w:szCs w:val="20"/>
        </w:rPr>
        <w:t>3</w:t>
      </w:r>
      <w:r w:rsidR="006F752D">
        <w:rPr>
          <w:rFonts w:ascii="Arial" w:hAnsi="Arial" w:cs="Arial"/>
          <w:sz w:val="20"/>
          <w:szCs w:val="20"/>
        </w:rPr>
        <w:t xml:space="preserve"> was passed as a special resolution</w:t>
      </w:r>
      <w:r w:rsidRPr="00772E42">
        <w:rPr>
          <w:rFonts w:ascii="Arial" w:hAnsi="Arial" w:cs="Arial"/>
          <w:sz w:val="20"/>
          <w:szCs w:val="20"/>
        </w:rPr>
        <w:t>.</w:t>
      </w:r>
    </w:p>
    <w:p w14:paraId="53C37F12" w14:textId="77777777" w:rsidR="00202B54" w:rsidRDefault="00202B54" w:rsidP="00202B54">
      <w:pPr>
        <w:autoSpaceDE w:val="0"/>
        <w:autoSpaceDN w:val="0"/>
        <w:adjustRightInd w:val="0"/>
        <w:spacing w:after="0" w:line="240" w:lineRule="auto"/>
        <w:jc w:val="both"/>
        <w:rPr>
          <w:rFonts w:ascii="Arial" w:hAnsi="Arial" w:cs="Arial"/>
          <w:b/>
          <w:sz w:val="20"/>
          <w:szCs w:val="20"/>
        </w:rPr>
      </w:pPr>
    </w:p>
    <w:p w14:paraId="0DEEB680" w14:textId="19065A99" w:rsidR="00202B54" w:rsidRDefault="004F2328" w:rsidP="00202B5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ORDINARY RESOLUTION</w:t>
      </w:r>
      <w:r w:rsidR="007C6203">
        <w:rPr>
          <w:rFonts w:ascii="Arial" w:hAnsi="Arial" w:cs="Arial"/>
          <w:b/>
          <w:sz w:val="20"/>
          <w:szCs w:val="20"/>
        </w:rPr>
        <w:t>S</w:t>
      </w:r>
    </w:p>
    <w:p w14:paraId="6707604F" w14:textId="77777777" w:rsidR="001E0BCF" w:rsidRPr="00202B54" w:rsidRDefault="001E0BCF" w:rsidP="00202B54">
      <w:pPr>
        <w:autoSpaceDE w:val="0"/>
        <w:autoSpaceDN w:val="0"/>
        <w:adjustRightInd w:val="0"/>
        <w:spacing w:after="0" w:line="240" w:lineRule="auto"/>
        <w:jc w:val="both"/>
        <w:rPr>
          <w:rFonts w:ascii="Arial" w:hAnsi="Arial" w:cs="Arial"/>
          <w:b/>
          <w:sz w:val="20"/>
          <w:szCs w:val="20"/>
        </w:rPr>
      </w:pPr>
    </w:p>
    <w:p w14:paraId="35B4410B" w14:textId="77777777" w:rsidR="001E0BCF" w:rsidRPr="001E0BCF" w:rsidRDefault="001E0BCF" w:rsidP="001E0BCF">
      <w:pPr>
        <w:widowControl w:val="0"/>
        <w:numPr>
          <w:ilvl w:val="0"/>
          <w:numId w:val="8"/>
        </w:numPr>
        <w:tabs>
          <w:tab w:val="num" w:pos="460"/>
        </w:tabs>
        <w:overflowPunct w:val="0"/>
        <w:autoSpaceDE w:val="0"/>
        <w:autoSpaceDN w:val="0"/>
        <w:adjustRightInd w:val="0"/>
        <w:spacing w:line="294" w:lineRule="auto"/>
        <w:jc w:val="both"/>
        <w:rPr>
          <w:rFonts w:ascii="Arial" w:hAnsi="Arial" w:cs="Arial"/>
          <w:sz w:val="20"/>
          <w:szCs w:val="20"/>
        </w:rPr>
      </w:pPr>
      <w:r w:rsidRPr="001E0BCF">
        <w:rPr>
          <w:rFonts w:ascii="Arial" w:hAnsi="Arial" w:cs="Arial"/>
          <w:b/>
          <w:sz w:val="20"/>
          <w:szCs w:val="20"/>
        </w:rPr>
        <w:t>THAT</w:t>
      </w:r>
      <w:r w:rsidRPr="001E0BCF">
        <w:rPr>
          <w:rFonts w:ascii="Arial" w:hAnsi="Arial" w:cs="Arial"/>
          <w:sz w:val="20"/>
          <w:szCs w:val="20"/>
        </w:rPr>
        <w:t xml:space="preserve"> the directors of the Company (the “</w:t>
      </w:r>
      <w:r w:rsidRPr="001E0BCF">
        <w:rPr>
          <w:rFonts w:ascii="Arial" w:hAnsi="Arial" w:cs="Arial"/>
          <w:b/>
          <w:bCs/>
          <w:sz w:val="20"/>
          <w:szCs w:val="20"/>
        </w:rPr>
        <w:t>Directors</w:t>
      </w:r>
      <w:r w:rsidRPr="001E0BCF">
        <w:rPr>
          <w:rFonts w:ascii="Arial" w:hAnsi="Arial" w:cs="Arial"/>
          <w:sz w:val="20"/>
          <w:szCs w:val="20"/>
        </w:rPr>
        <w:t>”) be and are hereby generally and unconditionally authorised, in addition to any existing authorities, pursuant to and in accordance with section 551 of the Companies Act 2006 (the “</w:t>
      </w:r>
      <w:r w:rsidRPr="001E0BCF">
        <w:rPr>
          <w:rFonts w:ascii="Arial" w:hAnsi="Arial" w:cs="Arial"/>
          <w:b/>
          <w:bCs/>
          <w:sz w:val="20"/>
          <w:szCs w:val="20"/>
        </w:rPr>
        <w:t>Act</w:t>
      </w:r>
      <w:r w:rsidRPr="001E0BCF">
        <w:rPr>
          <w:rFonts w:ascii="Arial" w:hAnsi="Arial" w:cs="Arial"/>
          <w:sz w:val="20"/>
          <w:szCs w:val="20"/>
        </w:rPr>
        <w:t>”), to exercise all the powers of the Company to allot redeemable ordinary shares of £0.01 each in the capital of the Company (“</w:t>
      </w:r>
      <w:r w:rsidRPr="001E0BCF">
        <w:rPr>
          <w:rFonts w:ascii="Arial" w:hAnsi="Arial" w:cs="Arial"/>
          <w:b/>
          <w:bCs/>
          <w:sz w:val="20"/>
          <w:szCs w:val="20"/>
        </w:rPr>
        <w:t>Ordinary Shares</w:t>
      </w:r>
      <w:r w:rsidRPr="001E0BCF">
        <w:rPr>
          <w:rFonts w:ascii="Arial" w:hAnsi="Arial" w:cs="Arial"/>
          <w:sz w:val="20"/>
          <w:szCs w:val="20"/>
        </w:rPr>
        <w:t>”), up to an aggregate nominal amount of £1,500,000 in connection with the Share Issuance Programme (as defined and described in the circular to shareholders dated 16 April 2024 of which this notice forms part (the “</w:t>
      </w:r>
      <w:r w:rsidRPr="001E0BCF">
        <w:rPr>
          <w:rFonts w:ascii="Arial" w:hAnsi="Arial" w:cs="Arial"/>
          <w:b/>
          <w:bCs/>
          <w:sz w:val="20"/>
          <w:szCs w:val="20"/>
        </w:rPr>
        <w:t>Circula</w:t>
      </w:r>
      <w:r w:rsidRPr="001E0BCF">
        <w:rPr>
          <w:rFonts w:ascii="Arial" w:hAnsi="Arial" w:cs="Arial"/>
          <w:sz w:val="20"/>
          <w:szCs w:val="20"/>
        </w:rPr>
        <w:t>r”)), such authority to expire 15 months from the date that this Resolution 1 is passed (unless previously revoked or varied by the Company in general meeting), save that the Company may, at any time prior to the expiry of such authority, make an offer or enter into an agreement which would or might require Ordinary Shares to be allotted and the Directors may allot Ordinary Shares in pursuance of such an offer or agreement as if the authority conferred hereby had not expired</w:t>
      </w:r>
    </w:p>
    <w:p w14:paraId="4FCCDD95" w14:textId="77777777" w:rsidR="001E0BCF" w:rsidRPr="001E0BCF" w:rsidRDefault="001E0BCF" w:rsidP="001E0BCF">
      <w:pPr>
        <w:widowControl w:val="0"/>
        <w:numPr>
          <w:ilvl w:val="0"/>
          <w:numId w:val="8"/>
        </w:numPr>
        <w:tabs>
          <w:tab w:val="num" w:pos="460"/>
        </w:tabs>
        <w:overflowPunct w:val="0"/>
        <w:autoSpaceDE w:val="0"/>
        <w:autoSpaceDN w:val="0"/>
        <w:adjustRightInd w:val="0"/>
        <w:spacing w:line="294" w:lineRule="auto"/>
        <w:jc w:val="both"/>
        <w:rPr>
          <w:rFonts w:ascii="Arial" w:hAnsi="Arial" w:cs="Arial"/>
          <w:sz w:val="20"/>
          <w:szCs w:val="20"/>
        </w:rPr>
      </w:pPr>
      <w:r w:rsidRPr="001E0BCF">
        <w:rPr>
          <w:rFonts w:ascii="Arial" w:hAnsi="Arial" w:cs="Arial"/>
          <w:b/>
          <w:sz w:val="20"/>
          <w:szCs w:val="20"/>
        </w:rPr>
        <w:t>THAT</w:t>
      </w:r>
      <w:r w:rsidRPr="001E0BCF">
        <w:rPr>
          <w:rFonts w:ascii="Arial" w:hAnsi="Arial" w:cs="Arial"/>
          <w:sz w:val="20"/>
          <w:szCs w:val="20"/>
        </w:rPr>
        <w:t>, the proposed investment policy as set out in the Circular, of which this notice forms part, be and is hereby adopted as the investment policy of the Company to the exclusion of the existing investment policy of the Company.</w:t>
      </w:r>
    </w:p>
    <w:p w14:paraId="283728A6" w14:textId="77777777" w:rsidR="00202B54" w:rsidRPr="00202B54" w:rsidRDefault="004F2328" w:rsidP="00ED7D01">
      <w:pPr>
        <w:widowControl w:val="0"/>
        <w:tabs>
          <w:tab w:val="num" w:pos="460"/>
        </w:tabs>
        <w:overflowPunct w:val="0"/>
        <w:autoSpaceDE w:val="0"/>
        <w:autoSpaceDN w:val="0"/>
        <w:adjustRightInd w:val="0"/>
        <w:spacing w:line="294" w:lineRule="auto"/>
        <w:jc w:val="both"/>
        <w:rPr>
          <w:rFonts w:ascii="Arial" w:hAnsi="Arial" w:cs="Arial"/>
          <w:b/>
          <w:sz w:val="20"/>
        </w:rPr>
      </w:pPr>
      <w:r>
        <w:rPr>
          <w:rFonts w:ascii="Arial" w:hAnsi="Arial" w:cs="Arial"/>
          <w:b/>
          <w:sz w:val="20"/>
        </w:rPr>
        <w:t>SPECIAL RESOLUTION</w:t>
      </w:r>
    </w:p>
    <w:p w14:paraId="56F6475D" w14:textId="77777777" w:rsidR="001E0BCF" w:rsidRPr="001E0BCF" w:rsidRDefault="001E0BCF" w:rsidP="001E0BCF">
      <w:pPr>
        <w:widowControl w:val="0"/>
        <w:numPr>
          <w:ilvl w:val="0"/>
          <w:numId w:val="8"/>
        </w:numPr>
        <w:overflowPunct w:val="0"/>
        <w:autoSpaceDE w:val="0"/>
        <w:autoSpaceDN w:val="0"/>
        <w:adjustRightInd w:val="0"/>
        <w:spacing w:line="294" w:lineRule="auto"/>
        <w:jc w:val="both"/>
        <w:rPr>
          <w:rFonts w:ascii="Arial" w:hAnsi="Arial" w:cs="Arial"/>
          <w:sz w:val="20"/>
          <w:szCs w:val="20"/>
        </w:rPr>
      </w:pPr>
      <w:r w:rsidRPr="001E0BCF">
        <w:rPr>
          <w:rFonts w:ascii="Arial" w:hAnsi="Arial" w:cs="Arial"/>
          <w:b/>
          <w:bCs/>
          <w:sz w:val="20"/>
          <w:szCs w:val="20"/>
        </w:rPr>
        <w:t>THAT</w:t>
      </w:r>
      <w:r w:rsidRPr="001E0BCF">
        <w:rPr>
          <w:rFonts w:ascii="Arial" w:hAnsi="Arial" w:cs="Arial"/>
          <w:sz w:val="20"/>
          <w:szCs w:val="20"/>
        </w:rPr>
        <w:t>, subject to the passing of Resolution 1 above, in addition to any existing authorities, the Directors be and are hereby empowered, pursuant to sections 570 and 573 of the Act, to allot Ordinary Shares for cash pursuant to the authority referred to in Resolution 1 above or sell Ordinary Shares from treasury for cash as if section 561 of the Act did not apply to any such allotment or sale provided that this power: (i) shall be limited to the allotment or sale of Ordinary Shares up to an aggregate nominal amount of £1,500,000; and (ii) shall expire 15 months from the date that this Resolution 3 is passed (unless previously revoked or varied by the Company in general meeting), save that the Company may, at any time prior to the expiry of such power, make an offer or enter into an agreement which would or might require Ordinary Shares to be allotted or sold after the expiry of such power, and the Directors may allot or sell Ordinary Shares in pursuance of such an offer or agreement as if such power had not expired.</w:t>
      </w:r>
    </w:p>
    <w:p w14:paraId="33116FF2" w14:textId="77777777" w:rsidR="00097085" w:rsidRPr="00AF0388" w:rsidRDefault="00097085" w:rsidP="00A76A75">
      <w:pPr>
        <w:widowControl w:val="0"/>
        <w:overflowPunct w:val="0"/>
        <w:autoSpaceDE w:val="0"/>
        <w:autoSpaceDN w:val="0"/>
        <w:adjustRightInd w:val="0"/>
        <w:spacing w:line="294" w:lineRule="auto"/>
        <w:jc w:val="both"/>
        <w:rPr>
          <w:rFonts w:ascii="Arial" w:hAnsi="Arial" w:cs="Arial"/>
          <w:sz w:val="20"/>
        </w:rPr>
      </w:pPr>
    </w:p>
    <w:sectPr w:rsidR="00097085" w:rsidRPr="00AF03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77034" w14:textId="77777777" w:rsidR="003F1D59" w:rsidRDefault="003F1D59" w:rsidP="003F1D59">
      <w:pPr>
        <w:spacing w:after="0" w:line="240" w:lineRule="auto"/>
      </w:pPr>
      <w:r>
        <w:separator/>
      </w:r>
    </w:p>
  </w:endnote>
  <w:endnote w:type="continuationSeparator" w:id="0">
    <w:p w14:paraId="5CB33C82" w14:textId="77777777" w:rsidR="003F1D59" w:rsidRDefault="003F1D59" w:rsidP="003F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061EB" w14:textId="77777777" w:rsidR="003F1D59" w:rsidRDefault="003F1D59" w:rsidP="003F1D59">
      <w:pPr>
        <w:spacing w:after="0" w:line="240" w:lineRule="auto"/>
      </w:pPr>
      <w:r>
        <w:separator/>
      </w:r>
    </w:p>
  </w:footnote>
  <w:footnote w:type="continuationSeparator" w:id="0">
    <w:p w14:paraId="3AF4AB0F" w14:textId="77777777" w:rsidR="003F1D59" w:rsidRDefault="003F1D59" w:rsidP="003F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732"/>
    <w:multiLevelType w:val="hybridMultilevel"/>
    <w:tmpl w:val="00000120"/>
    <w:lvl w:ilvl="0" w:tplc="0000759A">
      <w:start w:val="1"/>
      <w:numFmt w:val="decimal"/>
      <w:lvlText w:val="%1"/>
      <w:lvlJc w:val="left"/>
      <w:pPr>
        <w:tabs>
          <w:tab w:val="num" w:pos="360"/>
        </w:tabs>
        <w:ind w:left="360" w:hanging="360"/>
      </w:pPr>
      <w:rPr>
        <w:rFonts w:cs="Times New Roman"/>
      </w:rPr>
    </w:lvl>
    <w:lvl w:ilvl="1" w:tplc="00002350">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2EE"/>
    <w:multiLevelType w:val="hybridMultilevel"/>
    <w:tmpl w:val="00004B40"/>
    <w:lvl w:ilvl="0" w:tplc="00005878">
      <w:start w:val="13"/>
      <w:numFmt w:val="decimal"/>
      <w:lvlText w:val="%1."/>
      <w:lvlJc w:val="left"/>
      <w:pPr>
        <w:tabs>
          <w:tab w:val="num" w:pos="720"/>
        </w:tabs>
        <w:ind w:left="720" w:hanging="360"/>
      </w:pPr>
      <w:rPr>
        <w:rFonts w:cs="Times New Roman"/>
      </w:rPr>
    </w:lvl>
    <w:lvl w:ilvl="1" w:tplc="00006B3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301C"/>
    <w:multiLevelType w:val="hybridMultilevel"/>
    <w:tmpl w:val="9D5A190E"/>
    <w:lvl w:ilvl="0" w:tplc="CA9E9E20">
      <w:start w:val="10"/>
      <w:numFmt w:val="decimal"/>
      <w:lvlText w:val="%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9CB512E"/>
    <w:multiLevelType w:val="hybridMultilevel"/>
    <w:tmpl w:val="F3DE3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E4CAA"/>
    <w:multiLevelType w:val="hybridMultilevel"/>
    <w:tmpl w:val="B66853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7F1835"/>
    <w:multiLevelType w:val="hybridMultilevel"/>
    <w:tmpl w:val="FB4C1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602A74"/>
    <w:multiLevelType w:val="hybridMultilevel"/>
    <w:tmpl w:val="E3247980"/>
    <w:lvl w:ilvl="0" w:tplc="08090017">
      <w:start w:val="1"/>
      <w:numFmt w:val="lowerLetter"/>
      <w:lvlText w:val="%1)"/>
      <w:lvlJc w:val="left"/>
      <w:pPr>
        <w:tabs>
          <w:tab w:val="num" w:pos="360"/>
        </w:tabs>
        <w:ind w:left="360" w:hanging="360"/>
      </w:pPr>
    </w:lvl>
    <w:lvl w:ilvl="1" w:tplc="00002350">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57E94B3B"/>
    <w:multiLevelType w:val="hybridMultilevel"/>
    <w:tmpl w:val="4606C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507141">
    <w:abstractNumId w:val="2"/>
  </w:num>
  <w:num w:numId="2" w16cid:durableId="1460609456">
    <w:abstractNumId w:val="0"/>
  </w:num>
  <w:num w:numId="3" w16cid:durableId="411245513">
    <w:abstractNumId w:val="1"/>
  </w:num>
  <w:num w:numId="4" w16cid:durableId="1714770439">
    <w:abstractNumId w:val="7"/>
  </w:num>
  <w:num w:numId="5" w16cid:durableId="1197691279">
    <w:abstractNumId w:val="5"/>
  </w:num>
  <w:num w:numId="6" w16cid:durableId="1307706331">
    <w:abstractNumId w:val="3"/>
  </w:num>
  <w:num w:numId="7" w16cid:durableId="40978116">
    <w:abstractNumId w:val="6"/>
  </w:num>
  <w:num w:numId="8" w16cid:durableId="1293485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952"/>
    <w:rsid w:val="000231C5"/>
    <w:rsid w:val="00073C5F"/>
    <w:rsid w:val="00076305"/>
    <w:rsid w:val="00081BF2"/>
    <w:rsid w:val="00097085"/>
    <w:rsid w:val="000B6471"/>
    <w:rsid w:val="000C0E72"/>
    <w:rsid w:val="00104DFD"/>
    <w:rsid w:val="00170576"/>
    <w:rsid w:val="001E0BCF"/>
    <w:rsid w:val="00202B54"/>
    <w:rsid w:val="00213E71"/>
    <w:rsid w:val="00226081"/>
    <w:rsid w:val="002271D3"/>
    <w:rsid w:val="002B3438"/>
    <w:rsid w:val="002B5933"/>
    <w:rsid w:val="002C1952"/>
    <w:rsid w:val="00301669"/>
    <w:rsid w:val="00340E37"/>
    <w:rsid w:val="0034332F"/>
    <w:rsid w:val="003A2C8F"/>
    <w:rsid w:val="003C260A"/>
    <w:rsid w:val="003F1D59"/>
    <w:rsid w:val="00414BB3"/>
    <w:rsid w:val="00450DCF"/>
    <w:rsid w:val="004C2364"/>
    <w:rsid w:val="004E457C"/>
    <w:rsid w:val="004F2328"/>
    <w:rsid w:val="00504103"/>
    <w:rsid w:val="00532C25"/>
    <w:rsid w:val="0056173B"/>
    <w:rsid w:val="005925AB"/>
    <w:rsid w:val="005A2113"/>
    <w:rsid w:val="005E48B2"/>
    <w:rsid w:val="00610225"/>
    <w:rsid w:val="00652A41"/>
    <w:rsid w:val="0066746A"/>
    <w:rsid w:val="006B1D35"/>
    <w:rsid w:val="006C72DA"/>
    <w:rsid w:val="006F752D"/>
    <w:rsid w:val="00702AAD"/>
    <w:rsid w:val="0070412B"/>
    <w:rsid w:val="00741E79"/>
    <w:rsid w:val="00760BDB"/>
    <w:rsid w:val="00772E42"/>
    <w:rsid w:val="0077741C"/>
    <w:rsid w:val="007C6203"/>
    <w:rsid w:val="007D0B30"/>
    <w:rsid w:val="00810F96"/>
    <w:rsid w:val="00824B0C"/>
    <w:rsid w:val="00827E00"/>
    <w:rsid w:val="00843EEA"/>
    <w:rsid w:val="00863D48"/>
    <w:rsid w:val="0087551C"/>
    <w:rsid w:val="00887319"/>
    <w:rsid w:val="009221A3"/>
    <w:rsid w:val="0096416C"/>
    <w:rsid w:val="00977169"/>
    <w:rsid w:val="009F4521"/>
    <w:rsid w:val="00A6792F"/>
    <w:rsid w:val="00A76A75"/>
    <w:rsid w:val="00AD0747"/>
    <w:rsid w:val="00AF0388"/>
    <w:rsid w:val="00B113D2"/>
    <w:rsid w:val="00B532D6"/>
    <w:rsid w:val="00B55976"/>
    <w:rsid w:val="00B65034"/>
    <w:rsid w:val="00B654FC"/>
    <w:rsid w:val="00B870FF"/>
    <w:rsid w:val="00BA1004"/>
    <w:rsid w:val="00BD09F5"/>
    <w:rsid w:val="00BD1B20"/>
    <w:rsid w:val="00BD4177"/>
    <w:rsid w:val="00C01BE3"/>
    <w:rsid w:val="00C33D72"/>
    <w:rsid w:val="00C920D6"/>
    <w:rsid w:val="00CA43B1"/>
    <w:rsid w:val="00CE5B70"/>
    <w:rsid w:val="00CF6EE1"/>
    <w:rsid w:val="00D01A96"/>
    <w:rsid w:val="00D11CDB"/>
    <w:rsid w:val="00D17BA5"/>
    <w:rsid w:val="00DE4B0E"/>
    <w:rsid w:val="00DF57A2"/>
    <w:rsid w:val="00E15BEC"/>
    <w:rsid w:val="00E170C1"/>
    <w:rsid w:val="00E31038"/>
    <w:rsid w:val="00E44A29"/>
    <w:rsid w:val="00E97FE0"/>
    <w:rsid w:val="00EA619D"/>
    <w:rsid w:val="00EB1EE2"/>
    <w:rsid w:val="00EB3A7F"/>
    <w:rsid w:val="00ED7D01"/>
    <w:rsid w:val="00F0342B"/>
    <w:rsid w:val="00F651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9E5C8"/>
  <w15:docId w15:val="{8693B8E8-FFB1-45D0-BF69-DFF65F0A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E37"/>
    <w:pPr>
      <w:spacing w:after="0" w:line="240" w:lineRule="auto"/>
    </w:pPr>
  </w:style>
  <w:style w:type="paragraph" w:styleId="ListParagraph">
    <w:name w:val="List Paragraph"/>
    <w:basedOn w:val="Normal"/>
    <w:uiPriority w:val="34"/>
    <w:qFormat/>
    <w:rsid w:val="009F4521"/>
    <w:pPr>
      <w:ind w:left="720"/>
      <w:contextualSpacing/>
    </w:pPr>
  </w:style>
  <w:style w:type="paragraph" w:styleId="BalloonText">
    <w:name w:val="Balloon Text"/>
    <w:basedOn w:val="Normal"/>
    <w:link w:val="BalloonTextChar"/>
    <w:uiPriority w:val="99"/>
    <w:semiHidden/>
    <w:unhideWhenUsed/>
    <w:rsid w:val="00D0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A96"/>
    <w:rPr>
      <w:rFonts w:ascii="Tahoma" w:hAnsi="Tahoma" w:cs="Tahoma"/>
      <w:sz w:val="16"/>
      <w:szCs w:val="16"/>
    </w:rPr>
  </w:style>
  <w:style w:type="paragraph" w:styleId="Header">
    <w:name w:val="header"/>
    <w:basedOn w:val="Normal"/>
    <w:link w:val="HeaderChar"/>
    <w:uiPriority w:val="99"/>
    <w:unhideWhenUsed/>
    <w:rsid w:val="003F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D59"/>
  </w:style>
  <w:style w:type="paragraph" w:styleId="Footer">
    <w:name w:val="footer"/>
    <w:basedOn w:val="Normal"/>
    <w:link w:val="FooterChar"/>
    <w:uiPriority w:val="99"/>
    <w:unhideWhenUsed/>
    <w:rsid w:val="003F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81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61E8-F314-434C-B4F6-C424394E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Lee</dc:creator>
  <cp:lastModifiedBy>Jennifer Thompson</cp:lastModifiedBy>
  <cp:revision>4</cp:revision>
  <cp:lastPrinted>2024-05-03T10:46:00Z</cp:lastPrinted>
  <dcterms:created xsi:type="dcterms:W3CDTF">2021-05-21T10:36:00Z</dcterms:created>
  <dcterms:modified xsi:type="dcterms:W3CDTF">2024-05-03T10:56:00Z</dcterms:modified>
</cp:coreProperties>
</file>