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026E" w14:textId="75528167" w:rsidR="004A4EF5" w:rsidRPr="001C50CE" w:rsidRDefault="003F1D59" w:rsidP="000207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50CE">
        <w:rPr>
          <w:rFonts w:ascii="Arial" w:hAnsi="Arial" w:cs="Arial"/>
          <w:b/>
          <w:sz w:val="20"/>
          <w:szCs w:val="20"/>
        </w:rPr>
        <w:t>ASHOKA INDIA EQUITY INVESTMENT TRUST PLC</w:t>
      </w:r>
    </w:p>
    <w:p w14:paraId="707EDDF5" w14:textId="519A1A8C" w:rsidR="00025F4C" w:rsidRPr="001C50CE" w:rsidRDefault="00025F4C" w:rsidP="000207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50CE">
        <w:rPr>
          <w:rFonts w:ascii="Arial" w:hAnsi="Arial" w:cs="Arial"/>
          <w:b/>
          <w:sz w:val="20"/>
          <w:szCs w:val="20"/>
        </w:rPr>
        <w:t>(</w:t>
      </w:r>
      <w:r w:rsidR="00C856F0" w:rsidRPr="001C50CE">
        <w:rPr>
          <w:rFonts w:ascii="Arial" w:hAnsi="Arial" w:cs="Arial"/>
          <w:b/>
          <w:sz w:val="20"/>
          <w:szCs w:val="20"/>
        </w:rPr>
        <w:t>the “Company”)</w:t>
      </w:r>
    </w:p>
    <w:p w14:paraId="5649AEB9" w14:textId="77777777" w:rsidR="006A11CD" w:rsidRDefault="006A11CD" w:rsidP="00020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7FC3F4" w14:textId="7EB106E9" w:rsidR="00AF7814" w:rsidRDefault="00AF7814" w:rsidP="00AF7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notification pursuant to </w:t>
      </w:r>
      <w:r w:rsidR="00425AAE">
        <w:rPr>
          <w:rFonts w:ascii="Arial" w:hAnsi="Arial" w:cs="Arial"/>
          <w:sz w:val="20"/>
          <w:szCs w:val="20"/>
        </w:rPr>
        <w:t>UK</w:t>
      </w:r>
      <w:r>
        <w:rPr>
          <w:rFonts w:ascii="Arial" w:hAnsi="Arial" w:cs="Arial"/>
          <w:sz w:val="20"/>
          <w:szCs w:val="20"/>
        </w:rPr>
        <w:t xml:space="preserve">LR </w:t>
      </w:r>
      <w:r w:rsidR="00B875D2">
        <w:rPr>
          <w:rFonts w:ascii="Arial" w:hAnsi="Arial" w:cs="Arial"/>
          <w:sz w:val="20"/>
          <w:szCs w:val="20"/>
        </w:rPr>
        <w:t>6.4.2</w:t>
      </w:r>
      <w:r>
        <w:rPr>
          <w:rFonts w:ascii="Arial" w:hAnsi="Arial" w:cs="Arial"/>
          <w:sz w:val="20"/>
          <w:szCs w:val="20"/>
        </w:rPr>
        <w:t xml:space="preserve">.R. </w:t>
      </w:r>
    </w:p>
    <w:p w14:paraId="4B8CE6D1" w14:textId="77777777" w:rsidR="00AF7814" w:rsidRDefault="00AF7814" w:rsidP="00020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2DB812" w14:textId="0E95DBF4" w:rsidR="006351D0" w:rsidRPr="007970C2" w:rsidRDefault="006351D0" w:rsidP="00020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70C2">
        <w:rPr>
          <w:rFonts w:ascii="Arial" w:hAnsi="Arial" w:cs="Arial"/>
          <w:sz w:val="20"/>
          <w:szCs w:val="20"/>
        </w:rPr>
        <w:t xml:space="preserve">At the Annual General Meeting of the Company, duly convened and held at </w:t>
      </w:r>
      <w:r w:rsidR="009F2606">
        <w:rPr>
          <w:rFonts w:ascii="Arial" w:hAnsi="Arial" w:cs="Arial"/>
          <w:sz w:val="20"/>
          <w:szCs w:val="20"/>
        </w:rPr>
        <w:t>the offices of Stephenson Harwood LLP, 1 Finsbury Circus, London EC2M 7SH</w:t>
      </w:r>
      <w:r w:rsidR="00B138E7">
        <w:rPr>
          <w:rFonts w:ascii="Arial" w:hAnsi="Arial" w:cs="Arial"/>
          <w:sz w:val="20"/>
          <w:szCs w:val="20"/>
        </w:rPr>
        <w:t xml:space="preserve"> on 10 December 2025 at 11am</w:t>
      </w:r>
      <w:r w:rsidRPr="007970C2">
        <w:rPr>
          <w:rFonts w:ascii="Arial" w:hAnsi="Arial" w:cs="Arial"/>
          <w:sz w:val="20"/>
          <w:szCs w:val="20"/>
        </w:rPr>
        <w:t>, the following special resolutions were passed:</w:t>
      </w:r>
    </w:p>
    <w:p w14:paraId="04BA9C9A" w14:textId="77777777" w:rsidR="00025F4C" w:rsidRDefault="00025F4C" w:rsidP="000207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F78192" w14:textId="77777777" w:rsidR="00E6229E" w:rsidRPr="00003176" w:rsidRDefault="00E6229E" w:rsidP="000207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003176">
        <w:rPr>
          <w:rFonts w:ascii="Arial" w:hAnsi="Arial" w:cs="Arial"/>
          <w:b/>
          <w:bCs/>
          <w:sz w:val="20"/>
        </w:rPr>
        <w:t>SPECIAL RESOLUTIONS</w:t>
      </w:r>
    </w:p>
    <w:p w14:paraId="6F32AE47" w14:textId="46184690" w:rsidR="00E6229E" w:rsidRPr="00003176" w:rsidRDefault="00E6229E" w:rsidP="004809BA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 w:rsidRPr="00003176">
        <w:rPr>
          <w:rFonts w:ascii="Arial" w:hAnsi="Arial" w:cs="Arial"/>
          <w:sz w:val="20"/>
        </w:rPr>
        <w:t>1</w:t>
      </w:r>
      <w:r w:rsidR="007D3208">
        <w:rPr>
          <w:rFonts w:ascii="Arial" w:hAnsi="Arial" w:cs="Arial"/>
          <w:sz w:val="20"/>
        </w:rPr>
        <w:t>3</w:t>
      </w:r>
      <w:r w:rsidRPr="00003176">
        <w:rPr>
          <w:rFonts w:ascii="Arial" w:hAnsi="Arial" w:cs="Arial"/>
          <w:sz w:val="20"/>
        </w:rPr>
        <w:t>.</w:t>
      </w:r>
      <w:r w:rsidR="004809BA">
        <w:rPr>
          <w:rFonts w:ascii="Arial" w:hAnsi="Arial" w:cs="Arial"/>
          <w:sz w:val="20"/>
        </w:rPr>
        <w:tab/>
      </w:r>
      <w:r w:rsidRPr="00003176">
        <w:rPr>
          <w:rFonts w:ascii="Arial" w:hAnsi="Arial" w:cs="Arial"/>
          <w:sz w:val="20"/>
        </w:rPr>
        <w:t>That, subject to the passing of Resolution 1</w:t>
      </w:r>
      <w:r w:rsidR="0055705F">
        <w:rPr>
          <w:rFonts w:ascii="Arial" w:hAnsi="Arial" w:cs="Arial"/>
          <w:sz w:val="20"/>
        </w:rPr>
        <w:t>2</w:t>
      </w:r>
      <w:r w:rsidRPr="00003176">
        <w:rPr>
          <w:rFonts w:ascii="Arial" w:hAnsi="Arial" w:cs="Arial"/>
          <w:sz w:val="20"/>
        </w:rPr>
        <w:t>, the Directors be and are hereby empowered (pursuant to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sections 570 and 573 of the Act) to allot Ordinary Shares and to sell Ordinary Shares from treasury for cash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pursuant to the authority referred to in Resolution 1</w:t>
      </w:r>
      <w:r w:rsidR="009461D9">
        <w:rPr>
          <w:rFonts w:ascii="Arial" w:hAnsi="Arial" w:cs="Arial"/>
          <w:sz w:val="20"/>
        </w:rPr>
        <w:t>2</w:t>
      </w:r>
      <w:r w:rsidRPr="00003176">
        <w:rPr>
          <w:rFonts w:ascii="Arial" w:hAnsi="Arial" w:cs="Arial"/>
          <w:sz w:val="20"/>
        </w:rPr>
        <w:t xml:space="preserve"> as if section 561 of the Act did not apply to any such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allotment or sale, such power to expire (unless previously varied, revoked or renewed by the Company in general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 xml:space="preserve">meeting) at the conclusion of the Annual General Meeting of the Company to be held in </w:t>
      </w:r>
      <w:r>
        <w:rPr>
          <w:rFonts w:ascii="Arial" w:hAnsi="Arial" w:cs="Arial"/>
          <w:sz w:val="20"/>
        </w:rPr>
        <w:t>202</w:t>
      </w:r>
      <w:r w:rsidR="0057525E">
        <w:rPr>
          <w:rFonts w:ascii="Arial" w:hAnsi="Arial" w:cs="Arial"/>
          <w:sz w:val="20"/>
        </w:rPr>
        <w:t>6</w:t>
      </w:r>
      <w:r w:rsidRPr="00003176">
        <w:rPr>
          <w:rFonts w:ascii="Arial" w:hAnsi="Arial" w:cs="Arial"/>
          <w:sz w:val="20"/>
        </w:rPr>
        <w:t xml:space="preserve"> or, if earlier, on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the expiry of 15 months from the passing of this resolution, save that the Company may, at any time prior to the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expiry of such power, make an offer or enter into an agreement which would or might require equity securities to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be allotted or sold from treasury after the expiry of such power, and the Directors may allot or sell from treasury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equity securities in pursuance of such an offer or an agreement as if such power had not expired</w:t>
      </w:r>
      <w:r>
        <w:rPr>
          <w:rFonts w:ascii="Arial" w:hAnsi="Arial" w:cs="Arial"/>
          <w:sz w:val="20"/>
        </w:rPr>
        <w:t>.</w:t>
      </w:r>
    </w:p>
    <w:p w14:paraId="5267027B" w14:textId="77777777" w:rsidR="000207DA" w:rsidRDefault="000207DA" w:rsidP="000207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00CB96EC" w14:textId="0AA15747" w:rsidR="00E6229E" w:rsidRDefault="00E6229E" w:rsidP="004809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</w:t>
      </w:r>
      <w:r w:rsidR="004809BA">
        <w:rPr>
          <w:rFonts w:ascii="Arial" w:hAnsi="Arial" w:cs="Arial"/>
          <w:sz w:val="20"/>
        </w:rPr>
        <w:tab/>
      </w:r>
      <w:r w:rsidRPr="00003176">
        <w:rPr>
          <w:rFonts w:ascii="Arial" w:hAnsi="Arial" w:cs="Arial"/>
          <w:sz w:val="20"/>
        </w:rPr>
        <w:t>That the Company be and is hereby generally and unconditionally authorised in accordance with section 701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of the Act to make market purchases (within the meaning of section 693(4) of the Act) of its Ordinary Shares,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provided that:</w:t>
      </w:r>
    </w:p>
    <w:p w14:paraId="36ECFEB5" w14:textId="77777777" w:rsidR="00140C3B" w:rsidRPr="00003176" w:rsidRDefault="00140C3B" w:rsidP="00140C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z w:val="20"/>
        </w:rPr>
      </w:pPr>
    </w:p>
    <w:p w14:paraId="1D69877F" w14:textId="2682B265" w:rsidR="00E6229E" w:rsidRPr="00003176" w:rsidRDefault="00E6229E" w:rsidP="00140C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z w:val="20"/>
        </w:rPr>
      </w:pPr>
      <w:r w:rsidRPr="00003176">
        <w:rPr>
          <w:rFonts w:ascii="Arial" w:hAnsi="Arial" w:cs="Arial"/>
          <w:sz w:val="20"/>
        </w:rPr>
        <w:t>a)</w:t>
      </w:r>
      <w:r w:rsidR="000207DA">
        <w:rPr>
          <w:rFonts w:ascii="Arial" w:hAnsi="Arial" w:cs="Arial"/>
          <w:sz w:val="20"/>
        </w:rPr>
        <w:tab/>
      </w:r>
      <w:r w:rsidRPr="00003176">
        <w:rPr>
          <w:rFonts w:ascii="Arial" w:hAnsi="Arial" w:cs="Arial"/>
          <w:sz w:val="20"/>
        </w:rPr>
        <w:t>the maximum number of Ordinary Shares hereby authorised to be purchased shall be</w:t>
      </w:r>
      <w:r>
        <w:rPr>
          <w:rFonts w:ascii="Arial" w:hAnsi="Arial" w:cs="Arial"/>
          <w:sz w:val="20"/>
        </w:rPr>
        <w:t xml:space="preserve"> </w:t>
      </w:r>
      <w:r w:rsidR="00DF2678">
        <w:rPr>
          <w:rFonts w:ascii="Arial" w:hAnsi="Arial" w:cs="Arial"/>
          <w:sz w:val="20"/>
        </w:rPr>
        <w:t>25,706,634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(representing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14.99 per cent of the Company’s issued Ordinary Share capital (excluding shares held in treasury) at the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date of this notice of Annual General Meeting);</w:t>
      </w:r>
    </w:p>
    <w:p w14:paraId="747FC99C" w14:textId="2134BE2E" w:rsidR="00E6229E" w:rsidRPr="00003176" w:rsidRDefault="00E6229E" w:rsidP="00140C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z w:val="20"/>
        </w:rPr>
      </w:pPr>
      <w:r w:rsidRPr="00003176">
        <w:rPr>
          <w:rFonts w:ascii="Arial" w:hAnsi="Arial" w:cs="Arial"/>
          <w:sz w:val="20"/>
        </w:rPr>
        <w:t>b)</w:t>
      </w:r>
      <w:r w:rsidR="000207DA">
        <w:rPr>
          <w:rFonts w:ascii="Arial" w:hAnsi="Arial" w:cs="Arial"/>
          <w:sz w:val="20"/>
        </w:rPr>
        <w:tab/>
      </w:r>
      <w:r w:rsidRPr="00003176">
        <w:rPr>
          <w:rFonts w:ascii="Arial" w:hAnsi="Arial" w:cs="Arial"/>
          <w:sz w:val="20"/>
        </w:rPr>
        <w:t>the minimum price (exclusive of any expenses) which may be paid for an Ordinary Share is 1 penny.</w:t>
      </w:r>
    </w:p>
    <w:p w14:paraId="65664D09" w14:textId="1F5D1E82" w:rsidR="00E6229E" w:rsidRPr="00003176" w:rsidRDefault="00E6229E" w:rsidP="00140C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z w:val="20"/>
        </w:rPr>
      </w:pPr>
      <w:r w:rsidRPr="00003176">
        <w:rPr>
          <w:rFonts w:ascii="Arial" w:hAnsi="Arial" w:cs="Arial"/>
          <w:sz w:val="20"/>
        </w:rPr>
        <w:t>c)</w:t>
      </w:r>
      <w:r w:rsidR="000207DA">
        <w:rPr>
          <w:rFonts w:ascii="Arial" w:hAnsi="Arial" w:cs="Arial"/>
          <w:sz w:val="20"/>
        </w:rPr>
        <w:tab/>
      </w:r>
      <w:r w:rsidRPr="00003176">
        <w:rPr>
          <w:rFonts w:ascii="Arial" w:hAnsi="Arial" w:cs="Arial"/>
          <w:sz w:val="20"/>
        </w:rPr>
        <w:t>the maximum price (excluding expenses) which may be paid for an Ordinary Share is not more than the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higher of (i) 5 per cent. above the average of the mid-market values of the Ordinary Shares for the five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business days before the purchase is made; and (ii) the higher of the price of the last independent trade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and the highest current independent bid for the Ordinary Shares;</w:t>
      </w:r>
    </w:p>
    <w:p w14:paraId="20A62EF5" w14:textId="7EF78329" w:rsidR="00E6229E" w:rsidRPr="00003176" w:rsidRDefault="00E6229E" w:rsidP="00140C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z w:val="20"/>
        </w:rPr>
      </w:pPr>
      <w:r w:rsidRPr="00003176">
        <w:rPr>
          <w:rFonts w:ascii="Arial" w:hAnsi="Arial" w:cs="Arial"/>
          <w:sz w:val="20"/>
        </w:rPr>
        <w:t>d)</w:t>
      </w:r>
      <w:r w:rsidR="000207DA">
        <w:rPr>
          <w:rFonts w:ascii="Arial" w:hAnsi="Arial" w:cs="Arial"/>
          <w:sz w:val="20"/>
        </w:rPr>
        <w:tab/>
      </w:r>
      <w:r w:rsidRPr="00003176">
        <w:rPr>
          <w:rFonts w:ascii="Arial" w:hAnsi="Arial" w:cs="Arial"/>
          <w:sz w:val="20"/>
        </w:rPr>
        <w:t>the authority hereby conferred shall expire at the conclusion of the Annual General Meeting of the Company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 xml:space="preserve">in </w:t>
      </w:r>
      <w:r>
        <w:rPr>
          <w:rFonts w:ascii="Arial" w:hAnsi="Arial" w:cs="Arial"/>
          <w:sz w:val="20"/>
        </w:rPr>
        <w:t>202</w:t>
      </w:r>
      <w:r w:rsidR="00130715">
        <w:rPr>
          <w:rFonts w:ascii="Arial" w:hAnsi="Arial" w:cs="Arial"/>
          <w:sz w:val="20"/>
        </w:rPr>
        <w:t>6</w:t>
      </w:r>
      <w:r w:rsidRPr="00003176">
        <w:rPr>
          <w:rFonts w:ascii="Arial" w:hAnsi="Arial" w:cs="Arial"/>
          <w:sz w:val="20"/>
        </w:rPr>
        <w:t xml:space="preserve"> or, if earlier, on the expiry of 15 months from the passing of this resolution, unless such authority is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renewed prior to such time; and</w:t>
      </w:r>
    </w:p>
    <w:p w14:paraId="22643AEE" w14:textId="722B15D8" w:rsidR="00E6229E" w:rsidRPr="00003176" w:rsidRDefault="00E6229E" w:rsidP="00140C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sz w:val="20"/>
        </w:rPr>
      </w:pPr>
      <w:r w:rsidRPr="00003176">
        <w:rPr>
          <w:rFonts w:ascii="Arial" w:hAnsi="Arial" w:cs="Arial"/>
          <w:sz w:val="20"/>
        </w:rPr>
        <w:t>e)</w:t>
      </w:r>
      <w:r w:rsidR="000207DA">
        <w:rPr>
          <w:rFonts w:ascii="Arial" w:hAnsi="Arial" w:cs="Arial"/>
          <w:sz w:val="20"/>
        </w:rPr>
        <w:tab/>
      </w:r>
      <w:r w:rsidRPr="00003176">
        <w:rPr>
          <w:rFonts w:ascii="Arial" w:hAnsi="Arial" w:cs="Arial"/>
          <w:sz w:val="20"/>
        </w:rPr>
        <w:t>the Company may make a contract to purchase Ordinary Shares under the authority hereby conferred prior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to the expiry of such authority, which will or may be executed wholly or partly after the expiration of such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authority and may make a purchase of Ordinary Shares pursuant to any such contract.</w:t>
      </w:r>
    </w:p>
    <w:p w14:paraId="58BF1DD9" w14:textId="77777777" w:rsidR="000207DA" w:rsidRDefault="000207DA" w:rsidP="000207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7449DFD9" w14:textId="6269A07E" w:rsidR="00E6229E" w:rsidRPr="00AF0388" w:rsidRDefault="00E6229E" w:rsidP="004809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</w:t>
      </w:r>
      <w:r w:rsidRPr="00003176">
        <w:rPr>
          <w:rFonts w:ascii="Arial" w:hAnsi="Arial" w:cs="Arial"/>
          <w:sz w:val="20"/>
        </w:rPr>
        <w:t>.</w:t>
      </w:r>
      <w:r w:rsidR="004809BA">
        <w:rPr>
          <w:rFonts w:ascii="Arial" w:hAnsi="Arial" w:cs="Arial"/>
          <w:sz w:val="20"/>
        </w:rPr>
        <w:tab/>
      </w:r>
      <w:r w:rsidRPr="00003176">
        <w:rPr>
          <w:rFonts w:ascii="Arial" w:hAnsi="Arial" w:cs="Arial"/>
          <w:sz w:val="20"/>
        </w:rPr>
        <w:t>That a general meeting of the Company other than an Annual General Meeting may be called on not less than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14 clear days’ notice, provided that this authority shall expire at the conclusion of the Company’s next Annual</w:t>
      </w:r>
      <w:r>
        <w:rPr>
          <w:rFonts w:ascii="Arial" w:hAnsi="Arial" w:cs="Arial"/>
          <w:sz w:val="20"/>
        </w:rPr>
        <w:t xml:space="preserve"> </w:t>
      </w:r>
      <w:r w:rsidRPr="00003176">
        <w:rPr>
          <w:rFonts w:ascii="Arial" w:hAnsi="Arial" w:cs="Arial"/>
          <w:sz w:val="20"/>
        </w:rPr>
        <w:t>General Meeting after the date of the passing of this resolution.</w:t>
      </w:r>
    </w:p>
    <w:p w14:paraId="21121764" w14:textId="77777777" w:rsidR="000207DA" w:rsidRDefault="000207DA" w:rsidP="000207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59FC153D" w14:textId="77777777" w:rsidR="004809BA" w:rsidRDefault="004809BA" w:rsidP="000207D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30EDDE32" w14:textId="7F04108E" w:rsidR="000207DA" w:rsidRDefault="000207DA" w:rsidP="000207D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NSM Funds (UK) Limited</w:t>
      </w:r>
    </w:p>
    <w:p w14:paraId="5ECA63D7" w14:textId="362E7FE9" w:rsidR="00701C9D" w:rsidRPr="00AF0388" w:rsidRDefault="00701C9D" w:rsidP="000207D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Company Secretary</w:t>
      </w:r>
    </w:p>
    <w:sectPr w:rsidR="00701C9D" w:rsidRPr="00AF0388" w:rsidSect="000207DA">
      <w:headerReference w:type="default" r:id="rId12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AD00" w14:textId="77777777" w:rsidR="005E1AC3" w:rsidRDefault="005E1AC3" w:rsidP="003F1D59">
      <w:pPr>
        <w:spacing w:after="0" w:line="240" w:lineRule="auto"/>
      </w:pPr>
      <w:r>
        <w:separator/>
      </w:r>
    </w:p>
  </w:endnote>
  <w:endnote w:type="continuationSeparator" w:id="0">
    <w:p w14:paraId="48CB91A3" w14:textId="77777777" w:rsidR="005E1AC3" w:rsidRDefault="005E1AC3" w:rsidP="003F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-Regular">
    <w:altName w:val="Poppi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5FD8" w14:textId="77777777" w:rsidR="005E1AC3" w:rsidRDefault="005E1AC3" w:rsidP="003F1D59">
      <w:pPr>
        <w:spacing w:after="0" w:line="240" w:lineRule="auto"/>
      </w:pPr>
      <w:r>
        <w:separator/>
      </w:r>
    </w:p>
  </w:footnote>
  <w:footnote w:type="continuationSeparator" w:id="0">
    <w:p w14:paraId="7CEBAA2E" w14:textId="77777777" w:rsidR="005E1AC3" w:rsidRDefault="005E1AC3" w:rsidP="003F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5867" w14:textId="0582AE3F" w:rsidR="006351D0" w:rsidRPr="006351D0" w:rsidRDefault="006351D0" w:rsidP="006351D0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Company Number </w:t>
    </w:r>
    <w:r w:rsidRPr="003F1D59">
      <w:rPr>
        <w:rFonts w:ascii="Arial" w:hAnsi="Arial" w:cs="Arial"/>
        <w:sz w:val="20"/>
        <w:szCs w:val="20"/>
      </w:rPr>
      <w:t>11356069</w:t>
    </w:r>
    <w:r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2350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2EE"/>
    <w:multiLevelType w:val="hybridMultilevel"/>
    <w:tmpl w:val="00004B40"/>
    <w:lvl w:ilvl="0" w:tplc="0000587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36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01C"/>
    <w:multiLevelType w:val="hybridMultilevel"/>
    <w:tmpl w:val="9D5A190E"/>
    <w:lvl w:ilvl="0" w:tplc="CA9E9E2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9CB512E"/>
    <w:multiLevelType w:val="hybridMultilevel"/>
    <w:tmpl w:val="F3DE3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F1835"/>
    <w:multiLevelType w:val="hybridMultilevel"/>
    <w:tmpl w:val="FB4C1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02A74"/>
    <w:multiLevelType w:val="hybridMultilevel"/>
    <w:tmpl w:val="E324798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002350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7E94B3B"/>
    <w:multiLevelType w:val="hybridMultilevel"/>
    <w:tmpl w:val="4606C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423901">
    <w:abstractNumId w:val="2"/>
  </w:num>
  <w:num w:numId="2" w16cid:durableId="1899167921">
    <w:abstractNumId w:val="0"/>
  </w:num>
  <w:num w:numId="3" w16cid:durableId="683897665">
    <w:abstractNumId w:val="1"/>
  </w:num>
  <w:num w:numId="4" w16cid:durableId="973215877">
    <w:abstractNumId w:val="6"/>
  </w:num>
  <w:num w:numId="5" w16cid:durableId="139926728">
    <w:abstractNumId w:val="4"/>
  </w:num>
  <w:num w:numId="6" w16cid:durableId="1445735017">
    <w:abstractNumId w:val="3"/>
  </w:num>
  <w:num w:numId="7" w16cid:durableId="1697775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52"/>
    <w:rsid w:val="00003176"/>
    <w:rsid w:val="000207DA"/>
    <w:rsid w:val="000231C5"/>
    <w:rsid w:val="00025F4C"/>
    <w:rsid w:val="00073C5F"/>
    <w:rsid w:val="00076305"/>
    <w:rsid w:val="00081BF2"/>
    <w:rsid w:val="000B6471"/>
    <w:rsid w:val="000C0E72"/>
    <w:rsid w:val="00104DFD"/>
    <w:rsid w:val="001050B8"/>
    <w:rsid w:val="00130715"/>
    <w:rsid w:val="00140C3B"/>
    <w:rsid w:val="00141C3D"/>
    <w:rsid w:val="00167806"/>
    <w:rsid w:val="00170576"/>
    <w:rsid w:val="001B2284"/>
    <w:rsid w:val="001C50CE"/>
    <w:rsid w:val="00202B54"/>
    <w:rsid w:val="00213E71"/>
    <w:rsid w:val="00226081"/>
    <w:rsid w:val="002271D3"/>
    <w:rsid w:val="002B3438"/>
    <w:rsid w:val="002B5933"/>
    <w:rsid w:val="002C1952"/>
    <w:rsid w:val="00301669"/>
    <w:rsid w:val="00305CC0"/>
    <w:rsid w:val="00340E37"/>
    <w:rsid w:val="0034332F"/>
    <w:rsid w:val="00385FAD"/>
    <w:rsid w:val="003A2C8F"/>
    <w:rsid w:val="003C260A"/>
    <w:rsid w:val="003F1D59"/>
    <w:rsid w:val="003F239F"/>
    <w:rsid w:val="003F3C7E"/>
    <w:rsid w:val="00414BB3"/>
    <w:rsid w:val="00425AAE"/>
    <w:rsid w:val="00450DCF"/>
    <w:rsid w:val="004809BA"/>
    <w:rsid w:val="004A4EF5"/>
    <w:rsid w:val="004B6647"/>
    <w:rsid w:val="004C2364"/>
    <w:rsid w:val="004E457C"/>
    <w:rsid w:val="00532C25"/>
    <w:rsid w:val="0055705F"/>
    <w:rsid w:val="0056173B"/>
    <w:rsid w:val="0057525E"/>
    <w:rsid w:val="005925AB"/>
    <w:rsid w:val="00597396"/>
    <w:rsid w:val="005A2113"/>
    <w:rsid w:val="005E1AC3"/>
    <w:rsid w:val="005E48B2"/>
    <w:rsid w:val="00610225"/>
    <w:rsid w:val="0062780A"/>
    <w:rsid w:val="006351D0"/>
    <w:rsid w:val="00652A41"/>
    <w:rsid w:val="0066746A"/>
    <w:rsid w:val="006A11CD"/>
    <w:rsid w:val="006B1D35"/>
    <w:rsid w:val="006C72DA"/>
    <w:rsid w:val="006D2CCE"/>
    <w:rsid w:val="00701C9D"/>
    <w:rsid w:val="00702AAD"/>
    <w:rsid w:val="0070412B"/>
    <w:rsid w:val="00741E79"/>
    <w:rsid w:val="007538B3"/>
    <w:rsid w:val="00760BDB"/>
    <w:rsid w:val="00772E42"/>
    <w:rsid w:val="0077741C"/>
    <w:rsid w:val="007D0B30"/>
    <w:rsid w:val="007D3208"/>
    <w:rsid w:val="007E01CF"/>
    <w:rsid w:val="00810F96"/>
    <w:rsid w:val="00824B0C"/>
    <w:rsid w:val="00827E00"/>
    <w:rsid w:val="00843EEA"/>
    <w:rsid w:val="00863D48"/>
    <w:rsid w:val="00887319"/>
    <w:rsid w:val="009221A3"/>
    <w:rsid w:val="009461D9"/>
    <w:rsid w:val="0096416C"/>
    <w:rsid w:val="00977169"/>
    <w:rsid w:val="009F2606"/>
    <w:rsid w:val="009F4521"/>
    <w:rsid w:val="00A320EB"/>
    <w:rsid w:val="00A76A75"/>
    <w:rsid w:val="00AD0747"/>
    <w:rsid w:val="00AF0388"/>
    <w:rsid w:val="00AF7814"/>
    <w:rsid w:val="00B113D2"/>
    <w:rsid w:val="00B138E7"/>
    <w:rsid w:val="00B17BBC"/>
    <w:rsid w:val="00B532D6"/>
    <w:rsid w:val="00B55976"/>
    <w:rsid w:val="00B62460"/>
    <w:rsid w:val="00B65034"/>
    <w:rsid w:val="00B654FC"/>
    <w:rsid w:val="00B870FF"/>
    <w:rsid w:val="00B875D2"/>
    <w:rsid w:val="00BA1004"/>
    <w:rsid w:val="00BD09F5"/>
    <w:rsid w:val="00BD1B20"/>
    <w:rsid w:val="00BD4177"/>
    <w:rsid w:val="00C00DF2"/>
    <w:rsid w:val="00C01BE3"/>
    <w:rsid w:val="00C33D72"/>
    <w:rsid w:val="00C856F0"/>
    <w:rsid w:val="00C920D6"/>
    <w:rsid w:val="00CA43B1"/>
    <w:rsid w:val="00CE5B70"/>
    <w:rsid w:val="00CF6EE1"/>
    <w:rsid w:val="00D01A96"/>
    <w:rsid w:val="00D11CDB"/>
    <w:rsid w:val="00D17BA5"/>
    <w:rsid w:val="00D504D3"/>
    <w:rsid w:val="00DE4B0E"/>
    <w:rsid w:val="00DF2678"/>
    <w:rsid w:val="00DF57A2"/>
    <w:rsid w:val="00E15BEC"/>
    <w:rsid w:val="00E170C1"/>
    <w:rsid w:val="00E31038"/>
    <w:rsid w:val="00E44A29"/>
    <w:rsid w:val="00E6229E"/>
    <w:rsid w:val="00E97FE0"/>
    <w:rsid w:val="00EA619D"/>
    <w:rsid w:val="00EB1EE2"/>
    <w:rsid w:val="00EB3A7F"/>
    <w:rsid w:val="00ED7D01"/>
    <w:rsid w:val="00F0342B"/>
    <w:rsid w:val="00F65163"/>
    <w:rsid w:val="00F8062B"/>
    <w:rsid w:val="00FA355C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0097C"/>
  <w15:docId w15:val="{890AE91A-7F09-4638-9787-1FFB1481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E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4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A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1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D59"/>
  </w:style>
  <w:style w:type="paragraph" w:styleId="Footer">
    <w:name w:val="footer"/>
    <w:basedOn w:val="Normal"/>
    <w:link w:val="FooterChar"/>
    <w:uiPriority w:val="99"/>
    <w:unhideWhenUsed/>
    <w:rsid w:val="003F1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D59"/>
  </w:style>
  <w:style w:type="character" w:customStyle="1" w:styleId="fontstyle01">
    <w:name w:val="fontstyle01"/>
    <w:basedOn w:val="DefaultParagraphFont"/>
    <w:rsid w:val="00E6229E"/>
    <w:rPr>
      <w:rFonts w:ascii="Poppins-Regular" w:hAnsi="Poppins-Regular" w:hint="default"/>
      <w:b w:val="0"/>
      <w:bCs w:val="0"/>
      <w:i w:val="0"/>
      <w:iCs w:val="0"/>
      <w:color w:val="1433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8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CD50F3F11874FBE57EF800AA32C19" ma:contentTypeVersion="10" ma:contentTypeDescription="Create a new document." ma:contentTypeScope="" ma:versionID="ca56c4baa802a4e6d95db4b6570c176a">
  <xsd:schema xmlns:xsd="http://www.w3.org/2001/XMLSchema" xmlns:xs="http://www.w3.org/2001/XMLSchema" xmlns:p="http://schemas.microsoft.com/office/2006/metadata/properties" xmlns:ns2="65881AF6-0B7C-408E-A658-4CF5ABABD2BC" xmlns:ns3="65881af6-0b7c-408e-a658-4cf5ababd2bc" xmlns:ns4="9a6ff565-3f7a-4bd3-aa1b-d1da9db97e1a" xmlns:ns5="7fdaafa5-7f66-40bb-8791-776b37ac07b6" targetNamespace="http://schemas.microsoft.com/office/2006/metadata/properties" ma:root="true" ma:fieldsID="95be738ff37b17192788947a40ee37ff" ns2:_="" ns3:_="" ns4:_="" ns5:_="">
    <xsd:import namespace="65881AF6-0B7C-408E-A658-4CF5ABABD2BC"/>
    <xsd:import namespace="65881af6-0b7c-408e-a658-4cf5ababd2bc"/>
    <xsd:import namespace="9a6ff565-3f7a-4bd3-aa1b-d1da9db97e1a"/>
    <xsd:import namespace="7fdaafa5-7f66-40bb-8791-776b37ac0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Type" minOccurs="0"/>
                <xsd:element ref="ns2:Year" minOccurs="0"/>
                <xsd:element ref="ns2:DocumentDate" minOccurs="0"/>
                <xsd:element ref="ns3:MediaServiceSearchPropertie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lcf76f155ced4ddcb4097134ff3c332f" minOccurs="0"/>
                <xsd:element ref="ns5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81AF6-0B7C-408E-A658-4CF5ABABD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Type" ma:index="10" nillable="true" ma:displayName="Document Type" ma:format="Dropdown" ma:internalName="DocumentType">
      <xsd:simpleType>
        <xsd:restriction base="dms:Choice">
          <xsd:enumeration value="Announcements"/>
          <xsd:enumeration value="Letter"/>
          <xsd:enumeration value="Structure Charts"/>
          <xsd:enumeration value="Terms of Reference"/>
          <xsd:enumeration value="Document"/>
          <xsd:enumeration value="Authorised Signatory List"/>
          <xsd:enumeration value="Checklist"/>
          <xsd:enumeration value="Schedules"/>
          <xsd:enumeration value="Directors"/>
        </xsd:restriction>
      </xsd:simpleType>
    </xsd:element>
    <xsd:element name="Year" ma:index="11" nillable="true" ma:displayName="Year" ma:format="Dropdown" ma:internalName="Year">
      <xsd:simpleType>
        <xsd:union memberTypes="dms:Text">
          <xsd:simpleType>
            <xsd:restriction base="dms:Choice">
              <xsd:enumeration value="2018"/>
              <xsd:enumeration value="2019"/>
              <xsd:enumeration value="2020"/>
              <xsd:enumeration value="2021"/>
              <xsd:enumeration value="2022"/>
            </xsd:restriction>
          </xsd:simpleType>
        </xsd:union>
      </xsd:simpleType>
    </xsd:element>
    <xsd:element name="DocumentDate" ma:index="12" nillable="true" ma:displayName="Document Date" ma:format="DateOnly" ma:internalName="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81af6-0b7c-408e-a658-4cf5ababd2bc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43f81d-7cdb-429d-a489-256f5f1b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ff565-3f7a-4bd3-aa1b-d1da9db97e1a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aafa5-7f66-40bb-8791-776b37ac07b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682427F-A7B9-4A5F-A610-C3361F447542}" ma:internalName="TaxCatchAll" ma:showField="CatchAllData" ma:web="{9a6ff565-3f7a-4bd3-aa1b-d1da9db97e1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6ff565-3f7a-4bd3-aa1b-d1da9db97e1a">DOCID-1360482813-20261</_dlc_DocId>
    <_dlc_DocIdUrl xmlns="9a6ff565-3f7a-4bd3-aa1b-d1da9db97e1a">
      <Url>https://lecguernsey.sharepoint.com/sites/AshokaIndiaEquityTrust/_layouts/15/DocIdRedir.aspx?ID=DOCID-1360482813-20261</Url>
      <Description>DOCID-1360482813-20261</Description>
    </_dlc_DocIdUrl>
    <DocumentType xmlns="65881AF6-0B7C-408E-A658-4CF5ABABD2BC" xsi:nil="true"/>
    <Year xmlns="65881AF6-0B7C-408E-A658-4CF5ABABD2BC" xsi:nil="true"/>
    <DocumentDate xmlns="65881AF6-0B7C-408E-A658-4CF5ABABD2BC" xsi:nil="true"/>
    <TaxCatchAll xmlns="7fdaafa5-7f66-40bb-8791-776b37ac07b6" xsi:nil="true"/>
    <lcf76f155ced4ddcb4097134ff3c332f xmlns="65881af6-0b7c-408e-a658-4cf5ababd2bc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385A86-9DE8-4F2C-8B60-7BDF7CF8B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81AF6-0B7C-408E-A658-4CF5ABABD2BC"/>
    <ds:schemaRef ds:uri="65881af6-0b7c-408e-a658-4cf5ababd2bc"/>
    <ds:schemaRef ds:uri="9a6ff565-3f7a-4bd3-aa1b-d1da9db97e1a"/>
    <ds:schemaRef ds:uri="7fdaafa5-7f66-40bb-8791-776b37ac0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2A79D-8028-4C28-B8AF-9A280A6F8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F46FC-196E-4BC0-BA66-D86C9839C3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E56F2F-BCFF-4436-B705-D5ECC96CF4DA}">
  <ds:schemaRefs>
    <ds:schemaRef ds:uri="http://schemas.microsoft.com/office/2006/metadata/properties"/>
    <ds:schemaRef ds:uri="http://schemas.microsoft.com/office/infopath/2007/PartnerControls"/>
    <ds:schemaRef ds:uri="9a6ff565-3f7a-4bd3-aa1b-d1da9db97e1a"/>
    <ds:schemaRef ds:uri="65881AF6-0B7C-408E-A658-4CF5ABABD2BC"/>
    <ds:schemaRef ds:uri="7fdaafa5-7f66-40bb-8791-776b37ac07b6"/>
    <ds:schemaRef ds:uri="65881af6-0b7c-408e-a658-4cf5ababd2bc"/>
  </ds:schemaRefs>
</ds:datastoreItem>
</file>

<file path=customXml/itemProps5.xml><?xml version="1.0" encoding="utf-8"?>
<ds:datastoreItem xmlns:ds="http://schemas.openxmlformats.org/officeDocument/2006/customXml" ds:itemID="{17151F43-B16F-4982-8FA2-10732D1FC30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555</Words>
  <Characters>2653</Characters>
  <Application>Microsoft Office Word</Application>
  <DocSecurity>0</DocSecurity>
  <Lines>60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Lee</dc:creator>
  <cp:lastModifiedBy>Shilla Pindoria</cp:lastModifiedBy>
  <cp:revision>32</cp:revision>
  <cp:lastPrinted>2023-12-13T11:51:00Z</cp:lastPrinted>
  <dcterms:created xsi:type="dcterms:W3CDTF">2022-11-15T17:20:00Z</dcterms:created>
  <dcterms:modified xsi:type="dcterms:W3CDTF">2025-12-03T14:49:00Z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0x010100BCECD50F3F11874FBE57EF800AA32C19</vt:lpwstr>
  </property>
  <property fmtid="{D5CDD505-2E9C-101B-9397-08002B2CF9AE}" pid="3" name="_dlc_DocIdItemGuid">
    <vt:lpwstr>2f6e19a3-b557-450f-bed1-325e347f004e</vt:lpwstr>
  </property>
  <property fmtid="{D5CDD505-2E9C-101B-9397-08002B2CF9AE}" pid="4" name="MediaServiceImageTags">
    <vt:lpwstr/>
  </property>
</Properties>
</file>