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AFA7" w14:textId="77777777" w:rsidR="00240234" w:rsidRPr="009F488D" w:rsidRDefault="00240234" w:rsidP="00240234">
      <w:pPr>
        <w:pStyle w:val="Header"/>
        <w:spacing w:after="0"/>
        <w:jc w:val="center"/>
        <w:rPr>
          <w:b/>
          <w:sz w:val="22"/>
          <w:szCs w:val="22"/>
        </w:rPr>
      </w:pPr>
      <w:r w:rsidRPr="009F488D">
        <w:rPr>
          <w:b/>
          <w:sz w:val="22"/>
          <w:szCs w:val="22"/>
        </w:rPr>
        <w:t>CLOSE BROTHERS GROUP PLC</w:t>
      </w:r>
    </w:p>
    <w:p w14:paraId="1E3F6E87" w14:textId="5B0B62CB" w:rsidR="00DB656D" w:rsidRDefault="00DB656D" w:rsidP="00DB656D">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sz w:val="22"/>
          <w:szCs w:val="22"/>
        </w:rPr>
      </w:pPr>
      <w:r>
        <w:rPr>
          <w:rFonts w:cs="Arial"/>
          <w:b/>
          <w:bCs/>
          <w:sz w:val="22"/>
          <w:szCs w:val="22"/>
        </w:rPr>
        <w:t>RESOLUTIONS PASSED AT THE</w:t>
      </w:r>
    </w:p>
    <w:p w14:paraId="03260579" w14:textId="4D091550" w:rsidR="00240234" w:rsidRDefault="00DB656D" w:rsidP="00DB656D">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sz w:val="22"/>
          <w:szCs w:val="22"/>
        </w:rPr>
      </w:pPr>
      <w:r w:rsidRPr="00DB656D">
        <w:rPr>
          <w:rFonts w:cs="Arial"/>
          <w:b/>
          <w:bCs/>
          <w:sz w:val="22"/>
          <w:szCs w:val="22"/>
        </w:rPr>
        <w:t>ANNUAL GENERAL MEETING HELD ON 1</w:t>
      </w:r>
      <w:r w:rsidR="00101793">
        <w:rPr>
          <w:rFonts w:cs="Arial"/>
          <w:b/>
          <w:bCs/>
          <w:sz w:val="22"/>
          <w:szCs w:val="22"/>
        </w:rPr>
        <w:t>6</w:t>
      </w:r>
      <w:r w:rsidRPr="00DB656D">
        <w:rPr>
          <w:rFonts w:cs="Arial"/>
          <w:b/>
          <w:bCs/>
          <w:sz w:val="22"/>
          <w:szCs w:val="22"/>
        </w:rPr>
        <w:t xml:space="preserve"> NOVEMBER 202</w:t>
      </w:r>
      <w:r w:rsidR="00101793">
        <w:rPr>
          <w:rFonts w:cs="Arial"/>
          <w:b/>
          <w:bCs/>
          <w:sz w:val="22"/>
          <w:szCs w:val="22"/>
        </w:rPr>
        <w:t>3</w:t>
      </w:r>
    </w:p>
    <w:p w14:paraId="14A7BD7E" w14:textId="77777777" w:rsidR="00DB656D" w:rsidRPr="00DB656D" w:rsidRDefault="00DB656D" w:rsidP="00DB656D">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sz w:val="22"/>
          <w:szCs w:val="22"/>
          <w:lang w:eastAsia="en-GB"/>
        </w:rPr>
      </w:pPr>
    </w:p>
    <w:p w14:paraId="2315586A" w14:textId="77777777" w:rsidR="006E2EE6" w:rsidRPr="00160929" w:rsidRDefault="006E2EE6" w:rsidP="00160929">
      <w:pPr>
        <w:jc w:val="both"/>
        <w:rPr>
          <w:rFonts w:cs="Arial"/>
          <w:bCs/>
          <w:sz w:val="22"/>
          <w:szCs w:val="22"/>
        </w:rPr>
      </w:pPr>
      <w:r w:rsidRPr="00160929">
        <w:rPr>
          <w:rFonts w:cs="Arial"/>
          <w:bCs/>
          <w:sz w:val="22"/>
          <w:szCs w:val="22"/>
        </w:rPr>
        <w:t>At the Annual General Meeting of the Company duly convened and held on 16 November 2023, the following resolutions were duly passed:</w:t>
      </w:r>
    </w:p>
    <w:p w14:paraId="343C2C6C" w14:textId="01CE6F29" w:rsidR="006E2EE6" w:rsidRPr="00160929" w:rsidRDefault="006E2EE6" w:rsidP="00160929">
      <w:pPr>
        <w:spacing w:before="72" w:after="0" w:line="240" w:lineRule="auto"/>
        <w:ind w:left="110" w:right="-20" w:hanging="536"/>
        <w:rPr>
          <w:rFonts w:eastAsia="Arial" w:cs="Arial"/>
          <w:b/>
          <w:sz w:val="22"/>
          <w:szCs w:val="22"/>
        </w:rPr>
      </w:pPr>
      <w:r w:rsidRPr="00160929">
        <w:rPr>
          <w:rFonts w:eastAsia="Arial" w:cs="Arial"/>
          <w:b/>
          <w:sz w:val="22"/>
          <w:szCs w:val="22"/>
        </w:rPr>
        <w:t>Ordinary resolutions</w:t>
      </w:r>
    </w:p>
    <w:p w14:paraId="2B1EAF2F" w14:textId="77777777" w:rsidR="006E2EE6" w:rsidRPr="00160929" w:rsidRDefault="006E2EE6" w:rsidP="00160929">
      <w:pPr>
        <w:pStyle w:val="NormalWeb"/>
        <w:spacing w:before="120"/>
        <w:ind w:left="720" w:hanging="720"/>
        <w:jc w:val="both"/>
        <w:rPr>
          <w:rFonts w:cs="Arial"/>
          <w:sz w:val="22"/>
        </w:rPr>
      </w:pPr>
      <w:r w:rsidRPr="00160929">
        <w:rPr>
          <w:rFonts w:ascii="Arial" w:hAnsi="Arial" w:cs="Arial"/>
          <w:sz w:val="22"/>
          <w:szCs w:val="20"/>
        </w:rPr>
        <w:t>16.</w:t>
      </w:r>
      <w:r w:rsidRPr="00160929">
        <w:rPr>
          <w:rFonts w:ascii="Arial" w:hAnsi="Arial" w:cs="Arial"/>
          <w:sz w:val="22"/>
          <w:szCs w:val="20"/>
        </w:rPr>
        <w:tab/>
        <w:t xml:space="preserve">To </w:t>
      </w:r>
      <w:proofErr w:type="spellStart"/>
      <w:r w:rsidRPr="00160929">
        <w:rPr>
          <w:rFonts w:ascii="Arial" w:hAnsi="Arial" w:cs="Arial"/>
          <w:sz w:val="22"/>
          <w:szCs w:val="20"/>
        </w:rPr>
        <w:t>authorise</w:t>
      </w:r>
      <w:proofErr w:type="spellEnd"/>
      <w:r w:rsidRPr="00160929">
        <w:rPr>
          <w:rFonts w:ascii="Arial" w:hAnsi="Arial" w:cs="Arial"/>
          <w:sz w:val="22"/>
          <w:szCs w:val="20"/>
        </w:rPr>
        <w:t xml:space="preserve"> the Board generally and unconditionally to allot shares in the Company and to grant rights to subscribe for or convert any security into shares in the Company: </w:t>
      </w:r>
    </w:p>
    <w:p w14:paraId="5333597E" w14:textId="28C5A010" w:rsidR="006E2EE6" w:rsidRPr="00160929" w:rsidRDefault="006E2EE6" w:rsidP="00160929">
      <w:pPr>
        <w:pStyle w:val="NormalWeb"/>
        <w:spacing w:before="120" w:after="0"/>
        <w:ind w:left="1134" w:hanging="425"/>
        <w:jc w:val="both"/>
        <w:rPr>
          <w:rFonts w:cs="Arial"/>
          <w:sz w:val="22"/>
        </w:rPr>
      </w:pPr>
      <w:r w:rsidRPr="00160929">
        <w:rPr>
          <w:rFonts w:ascii="Arial" w:hAnsi="Arial" w:cs="Arial"/>
          <w:sz w:val="22"/>
          <w:szCs w:val="20"/>
        </w:rPr>
        <w:t>(a)</w:t>
      </w:r>
      <w:r w:rsidRPr="00160929">
        <w:rPr>
          <w:rFonts w:ascii="Arial" w:hAnsi="Arial" w:cs="Arial"/>
          <w:sz w:val="22"/>
          <w:szCs w:val="20"/>
        </w:rPr>
        <w:tab/>
        <w:t xml:space="preserve">up to a nominal amount of £12,538,637 (such amount to be reduced by any allotments or grants made under paragraph (b) below </w:t>
      </w:r>
      <w:proofErr w:type="gramStart"/>
      <w:r w:rsidRPr="00160929">
        <w:rPr>
          <w:rFonts w:ascii="Arial" w:hAnsi="Arial" w:cs="Arial"/>
          <w:sz w:val="22"/>
          <w:szCs w:val="20"/>
        </w:rPr>
        <w:t>in excess of</w:t>
      </w:r>
      <w:proofErr w:type="gramEnd"/>
      <w:r w:rsidRPr="00160929">
        <w:rPr>
          <w:rFonts w:ascii="Arial" w:hAnsi="Arial" w:cs="Arial"/>
          <w:sz w:val="22"/>
          <w:szCs w:val="20"/>
        </w:rPr>
        <w:t xml:space="preserve"> such sum); and</w:t>
      </w:r>
    </w:p>
    <w:p w14:paraId="73FD122F" w14:textId="77777777" w:rsidR="006E2EE6" w:rsidRPr="00160929" w:rsidRDefault="006E2EE6" w:rsidP="00160929">
      <w:pPr>
        <w:pStyle w:val="NormalWeb"/>
        <w:spacing w:before="120" w:after="0"/>
        <w:ind w:left="1134" w:hanging="425"/>
        <w:jc w:val="both"/>
        <w:rPr>
          <w:rFonts w:cs="Arial"/>
          <w:sz w:val="22"/>
        </w:rPr>
      </w:pPr>
      <w:r w:rsidRPr="00160929">
        <w:rPr>
          <w:rFonts w:ascii="Arial" w:hAnsi="Arial" w:cs="Arial"/>
          <w:sz w:val="22"/>
          <w:szCs w:val="20"/>
        </w:rPr>
        <w:t>(b)</w:t>
      </w:r>
      <w:r w:rsidRPr="00160929">
        <w:rPr>
          <w:rFonts w:ascii="Arial" w:hAnsi="Arial" w:cs="Arial"/>
          <w:sz w:val="22"/>
          <w:szCs w:val="20"/>
        </w:rPr>
        <w:tab/>
        <w:t xml:space="preserve">comprising equity securities (as defined in the Companies Act 2006) up to a nominal amount of £25,077,274 (such amount to be reduced by any allotments or grants made under paragraph (a) above) in connection with an offer by way of a rights issue: </w:t>
      </w:r>
    </w:p>
    <w:p w14:paraId="4EAF85FE" w14:textId="77777777" w:rsidR="006E2EE6" w:rsidRPr="00160929" w:rsidRDefault="006E2EE6" w:rsidP="00160929">
      <w:pPr>
        <w:pStyle w:val="NormalWeb"/>
        <w:spacing w:before="120" w:after="0"/>
        <w:ind w:left="1701" w:hanging="425"/>
        <w:jc w:val="both"/>
        <w:rPr>
          <w:rFonts w:cs="Arial"/>
          <w:sz w:val="22"/>
        </w:rPr>
      </w:pPr>
      <w:r w:rsidRPr="00160929">
        <w:rPr>
          <w:rFonts w:ascii="Arial" w:hAnsi="Arial" w:cs="Arial"/>
          <w:sz w:val="22"/>
          <w:szCs w:val="20"/>
        </w:rPr>
        <w:t xml:space="preserve">(1) to ordinary shareholders in proportion (as nearly as may be practicable) to their existing holdings; and </w:t>
      </w:r>
    </w:p>
    <w:p w14:paraId="3EB430EC" w14:textId="77777777" w:rsidR="006E2EE6" w:rsidRPr="00160929" w:rsidRDefault="006E2EE6" w:rsidP="00160929">
      <w:pPr>
        <w:pStyle w:val="NormalWeb"/>
        <w:spacing w:before="120" w:after="0"/>
        <w:ind w:left="1701" w:hanging="425"/>
        <w:jc w:val="both"/>
        <w:rPr>
          <w:rFonts w:cs="Arial"/>
          <w:sz w:val="22"/>
        </w:rPr>
      </w:pPr>
      <w:r w:rsidRPr="00160929">
        <w:rPr>
          <w:rFonts w:ascii="Arial" w:hAnsi="Arial" w:cs="Arial"/>
          <w:sz w:val="22"/>
          <w:szCs w:val="20"/>
        </w:rPr>
        <w:t xml:space="preserve">(2) to holders of other equity securities as required by the rights of those securities or as the Board otherwise considers necessary, </w:t>
      </w:r>
    </w:p>
    <w:p w14:paraId="21C5AACC" w14:textId="77777777" w:rsidR="006E2EE6" w:rsidRPr="00160929" w:rsidRDefault="006E2EE6" w:rsidP="00160929">
      <w:pPr>
        <w:pStyle w:val="NormalWeb"/>
        <w:spacing w:before="120" w:after="0"/>
        <w:ind w:left="1276"/>
        <w:jc w:val="both"/>
        <w:rPr>
          <w:rFonts w:cs="Arial"/>
          <w:sz w:val="22"/>
        </w:rPr>
      </w:pPr>
      <w:r w:rsidRPr="00160929">
        <w:rPr>
          <w:rFonts w:ascii="Arial" w:hAnsi="Arial" w:cs="Arial"/>
          <w:sz w:val="22"/>
          <w:szCs w:val="20"/>
        </w:rPr>
        <w:t xml:space="preserve">and so that the Board may impose any limits or restrictions and make any arrangements which it considers necessary or appropriate to deal with treasury shares, fractional entitlements, record dates, legal, </w:t>
      </w:r>
      <w:proofErr w:type="gramStart"/>
      <w:r w:rsidRPr="00160929">
        <w:rPr>
          <w:rFonts w:ascii="Arial" w:hAnsi="Arial" w:cs="Arial"/>
          <w:sz w:val="22"/>
          <w:szCs w:val="20"/>
        </w:rPr>
        <w:t>regulatory</w:t>
      </w:r>
      <w:proofErr w:type="gramEnd"/>
      <w:r w:rsidRPr="00160929">
        <w:rPr>
          <w:rFonts w:ascii="Arial" w:hAnsi="Arial" w:cs="Arial"/>
          <w:sz w:val="22"/>
          <w:szCs w:val="20"/>
        </w:rPr>
        <w:t xml:space="preserve"> or practical problems in, or under the laws of, any territory or any other matter, </w:t>
      </w:r>
    </w:p>
    <w:p w14:paraId="33BCE500" w14:textId="555F635F" w:rsidR="006E2EE6" w:rsidRPr="00160929" w:rsidRDefault="006E2EE6" w:rsidP="00160929">
      <w:pPr>
        <w:pStyle w:val="NormalWeb"/>
        <w:ind w:left="720"/>
        <w:jc w:val="both"/>
        <w:rPr>
          <w:rFonts w:cs="Arial"/>
          <w:sz w:val="22"/>
          <w:szCs w:val="22"/>
        </w:rPr>
      </w:pPr>
      <w:r w:rsidRPr="00160929">
        <w:rPr>
          <w:rFonts w:ascii="Arial" w:hAnsi="Arial" w:cs="Arial"/>
          <w:sz w:val="22"/>
          <w:szCs w:val="20"/>
        </w:rPr>
        <w:t>such authorities to apply until the conclusion of the next annual general meeting of the Company (or, if earlier, until the close of business on 16 February 2025) 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ended.</w:t>
      </w:r>
    </w:p>
    <w:p w14:paraId="6FB1D0F8" w14:textId="414ECF5F" w:rsidR="006E2EE6" w:rsidRPr="00160929" w:rsidRDefault="006E2EE6" w:rsidP="00160929">
      <w:pPr>
        <w:pStyle w:val="NormalWeb"/>
        <w:spacing w:before="120"/>
        <w:ind w:left="720" w:hanging="720"/>
        <w:jc w:val="both"/>
        <w:rPr>
          <w:rFonts w:cs="Arial"/>
          <w:sz w:val="22"/>
        </w:rPr>
      </w:pPr>
      <w:r w:rsidRPr="00160929">
        <w:rPr>
          <w:rFonts w:ascii="Arial" w:hAnsi="Arial" w:cs="Arial"/>
          <w:sz w:val="22"/>
          <w:szCs w:val="20"/>
        </w:rPr>
        <w:t xml:space="preserve">17. </w:t>
      </w:r>
      <w:r w:rsidRPr="00160929">
        <w:rPr>
          <w:rFonts w:ascii="Arial" w:hAnsi="Arial" w:cs="Arial"/>
          <w:sz w:val="22"/>
          <w:szCs w:val="20"/>
        </w:rPr>
        <w:tab/>
        <w:t xml:space="preserve">To </w:t>
      </w:r>
      <w:proofErr w:type="spellStart"/>
      <w:r w:rsidRPr="00160929">
        <w:rPr>
          <w:rFonts w:ascii="Arial" w:hAnsi="Arial" w:cs="Arial"/>
          <w:sz w:val="22"/>
          <w:szCs w:val="20"/>
        </w:rPr>
        <w:t>authorise</w:t>
      </w:r>
      <w:proofErr w:type="spellEnd"/>
      <w:r w:rsidRPr="00160929">
        <w:rPr>
          <w:rFonts w:ascii="Arial" w:hAnsi="Arial" w:cs="Arial"/>
          <w:sz w:val="22"/>
          <w:szCs w:val="20"/>
        </w:rPr>
        <w:t xml:space="preserve"> the Board, in addition to any authority granted pursuant to resolution 16, generally and unconditionally pursuant to section 551 of the Companies Act 2006 to allot shares in the Company and to grant rights to subscribe for or convert any security into shares in the Company up to an aggregate nominal amount of £7,523,182 in relation to any issue by the Company of any Additional Tier 1 instruments (“</w:t>
      </w:r>
      <w:r w:rsidRPr="00160929">
        <w:rPr>
          <w:rFonts w:ascii="Arial" w:hAnsi="Arial" w:cs="Arial"/>
          <w:b/>
          <w:bCs/>
          <w:sz w:val="22"/>
          <w:szCs w:val="20"/>
        </w:rPr>
        <w:t>AT1 Securities</w:t>
      </w:r>
      <w:r w:rsidRPr="00160929">
        <w:rPr>
          <w:rFonts w:ascii="Arial" w:hAnsi="Arial" w:cs="Arial"/>
          <w:sz w:val="22"/>
          <w:szCs w:val="20"/>
        </w:rPr>
        <w:t xml:space="preserve">”) that automatically convert into or are exchanged for ordinary shares in the Company in prescribed circumstances, where the Directors consider that the issue of such AT1 Securities would be desirable, including for the purpose of complying with, or maintaining compliance with, the regulatory requirements or targets applicable to the Company and its subsidiaries and subsidiary undertakings from time to time and otherwise on terms as may be determined by the Directors, such authority to apply until the conclusion of the </w:t>
      </w:r>
      <w:r w:rsidRPr="00160929">
        <w:rPr>
          <w:rFonts w:ascii="Arial" w:hAnsi="Arial" w:cs="Arial"/>
          <w:sz w:val="22"/>
          <w:szCs w:val="20"/>
        </w:rPr>
        <w:lastRenderedPageBreak/>
        <w:t>next annual general meeting of the Company (or, if earlier, until the close of business on 16 February 2025) 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expired.</w:t>
      </w:r>
    </w:p>
    <w:p w14:paraId="2374669A" w14:textId="11AADB40" w:rsidR="006E2EE6" w:rsidRPr="00160929" w:rsidRDefault="006E2EE6" w:rsidP="00160929">
      <w:pPr>
        <w:spacing w:before="72" w:after="0" w:line="240" w:lineRule="auto"/>
        <w:ind w:left="110" w:right="-20" w:hanging="536"/>
        <w:rPr>
          <w:rFonts w:eastAsia="Arial" w:cs="Arial"/>
          <w:b/>
          <w:sz w:val="22"/>
          <w:szCs w:val="22"/>
        </w:rPr>
      </w:pPr>
      <w:r w:rsidRPr="00160929">
        <w:rPr>
          <w:rFonts w:eastAsia="Arial" w:cs="Arial"/>
          <w:b/>
          <w:sz w:val="22"/>
          <w:szCs w:val="22"/>
        </w:rPr>
        <w:t>Special resolutions</w:t>
      </w:r>
    </w:p>
    <w:p w14:paraId="5A026F93" w14:textId="77777777" w:rsidR="006E2EE6" w:rsidRPr="00160929" w:rsidRDefault="006E2EE6" w:rsidP="00160929">
      <w:pPr>
        <w:pStyle w:val="NormalWeb"/>
        <w:spacing w:before="120"/>
        <w:ind w:left="720" w:hanging="720"/>
        <w:jc w:val="both"/>
        <w:rPr>
          <w:rFonts w:cs="Arial"/>
          <w:sz w:val="22"/>
        </w:rPr>
      </w:pPr>
      <w:r w:rsidRPr="00160929">
        <w:rPr>
          <w:rFonts w:ascii="Arial" w:hAnsi="Arial" w:cs="Arial"/>
          <w:sz w:val="22"/>
          <w:szCs w:val="20"/>
        </w:rPr>
        <w:t xml:space="preserve">18. </w:t>
      </w:r>
      <w:r w:rsidRPr="00160929">
        <w:rPr>
          <w:rFonts w:ascii="Arial" w:hAnsi="Arial" w:cs="Arial"/>
          <w:sz w:val="22"/>
          <w:szCs w:val="20"/>
        </w:rPr>
        <w:tab/>
        <w:t xml:space="preserve">That, if resolution 16 granting authority to allot shares is passed, the Board be given power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 to be limited to: </w:t>
      </w:r>
    </w:p>
    <w:p w14:paraId="2A7F4939" w14:textId="2C89B8EF" w:rsidR="006E2EE6" w:rsidRPr="00160929" w:rsidRDefault="003666DE" w:rsidP="00160929">
      <w:pPr>
        <w:pStyle w:val="NormalWeb"/>
        <w:spacing w:before="120" w:after="0"/>
        <w:ind w:left="1134" w:hanging="425"/>
        <w:jc w:val="both"/>
        <w:rPr>
          <w:rFonts w:cs="Arial"/>
          <w:sz w:val="22"/>
        </w:rPr>
      </w:pPr>
      <w:r>
        <w:rPr>
          <w:rFonts w:ascii="Arial" w:hAnsi="Arial" w:cs="Arial"/>
          <w:sz w:val="22"/>
          <w:szCs w:val="20"/>
        </w:rPr>
        <w:t xml:space="preserve">(a) </w:t>
      </w:r>
      <w:r>
        <w:rPr>
          <w:rFonts w:ascii="Arial" w:hAnsi="Arial" w:cs="Arial"/>
          <w:sz w:val="22"/>
          <w:szCs w:val="20"/>
        </w:rPr>
        <w:tab/>
      </w:r>
      <w:r w:rsidR="006E2EE6" w:rsidRPr="00160929">
        <w:rPr>
          <w:rFonts w:ascii="Arial" w:hAnsi="Arial" w:cs="Arial"/>
          <w:sz w:val="22"/>
          <w:szCs w:val="20"/>
        </w:rPr>
        <w:t xml:space="preserve">the allotment of equity securities and sale of treasury shares in connection with an offer of, or invitation to apply for, equity securities (but in the case of the authority granted under paragraph (b) of resolution 16, by way of a rights issue only): </w:t>
      </w:r>
    </w:p>
    <w:p w14:paraId="7028DBFB" w14:textId="7F497D7F" w:rsidR="006E2EE6" w:rsidRPr="00160929" w:rsidRDefault="006E2EE6" w:rsidP="00160929">
      <w:pPr>
        <w:pStyle w:val="NormalWeb"/>
        <w:spacing w:before="120" w:after="0"/>
        <w:ind w:left="1560" w:hanging="426"/>
        <w:jc w:val="both"/>
        <w:rPr>
          <w:rFonts w:cs="Arial"/>
          <w:sz w:val="22"/>
        </w:rPr>
      </w:pPr>
      <w:r w:rsidRPr="00160929">
        <w:rPr>
          <w:rFonts w:ascii="Arial" w:hAnsi="Arial" w:cs="Arial"/>
          <w:sz w:val="22"/>
          <w:szCs w:val="20"/>
        </w:rPr>
        <w:t xml:space="preserve">(1) </w:t>
      </w:r>
      <w:r w:rsidR="008F10A2">
        <w:rPr>
          <w:rFonts w:ascii="Arial" w:hAnsi="Arial" w:cs="Arial"/>
          <w:sz w:val="22"/>
          <w:szCs w:val="20"/>
        </w:rPr>
        <w:tab/>
      </w:r>
      <w:r w:rsidRPr="00160929">
        <w:rPr>
          <w:rFonts w:ascii="Arial" w:hAnsi="Arial" w:cs="Arial"/>
          <w:sz w:val="22"/>
          <w:szCs w:val="20"/>
        </w:rPr>
        <w:t>to ordinary shareholders in proportion (as nearly as may be practicable)</w:t>
      </w:r>
      <w:r w:rsidR="008F10A2">
        <w:rPr>
          <w:rFonts w:ascii="Arial" w:hAnsi="Arial" w:cs="Arial"/>
          <w:sz w:val="22"/>
          <w:szCs w:val="20"/>
        </w:rPr>
        <w:t xml:space="preserve"> </w:t>
      </w:r>
      <w:r w:rsidRPr="00160929">
        <w:rPr>
          <w:rFonts w:ascii="Arial" w:hAnsi="Arial" w:cs="Arial"/>
          <w:sz w:val="22"/>
          <w:szCs w:val="20"/>
        </w:rPr>
        <w:t xml:space="preserve">to their existing holdings; and </w:t>
      </w:r>
    </w:p>
    <w:p w14:paraId="6A8C28F0" w14:textId="427808BF" w:rsidR="006E2EE6" w:rsidRPr="00160929" w:rsidRDefault="006E2EE6" w:rsidP="00160929">
      <w:pPr>
        <w:pStyle w:val="NormalWeb"/>
        <w:spacing w:before="120" w:after="0"/>
        <w:ind w:left="1560" w:hanging="426"/>
        <w:jc w:val="both"/>
        <w:rPr>
          <w:rFonts w:cs="Arial"/>
          <w:sz w:val="22"/>
        </w:rPr>
      </w:pPr>
      <w:r w:rsidRPr="00160929">
        <w:rPr>
          <w:rFonts w:ascii="Arial" w:hAnsi="Arial" w:cs="Arial"/>
          <w:sz w:val="22"/>
          <w:szCs w:val="20"/>
        </w:rPr>
        <w:t xml:space="preserve">(2) </w:t>
      </w:r>
      <w:r w:rsidR="008F10A2">
        <w:rPr>
          <w:rFonts w:ascii="Arial" w:hAnsi="Arial" w:cs="Arial"/>
          <w:sz w:val="22"/>
          <w:szCs w:val="20"/>
        </w:rPr>
        <w:tab/>
      </w:r>
      <w:r w:rsidRPr="00160929">
        <w:rPr>
          <w:rFonts w:ascii="Arial" w:hAnsi="Arial" w:cs="Arial"/>
          <w:sz w:val="22"/>
          <w:szCs w:val="20"/>
        </w:rPr>
        <w:t xml:space="preserve">to holders of other equity securities, as required by the rights of those securities, or as the Board otherwise considers necessary, </w:t>
      </w:r>
    </w:p>
    <w:p w14:paraId="1E0B69AA" w14:textId="1DE98A0C" w:rsidR="006E2EE6" w:rsidRPr="00160929" w:rsidRDefault="008F10A2" w:rsidP="00160929">
      <w:pPr>
        <w:pStyle w:val="NormalWeb"/>
        <w:tabs>
          <w:tab w:val="left" w:pos="1134"/>
        </w:tabs>
        <w:spacing w:before="120" w:after="0"/>
        <w:ind w:left="1276"/>
        <w:jc w:val="both"/>
        <w:rPr>
          <w:rFonts w:cs="Arial"/>
          <w:sz w:val="22"/>
        </w:rPr>
      </w:pPr>
      <w:r>
        <w:rPr>
          <w:rFonts w:ascii="Arial" w:hAnsi="Arial" w:cs="Arial"/>
          <w:sz w:val="22"/>
          <w:szCs w:val="20"/>
        </w:rPr>
        <w:t>a</w:t>
      </w:r>
      <w:r w:rsidR="006E2EE6" w:rsidRPr="00160929">
        <w:rPr>
          <w:rFonts w:ascii="Arial" w:hAnsi="Arial" w:cs="Arial"/>
          <w:sz w:val="22"/>
          <w:szCs w:val="20"/>
        </w:rPr>
        <w:t xml:space="preserve">nd so that the Board may impose any limits or restrictions and make any arrangements which it considers necessary or appropriate to deal with treasury shares, fractional entitlements, record dates, legal, </w:t>
      </w:r>
      <w:proofErr w:type="gramStart"/>
      <w:r w:rsidR="006E2EE6" w:rsidRPr="00160929">
        <w:rPr>
          <w:rFonts w:ascii="Arial" w:hAnsi="Arial" w:cs="Arial"/>
          <w:sz w:val="22"/>
          <w:szCs w:val="20"/>
        </w:rPr>
        <w:t>regulatory</w:t>
      </w:r>
      <w:proofErr w:type="gramEnd"/>
      <w:r w:rsidR="006E2EE6" w:rsidRPr="00160929">
        <w:rPr>
          <w:rFonts w:ascii="Arial" w:hAnsi="Arial" w:cs="Arial"/>
          <w:sz w:val="22"/>
          <w:szCs w:val="20"/>
        </w:rPr>
        <w:t xml:space="preserve"> or practical problems in, or under the laws of, any territory or any other matter; and </w:t>
      </w:r>
    </w:p>
    <w:p w14:paraId="36E15681" w14:textId="06F5A4A4" w:rsidR="006E2EE6" w:rsidRPr="00160929" w:rsidRDefault="003666DE" w:rsidP="00160929">
      <w:pPr>
        <w:pStyle w:val="NormalWeb"/>
        <w:spacing w:before="120" w:after="0"/>
        <w:ind w:left="1134" w:hanging="425"/>
        <w:jc w:val="both"/>
        <w:rPr>
          <w:rFonts w:cs="Arial"/>
          <w:sz w:val="22"/>
        </w:rPr>
      </w:pPr>
      <w:r>
        <w:rPr>
          <w:rFonts w:ascii="Arial" w:hAnsi="Arial" w:cs="Arial"/>
          <w:sz w:val="22"/>
          <w:szCs w:val="20"/>
        </w:rPr>
        <w:t>(</w:t>
      </w:r>
      <w:r w:rsidR="006E2EE6" w:rsidRPr="00160929">
        <w:rPr>
          <w:rFonts w:ascii="Arial" w:hAnsi="Arial" w:cs="Arial"/>
          <w:sz w:val="22"/>
          <w:szCs w:val="20"/>
        </w:rPr>
        <w:t xml:space="preserve">b) </w:t>
      </w:r>
      <w:r w:rsidR="006E2EE6" w:rsidRPr="00160929">
        <w:rPr>
          <w:rFonts w:ascii="Arial" w:hAnsi="Arial" w:cs="Arial"/>
          <w:sz w:val="22"/>
          <w:szCs w:val="20"/>
        </w:rPr>
        <w:tab/>
        <w:t xml:space="preserve">in the case of authority granted under paragraph (a) of resolution 16 and/or in the case of any sale of treasury shares, the allotment of equity securities or sale of treasury shares (otherwise than under paragraph (a) above) up to a nominal amount of £1,880,795, </w:t>
      </w:r>
    </w:p>
    <w:p w14:paraId="22DB3FF5" w14:textId="0FA65A10" w:rsidR="006E2EE6" w:rsidRPr="00160929" w:rsidRDefault="006E2EE6" w:rsidP="00160929">
      <w:pPr>
        <w:pStyle w:val="NormalWeb"/>
        <w:spacing w:before="120" w:after="0"/>
        <w:ind w:left="709"/>
        <w:jc w:val="both"/>
        <w:rPr>
          <w:rFonts w:cs="Arial"/>
          <w:sz w:val="22"/>
          <w:szCs w:val="20"/>
        </w:rPr>
      </w:pPr>
      <w:r w:rsidRPr="00160929">
        <w:rPr>
          <w:rFonts w:ascii="Arial" w:hAnsi="Arial" w:cs="Arial"/>
          <w:sz w:val="22"/>
          <w:szCs w:val="20"/>
        </w:rPr>
        <w:t>such power to apply until the conclusion of the next annual general meeting of the Company (or, if earlier, until the close of business on 16 February 2025) 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w:t>
      </w:r>
    </w:p>
    <w:p w14:paraId="5AE5FDC0" w14:textId="15EF92B1" w:rsidR="006E2EE6" w:rsidRPr="00160929" w:rsidRDefault="006E2EE6" w:rsidP="00160929">
      <w:pPr>
        <w:pStyle w:val="NormalWeb"/>
        <w:spacing w:before="120"/>
        <w:ind w:left="720" w:hanging="720"/>
        <w:jc w:val="both"/>
        <w:rPr>
          <w:rFonts w:cs="Arial"/>
          <w:sz w:val="22"/>
        </w:rPr>
      </w:pPr>
      <w:r w:rsidRPr="00160929">
        <w:rPr>
          <w:rFonts w:ascii="Arial" w:hAnsi="Arial" w:cs="Arial"/>
          <w:sz w:val="22"/>
          <w:szCs w:val="20"/>
        </w:rPr>
        <w:t xml:space="preserve">19. </w:t>
      </w:r>
      <w:r w:rsidRPr="00160929">
        <w:rPr>
          <w:rFonts w:ascii="Arial" w:hAnsi="Arial" w:cs="Arial"/>
          <w:sz w:val="22"/>
          <w:szCs w:val="20"/>
        </w:rPr>
        <w:tab/>
        <w:t xml:space="preserve">That, if resolution 16 granting authority to allot shares is passed, the Board be given the power in addition to any power granted under resolution 18 to allot equity securities (as defined in the Companies Act 2006) for cash under the authority given by that resolution and/or to sell ordinary shares held by the </w:t>
      </w:r>
      <w:r w:rsidRPr="00160929">
        <w:rPr>
          <w:rFonts w:ascii="Arial" w:hAnsi="Arial" w:cs="Arial"/>
          <w:sz w:val="22"/>
          <w:szCs w:val="20"/>
        </w:rPr>
        <w:lastRenderedPageBreak/>
        <w:t xml:space="preserve">Company as treasury shares for cash as if section 561 of the Companies Act 2006 did not apply to any such allotment or sale, such power to be: </w:t>
      </w:r>
    </w:p>
    <w:p w14:paraId="48414036" w14:textId="77777777" w:rsidR="008F10A2" w:rsidRDefault="006E2EE6" w:rsidP="008F10A2">
      <w:pPr>
        <w:pStyle w:val="NormalWeb"/>
        <w:spacing w:before="120" w:after="0"/>
        <w:ind w:left="1134" w:hanging="425"/>
        <w:jc w:val="both"/>
        <w:rPr>
          <w:rFonts w:ascii="Arial" w:hAnsi="Arial" w:cs="Arial"/>
          <w:sz w:val="22"/>
          <w:szCs w:val="22"/>
        </w:rPr>
      </w:pPr>
      <w:r w:rsidRPr="00160929">
        <w:rPr>
          <w:rFonts w:ascii="Arial" w:hAnsi="Arial" w:cs="Arial"/>
          <w:sz w:val="22"/>
          <w:szCs w:val="22"/>
        </w:rPr>
        <w:t>(a)</w:t>
      </w:r>
      <w:r w:rsidRPr="00160929">
        <w:rPr>
          <w:rFonts w:ascii="Arial" w:hAnsi="Arial" w:cs="Arial"/>
          <w:sz w:val="22"/>
          <w:szCs w:val="22"/>
        </w:rPr>
        <w:tab/>
        <w:t>limited to the allotment of equity securities or sale of treasury shares up to a nominal amount of £1,880,795; and</w:t>
      </w:r>
    </w:p>
    <w:p w14:paraId="750F63D9" w14:textId="3BEA9410" w:rsidR="00E21A8C" w:rsidRDefault="006E2EE6" w:rsidP="00160929">
      <w:pPr>
        <w:pStyle w:val="NormalWeb"/>
        <w:spacing w:before="120" w:after="0"/>
        <w:ind w:left="1134" w:hanging="425"/>
        <w:jc w:val="both"/>
        <w:rPr>
          <w:rFonts w:cs="Arial"/>
          <w:sz w:val="22"/>
          <w:szCs w:val="22"/>
        </w:rPr>
      </w:pPr>
      <w:r w:rsidRPr="00160929">
        <w:rPr>
          <w:rFonts w:ascii="Arial" w:hAnsi="Arial" w:cs="Arial"/>
          <w:sz w:val="22"/>
          <w:szCs w:val="22"/>
        </w:rPr>
        <w:t xml:space="preserve">(b) </w:t>
      </w:r>
      <w:r w:rsidR="008F10A2">
        <w:rPr>
          <w:rFonts w:ascii="Arial" w:hAnsi="Arial" w:cs="Arial"/>
          <w:sz w:val="22"/>
          <w:szCs w:val="22"/>
        </w:rPr>
        <w:tab/>
      </w:r>
      <w:r w:rsidRPr="00160929">
        <w:rPr>
          <w:rFonts w:ascii="Arial" w:hAnsi="Arial" w:cs="Arial"/>
          <w:sz w:val="22"/>
          <w:szCs w:val="22"/>
        </w:rPr>
        <w:t xml:space="preserve">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most recently published by the Pre-Emption Group prior to the date of this notice, such power to apply until the conclusion of the next annual general meeting of the Company (or, if earlier, until the close of business on 16 February 2025) 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 </w:t>
      </w:r>
    </w:p>
    <w:p w14:paraId="73BEB7A2" w14:textId="476B557B" w:rsidR="00E21A8C" w:rsidRPr="00160929" w:rsidRDefault="006E2EE6" w:rsidP="00160929">
      <w:pPr>
        <w:pStyle w:val="NormalWeb"/>
        <w:spacing w:before="120"/>
        <w:ind w:left="720" w:hanging="720"/>
        <w:jc w:val="both"/>
        <w:rPr>
          <w:rFonts w:cs="Arial"/>
          <w:sz w:val="22"/>
          <w:szCs w:val="20"/>
        </w:rPr>
      </w:pPr>
      <w:r w:rsidRPr="00160929">
        <w:rPr>
          <w:rFonts w:ascii="Arial" w:hAnsi="Arial" w:cs="Arial"/>
          <w:sz w:val="22"/>
          <w:szCs w:val="20"/>
        </w:rPr>
        <w:t xml:space="preserve">20. </w:t>
      </w:r>
      <w:r w:rsidR="008F10A2">
        <w:rPr>
          <w:rFonts w:ascii="Arial" w:hAnsi="Arial" w:cs="Arial"/>
          <w:sz w:val="22"/>
          <w:szCs w:val="20"/>
        </w:rPr>
        <w:tab/>
      </w:r>
      <w:r w:rsidRPr="00160929">
        <w:rPr>
          <w:rFonts w:ascii="Arial" w:hAnsi="Arial" w:cs="Arial"/>
          <w:sz w:val="22"/>
          <w:szCs w:val="20"/>
        </w:rPr>
        <w:t>That, if resolution 17 granting authority to allot AT1 Securities is passed, the Board be given the power, in addition to any powers granted pursuant to resolutions 18 and 19, to allot equity securities (as defined in section 560 of the Companies Act 2006) for cash under the authority given by resolution 17 up to an aggregate nominal amount of £7,523,182 in relation to the issue of AT1 Securities as if section 561 of the Companies Act 2006 did not apply to any such allotment or sale, such power to apply until the conclusion of the next annual general meeting of the Company (or, if earlier, until the close of business on 16 February 2025) but, in each case, during this period the Company may make offers and enter into agreements which would, or might, require shares to be allotted or rights to subscribe for or convert securities into shares to be granted after the power ends and the Board may allot shares or grant rights to subscribe for or convert securities into shares under any such offer or agreement as if the power had not ended.</w:t>
      </w:r>
    </w:p>
    <w:p w14:paraId="67B93B0F" w14:textId="77777777" w:rsidR="00160929" w:rsidRDefault="006E2EE6" w:rsidP="00160929">
      <w:pPr>
        <w:pStyle w:val="NormalWeb"/>
        <w:spacing w:before="120"/>
        <w:ind w:left="720" w:hanging="720"/>
        <w:jc w:val="both"/>
        <w:rPr>
          <w:rFonts w:ascii="Arial" w:hAnsi="Arial" w:cs="Arial"/>
          <w:sz w:val="22"/>
          <w:szCs w:val="20"/>
        </w:rPr>
      </w:pPr>
      <w:r w:rsidRPr="00160929">
        <w:rPr>
          <w:rFonts w:ascii="Arial" w:hAnsi="Arial" w:cs="Arial"/>
          <w:sz w:val="22"/>
          <w:szCs w:val="20"/>
        </w:rPr>
        <w:t xml:space="preserve">21. </w:t>
      </w:r>
      <w:r w:rsidR="008F10A2">
        <w:rPr>
          <w:rFonts w:ascii="Arial" w:hAnsi="Arial" w:cs="Arial"/>
          <w:sz w:val="22"/>
          <w:szCs w:val="20"/>
        </w:rPr>
        <w:tab/>
      </w:r>
      <w:r w:rsidRPr="00160929">
        <w:rPr>
          <w:rFonts w:ascii="Arial" w:hAnsi="Arial" w:cs="Arial"/>
          <w:sz w:val="22"/>
          <w:szCs w:val="20"/>
        </w:rPr>
        <w:t xml:space="preserve">That the Company be </w:t>
      </w:r>
      <w:proofErr w:type="spellStart"/>
      <w:r w:rsidRPr="00160929">
        <w:rPr>
          <w:rFonts w:ascii="Arial" w:hAnsi="Arial" w:cs="Arial"/>
          <w:sz w:val="22"/>
          <w:szCs w:val="20"/>
        </w:rPr>
        <w:t>authorised</w:t>
      </w:r>
      <w:proofErr w:type="spellEnd"/>
      <w:r w:rsidRPr="00160929">
        <w:rPr>
          <w:rFonts w:ascii="Arial" w:hAnsi="Arial" w:cs="Arial"/>
          <w:sz w:val="22"/>
          <w:szCs w:val="20"/>
        </w:rPr>
        <w:t xml:space="preserve"> for the purposes of section 701 of the Companies Act 2006 to make one or more market purchases (as defined in section 693(4) of the Companies Act 2006) of its ordinary shares of 25p each, such power to be limited: </w:t>
      </w:r>
    </w:p>
    <w:p w14:paraId="66700C36" w14:textId="73916C40" w:rsidR="00160929" w:rsidRPr="00160929" w:rsidRDefault="006E2EE6" w:rsidP="00160929">
      <w:pPr>
        <w:pStyle w:val="NormalWeb"/>
        <w:spacing w:before="120" w:after="0"/>
        <w:ind w:left="1134" w:hanging="425"/>
        <w:jc w:val="both"/>
        <w:rPr>
          <w:rFonts w:ascii="Arial" w:hAnsi="Arial" w:cs="Arial"/>
          <w:sz w:val="22"/>
          <w:szCs w:val="22"/>
        </w:rPr>
      </w:pPr>
      <w:r w:rsidRPr="00160929">
        <w:rPr>
          <w:rFonts w:ascii="Arial" w:hAnsi="Arial" w:cs="Arial"/>
          <w:sz w:val="22"/>
          <w:szCs w:val="20"/>
        </w:rPr>
        <w:t>(</w:t>
      </w:r>
      <w:r w:rsidRPr="00160929">
        <w:rPr>
          <w:rFonts w:ascii="Arial" w:hAnsi="Arial" w:cs="Arial"/>
          <w:sz w:val="22"/>
          <w:szCs w:val="22"/>
        </w:rPr>
        <w:t xml:space="preserve">a) </w:t>
      </w:r>
      <w:r w:rsidR="00160929" w:rsidRPr="00160929">
        <w:rPr>
          <w:rFonts w:ascii="Arial" w:hAnsi="Arial" w:cs="Arial"/>
          <w:sz w:val="22"/>
          <w:szCs w:val="22"/>
        </w:rPr>
        <w:tab/>
      </w:r>
      <w:r w:rsidRPr="00160929">
        <w:rPr>
          <w:rFonts w:ascii="Arial" w:hAnsi="Arial" w:cs="Arial"/>
          <w:sz w:val="22"/>
          <w:szCs w:val="22"/>
        </w:rPr>
        <w:t xml:space="preserve">to a maximum number of 15,046,364 ordinary </w:t>
      </w:r>
      <w:proofErr w:type="gramStart"/>
      <w:r w:rsidRPr="00160929">
        <w:rPr>
          <w:rFonts w:ascii="Arial" w:hAnsi="Arial" w:cs="Arial"/>
          <w:sz w:val="22"/>
          <w:szCs w:val="22"/>
        </w:rPr>
        <w:t>shares;</w:t>
      </w:r>
      <w:proofErr w:type="gramEnd"/>
      <w:r w:rsidRPr="00160929">
        <w:rPr>
          <w:rFonts w:ascii="Arial" w:hAnsi="Arial" w:cs="Arial"/>
          <w:sz w:val="22"/>
          <w:szCs w:val="22"/>
        </w:rPr>
        <w:t xml:space="preserve"> </w:t>
      </w:r>
    </w:p>
    <w:p w14:paraId="782A3EDC" w14:textId="77777777" w:rsidR="00160929" w:rsidRDefault="006E2EE6" w:rsidP="00160929">
      <w:pPr>
        <w:pStyle w:val="NormalWeb"/>
        <w:spacing w:before="120" w:after="0"/>
        <w:ind w:left="1134" w:hanging="425"/>
        <w:jc w:val="both"/>
        <w:rPr>
          <w:rFonts w:ascii="Arial" w:hAnsi="Arial" w:cs="Arial"/>
          <w:sz w:val="22"/>
          <w:szCs w:val="22"/>
        </w:rPr>
      </w:pPr>
      <w:r w:rsidRPr="00160929">
        <w:rPr>
          <w:rFonts w:ascii="Arial" w:hAnsi="Arial" w:cs="Arial"/>
          <w:sz w:val="22"/>
          <w:szCs w:val="22"/>
        </w:rPr>
        <w:t>(b)</w:t>
      </w:r>
      <w:r w:rsidR="00160929" w:rsidRPr="00160929">
        <w:rPr>
          <w:rFonts w:ascii="Arial" w:hAnsi="Arial" w:cs="Arial"/>
          <w:sz w:val="22"/>
          <w:szCs w:val="22"/>
        </w:rPr>
        <w:tab/>
      </w:r>
      <w:r w:rsidRPr="00160929">
        <w:rPr>
          <w:rFonts w:ascii="Arial" w:hAnsi="Arial" w:cs="Arial"/>
          <w:sz w:val="22"/>
          <w:szCs w:val="22"/>
        </w:rPr>
        <w:t xml:space="preserve"> by the condition that the minimum price which may be paid for an ordinary share is the nominal amount of that share and the maximum price which may be paid for each ordinary share is the highest of: </w:t>
      </w:r>
    </w:p>
    <w:p w14:paraId="0464F45F" w14:textId="77777777" w:rsidR="00160929" w:rsidRDefault="006E2EE6" w:rsidP="00160929">
      <w:pPr>
        <w:pStyle w:val="NormalWeb"/>
        <w:spacing w:before="120" w:after="0"/>
        <w:ind w:left="1134"/>
        <w:jc w:val="both"/>
        <w:rPr>
          <w:rFonts w:ascii="Arial" w:hAnsi="Arial" w:cs="Arial"/>
          <w:sz w:val="22"/>
          <w:szCs w:val="20"/>
        </w:rPr>
      </w:pPr>
      <w:r w:rsidRPr="00160929">
        <w:rPr>
          <w:rFonts w:ascii="Arial" w:hAnsi="Arial" w:cs="Arial"/>
          <w:sz w:val="22"/>
          <w:szCs w:val="22"/>
        </w:rPr>
        <w:t>(</w:t>
      </w:r>
      <w:r w:rsidRPr="00160929">
        <w:rPr>
          <w:rFonts w:ascii="Arial" w:hAnsi="Arial" w:cs="Arial"/>
          <w:sz w:val="22"/>
          <w:szCs w:val="20"/>
        </w:rPr>
        <w:t xml:space="preserve">1) an amount equal to 5% above the average market value of an ordinary share for the five business days immediately preceding the day on which that ordinary share is contracted to be purchased; and </w:t>
      </w:r>
    </w:p>
    <w:p w14:paraId="2858D847" w14:textId="77777777" w:rsidR="00160929" w:rsidRDefault="006E2EE6" w:rsidP="00160929">
      <w:pPr>
        <w:pStyle w:val="NormalWeb"/>
        <w:spacing w:before="120" w:after="0"/>
        <w:ind w:left="1134"/>
        <w:jc w:val="both"/>
        <w:rPr>
          <w:rFonts w:ascii="Arial" w:hAnsi="Arial" w:cs="Arial"/>
          <w:sz w:val="22"/>
          <w:szCs w:val="20"/>
        </w:rPr>
      </w:pPr>
      <w:r w:rsidRPr="00160929">
        <w:rPr>
          <w:rFonts w:ascii="Arial" w:hAnsi="Arial" w:cs="Arial"/>
          <w:sz w:val="22"/>
          <w:szCs w:val="20"/>
        </w:rPr>
        <w:t xml:space="preserve">(2) the higher of the price of the last independent trade and the highest current independent purchase bid on the London Stock Exchange Trading System, </w:t>
      </w:r>
    </w:p>
    <w:p w14:paraId="50DED3C6" w14:textId="6DAD31B5" w:rsidR="00E21A8C" w:rsidRPr="00160929" w:rsidRDefault="006E2EE6" w:rsidP="00160929">
      <w:pPr>
        <w:pStyle w:val="NormalWeb"/>
        <w:spacing w:before="120" w:after="0"/>
        <w:ind w:left="720"/>
        <w:jc w:val="both"/>
        <w:rPr>
          <w:rFonts w:cs="Arial"/>
          <w:sz w:val="22"/>
          <w:szCs w:val="20"/>
        </w:rPr>
      </w:pPr>
      <w:r w:rsidRPr="00160929">
        <w:rPr>
          <w:rFonts w:ascii="Arial" w:hAnsi="Arial" w:cs="Arial"/>
          <w:sz w:val="22"/>
          <w:szCs w:val="20"/>
        </w:rPr>
        <w:t>in each case, exclusive of expenses, such authority to apply until the conclusion of the next annual</w:t>
      </w:r>
      <w:r w:rsidRPr="00160929">
        <w:rPr>
          <w:rFonts w:ascii="Arial" w:hAnsi="Arial" w:cs="Arial"/>
          <w:sz w:val="22"/>
          <w:szCs w:val="22"/>
        </w:rPr>
        <w:t xml:space="preserve"> general meeting of the Company (or, if earlier, until the close of business on 16 February 2025) but during this period the Company may enter into a contract to purchase ordinary shares which will or may</w:t>
      </w:r>
      <w:r w:rsidRPr="00160929">
        <w:rPr>
          <w:rFonts w:ascii="Arial" w:hAnsi="Arial" w:cs="Arial"/>
          <w:sz w:val="22"/>
          <w:szCs w:val="20"/>
        </w:rPr>
        <w:t xml:space="preserve"> be completed or executed wholly or partly after the authority ends and the Company may purchase ordinary shares pursuant to any such contract as if the authority had not ended.</w:t>
      </w:r>
    </w:p>
    <w:p w14:paraId="1C883D09" w14:textId="753594AC" w:rsidR="00E21A8C" w:rsidRPr="00160929" w:rsidRDefault="006E2EE6" w:rsidP="00160929">
      <w:pPr>
        <w:pStyle w:val="NormalWeb"/>
        <w:spacing w:before="120"/>
        <w:ind w:left="720" w:hanging="720"/>
        <w:jc w:val="both"/>
        <w:rPr>
          <w:rFonts w:ascii="Arial" w:hAnsi="Arial" w:cs="Arial"/>
          <w:sz w:val="22"/>
        </w:rPr>
      </w:pPr>
      <w:r w:rsidRPr="00160929">
        <w:rPr>
          <w:rFonts w:ascii="Arial" w:eastAsia="Arial" w:hAnsi="Arial" w:cs="Arial"/>
          <w:sz w:val="22"/>
        </w:rPr>
        <w:t xml:space="preserve">22. </w:t>
      </w:r>
      <w:r w:rsidR="008F10A2" w:rsidRPr="00160929">
        <w:rPr>
          <w:rFonts w:ascii="Arial" w:eastAsia="Arial" w:hAnsi="Arial" w:cs="Arial"/>
          <w:sz w:val="22"/>
        </w:rPr>
        <w:tab/>
      </w:r>
      <w:r w:rsidRPr="00160929">
        <w:rPr>
          <w:rFonts w:ascii="Arial" w:eastAsia="Arial" w:hAnsi="Arial" w:cs="Arial"/>
          <w:sz w:val="22"/>
        </w:rPr>
        <w:t>That a general meeting other than an annual general meeting may be called on not less than 14 clear days’ notice</w:t>
      </w:r>
      <w:r w:rsidRPr="00160929">
        <w:rPr>
          <w:rFonts w:ascii="Arial" w:eastAsia="Arial" w:hAnsi="Arial" w:cs="Arial"/>
          <w:kern w:val="16"/>
          <w:sz w:val="22"/>
          <w:lang w:val="en-GB" w:eastAsia="zh-CN"/>
        </w:rPr>
        <w:t>.</w:t>
      </w:r>
    </w:p>
    <w:p w14:paraId="32887180" w14:textId="08FC9597" w:rsidR="00DC574A" w:rsidRPr="00160929" w:rsidRDefault="00DC574A" w:rsidP="00160929">
      <w:pPr>
        <w:rPr>
          <w:rFonts w:eastAsia="Arial" w:cs="Arial"/>
          <w:sz w:val="22"/>
          <w:szCs w:val="22"/>
        </w:rPr>
      </w:pPr>
    </w:p>
    <w:sectPr w:rsidR="00DC574A" w:rsidRPr="00160929" w:rsidSect="00F954AC">
      <w:headerReference w:type="default" r:id="rId7"/>
      <w:pgSz w:w="11907" w:h="16840" w:code="9"/>
      <w:pgMar w:top="1418" w:right="1701" w:bottom="1418" w:left="1701"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9287" w14:textId="77777777" w:rsidR="00B260B8" w:rsidRDefault="00B260B8">
      <w:r>
        <w:separator/>
      </w:r>
    </w:p>
  </w:endnote>
  <w:endnote w:type="continuationSeparator" w:id="0">
    <w:p w14:paraId="2F3AC149" w14:textId="77777777" w:rsidR="00B260B8" w:rsidRDefault="00B2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Med">
    <w:altName w:val="HelveticaNeueLT Std Med"/>
    <w:panose1 w:val="020B0604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02D0" w14:textId="77777777" w:rsidR="00B260B8" w:rsidRDefault="00B260B8">
      <w:pPr>
        <w:pBdr>
          <w:bottom w:val="single" w:sz="4" w:space="1" w:color="auto"/>
        </w:pBdr>
      </w:pPr>
    </w:p>
  </w:footnote>
  <w:footnote w:type="continuationSeparator" w:id="0">
    <w:p w14:paraId="110A6D09" w14:textId="77777777" w:rsidR="00B260B8" w:rsidRDefault="00B260B8">
      <w:r>
        <w:continuationSeparator/>
      </w:r>
    </w:p>
  </w:footnote>
  <w:footnote w:type="continuationNotice" w:id="1">
    <w:p w14:paraId="6CB4368C" w14:textId="77777777" w:rsidR="00B260B8" w:rsidRDefault="00B26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83F7" w14:textId="1AA32521" w:rsidR="00B260B8" w:rsidRDefault="00B260B8">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87C5A">
      <w:rPr>
        <w:rStyle w:val="PageNumber"/>
        <w:noProof/>
      </w:rPr>
      <w:t>4</w:t>
    </w:r>
    <w:r>
      <w:rPr>
        <w:rStyle w:val="PageNumber"/>
      </w:rPr>
      <w:fldChar w:fldCharType="end"/>
    </w:r>
  </w:p>
  <w:p w14:paraId="56F09370" w14:textId="77777777" w:rsidR="00B260B8" w:rsidRDefault="00B260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2EAA5C"/>
    <w:lvl w:ilvl="0">
      <w:start w:val="1"/>
      <w:numFmt w:val="decimal"/>
      <w:pStyle w:val="Heading1"/>
      <w:lvlText w:val="%1."/>
      <w:lvlJc w:val="left"/>
      <w:pPr>
        <w:tabs>
          <w:tab w:val="num" w:pos="709"/>
        </w:tabs>
        <w:ind w:left="709" w:hanging="708"/>
      </w:pPr>
    </w:lvl>
    <w:lvl w:ilvl="1">
      <w:start w:val="1"/>
      <w:numFmt w:val="decimal"/>
      <w:pStyle w:val="Heading2"/>
      <w:lvlText w:val="%1.%2"/>
      <w:lvlJc w:val="left"/>
      <w:pPr>
        <w:tabs>
          <w:tab w:val="num" w:pos="709"/>
        </w:tabs>
        <w:ind w:left="709" w:hanging="709"/>
      </w:pPr>
    </w:lvl>
    <w:lvl w:ilvl="2">
      <w:start w:val="1"/>
      <w:numFmt w:val="upperLetter"/>
      <w:pStyle w:val="Heading3"/>
      <w:lvlText w:val="(%3)"/>
      <w:lvlJc w:val="left"/>
      <w:pPr>
        <w:tabs>
          <w:tab w:val="num" w:pos="1418"/>
        </w:tabs>
        <w:ind w:left="1418" w:hanging="709"/>
      </w:pPr>
    </w:lvl>
    <w:lvl w:ilvl="3">
      <w:start w:val="1"/>
      <w:numFmt w:val="lowerRoman"/>
      <w:pStyle w:val="Heading4"/>
      <w:lvlText w:val="(%4)"/>
      <w:lvlJc w:val="left"/>
      <w:pPr>
        <w:tabs>
          <w:tab w:val="num" w:pos="2138"/>
        </w:tabs>
        <w:ind w:left="2126" w:hanging="708"/>
      </w:pPr>
    </w:lvl>
    <w:lvl w:ilvl="4">
      <w:start w:val="1"/>
      <w:numFmt w:val="lowerLetter"/>
      <w:pStyle w:val="Heading5"/>
      <w:lvlText w:val="(%5)"/>
      <w:lvlJc w:val="left"/>
      <w:pPr>
        <w:tabs>
          <w:tab w:val="num" w:pos="2835"/>
        </w:tabs>
        <w:ind w:left="2835" w:hanging="709"/>
      </w:pPr>
    </w:lvl>
    <w:lvl w:ilvl="5">
      <w:start w:val="1"/>
      <w:numFmt w:val="decimal"/>
      <w:pStyle w:val="Heading6"/>
      <w:lvlText w:val="(%6)"/>
      <w:lvlJc w:val="left"/>
      <w:pPr>
        <w:tabs>
          <w:tab w:val="num" w:pos="3544"/>
        </w:tabs>
        <w:ind w:left="3544" w:hanging="709"/>
      </w:pPr>
    </w:lvl>
    <w:lvl w:ilvl="6">
      <w:start w:val="1"/>
      <w:numFmt w:val="upperLetter"/>
      <w:pStyle w:val="Heading7"/>
      <w:lvlText w:val="(%7)"/>
      <w:lvlJc w:val="left"/>
      <w:pPr>
        <w:tabs>
          <w:tab w:val="num" w:pos="4253"/>
        </w:tabs>
        <w:ind w:left="4253" w:hanging="709"/>
      </w:pPr>
    </w:lvl>
    <w:lvl w:ilvl="7">
      <w:start w:val="1"/>
      <w:numFmt w:val="decimal"/>
      <w:pStyle w:val="Heading8"/>
      <w:lvlText w:val="(%8)"/>
      <w:lvlJc w:val="left"/>
      <w:pPr>
        <w:tabs>
          <w:tab w:val="num" w:pos="4961"/>
        </w:tabs>
        <w:ind w:left="4961" w:hanging="708"/>
      </w:pPr>
    </w:lvl>
    <w:lvl w:ilvl="8">
      <w:start w:val="1"/>
      <w:numFmt w:val="lowerRoman"/>
      <w:pStyle w:val="Heading9"/>
      <w:lvlText w:val="(%9)"/>
      <w:lvlJc w:val="left"/>
      <w:pPr>
        <w:tabs>
          <w:tab w:val="num" w:pos="5681"/>
        </w:tabs>
        <w:ind w:left="5670" w:hanging="709"/>
      </w:pPr>
    </w:lvl>
  </w:abstractNum>
  <w:abstractNum w:abstractNumId="1" w15:restartNumberingAfterBreak="0">
    <w:nsid w:val="06330D96"/>
    <w:multiLevelType w:val="hybridMultilevel"/>
    <w:tmpl w:val="71ECEA5C"/>
    <w:lvl w:ilvl="0" w:tplc="CE80A0FC">
      <w:start w:val="1"/>
      <w:numFmt w:val="lowerLetter"/>
      <w:lvlText w:val="(%1)"/>
      <w:lvlJc w:val="left"/>
      <w:pPr>
        <w:ind w:left="830" w:hanging="360"/>
      </w:pPr>
      <w:rPr>
        <w:rFonts w:hint="default"/>
        <w:w w:val="81"/>
      </w:r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2" w15:restartNumberingAfterBreak="0">
    <w:nsid w:val="07353DB8"/>
    <w:multiLevelType w:val="hybridMultilevel"/>
    <w:tmpl w:val="7E9A7950"/>
    <w:lvl w:ilvl="0" w:tplc="ADA8AB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8C357F5"/>
    <w:multiLevelType w:val="hybridMultilevel"/>
    <w:tmpl w:val="053290D0"/>
    <w:lvl w:ilvl="0" w:tplc="ADA8AB16">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4" w15:restartNumberingAfterBreak="0">
    <w:nsid w:val="0C2F259D"/>
    <w:multiLevelType w:val="hybridMultilevel"/>
    <w:tmpl w:val="053290D0"/>
    <w:lvl w:ilvl="0" w:tplc="ADA8AB16">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5" w15:restartNumberingAfterBreak="0">
    <w:nsid w:val="0FD63C1A"/>
    <w:multiLevelType w:val="hybridMultilevel"/>
    <w:tmpl w:val="B3A2F900"/>
    <w:lvl w:ilvl="0" w:tplc="2FFA1724">
      <w:start w:val="1"/>
      <w:numFmt w:val="lowerLetter"/>
      <w:pStyle w:val="CLB-List-a"/>
      <w:lvlText w:val="(%1)"/>
      <w:lvlJc w:val="left"/>
      <w:pPr>
        <w:ind w:left="567" w:hanging="283"/>
      </w:pPr>
      <w:rPr>
        <w:rFonts w:hint="default"/>
      </w:rPr>
    </w:lvl>
    <w:lvl w:ilvl="1" w:tplc="6B5E973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70776"/>
    <w:multiLevelType w:val="hybridMultilevel"/>
    <w:tmpl w:val="7E9A7950"/>
    <w:lvl w:ilvl="0" w:tplc="ADA8AB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163A5287"/>
    <w:multiLevelType w:val="hybridMultilevel"/>
    <w:tmpl w:val="4920CD3E"/>
    <w:lvl w:ilvl="0" w:tplc="B04A7EF0">
      <w:start w:val="14"/>
      <w:numFmt w:val="decimal"/>
      <w:lvlText w:val="%1."/>
      <w:lvlJc w:val="left"/>
      <w:pPr>
        <w:ind w:left="567" w:hanging="567"/>
      </w:pPr>
      <w:rPr>
        <w:rFonts w:hint="default"/>
        <w:sz w:val="22"/>
      </w:rPr>
    </w:lvl>
    <w:lvl w:ilvl="1" w:tplc="08090019" w:tentative="1">
      <w:start w:val="1"/>
      <w:numFmt w:val="lowerLetter"/>
      <w:lvlText w:val="%2."/>
      <w:lvlJc w:val="left"/>
      <w:pPr>
        <w:ind w:left="1440" w:hanging="360"/>
      </w:pPr>
    </w:lvl>
    <w:lvl w:ilvl="2" w:tplc="0C349D16">
      <w:start w:val="1"/>
      <w:numFmt w:val="decimal"/>
      <w:lvlText w:val="(%3)"/>
      <w:lvlJc w:val="left"/>
      <w:pPr>
        <w:ind w:left="1134" w:hanging="567"/>
      </w:pPr>
      <w:rPr>
        <w:rFonts w:hint="default"/>
        <w:color w:val="231F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277CC"/>
    <w:multiLevelType w:val="hybridMultilevel"/>
    <w:tmpl w:val="0BEA5FB8"/>
    <w:lvl w:ilvl="0" w:tplc="4DE6FEDC">
      <w:start w:val="3"/>
      <w:numFmt w:val="decimal"/>
      <w:lvlText w:val="%1."/>
      <w:lvlJc w:val="left"/>
      <w:pPr>
        <w:ind w:left="567" w:hanging="567"/>
      </w:pPr>
      <w:rPr>
        <w:rFonts w:hint="default"/>
        <w:sz w:val="22"/>
      </w:rPr>
    </w:lvl>
    <w:lvl w:ilvl="1" w:tplc="6DEEC972">
      <w:start w:val="1"/>
      <w:numFmt w:val="lowerLetter"/>
      <w:lvlText w:val="(%2)"/>
      <w:lvlJc w:val="left"/>
      <w:pPr>
        <w:ind w:left="1275" w:hanging="555"/>
      </w:pPr>
      <w:rPr>
        <w:rFonts w:hint="default"/>
        <w:color w:val="231F20"/>
        <w:w w:val="81"/>
      </w:rPr>
    </w:lvl>
    <w:lvl w:ilvl="2" w:tplc="63C2851E">
      <w:start w:val="1"/>
      <w:numFmt w:val="decimal"/>
      <w:lvlText w:val="(%3)"/>
      <w:lvlJc w:val="left"/>
      <w:pPr>
        <w:ind w:left="1510" w:hanging="375"/>
      </w:pPr>
      <w:rPr>
        <w:rFonts w:hint="default"/>
        <w:color w:val="231F2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3C3A66"/>
    <w:multiLevelType w:val="hybridMultilevel"/>
    <w:tmpl w:val="5AEEC1DC"/>
    <w:lvl w:ilvl="0" w:tplc="ADA8AB16">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10" w15:restartNumberingAfterBreak="0">
    <w:nsid w:val="201A3788"/>
    <w:multiLevelType w:val="hybridMultilevel"/>
    <w:tmpl w:val="A1F23FB8"/>
    <w:lvl w:ilvl="0" w:tplc="8378123A">
      <w:start w:val="11"/>
      <w:numFmt w:val="decimal"/>
      <w:lvlText w:val="%1."/>
      <w:lvlJc w:val="left"/>
      <w:pPr>
        <w:tabs>
          <w:tab w:val="num" w:pos="360"/>
        </w:tabs>
        <w:ind w:left="360" w:hanging="360"/>
      </w:pPr>
      <w:rPr>
        <w:rFonts w:cs="Arial" w:hint="default"/>
        <w:sz w:val="20"/>
        <w:szCs w:val="20"/>
      </w:rPr>
    </w:lvl>
    <w:lvl w:ilvl="1" w:tplc="0409000F">
      <w:start w:val="1"/>
      <w:numFmt w:val="decimal"/>
      <w:lvlText w:val="%2."/>
      <w:lvlJc w:val="left"/>
      <w:pPr>
        <w:tabs>
          <w:tab w:val="num" w:pos="1440"/>
        </w:tabs>
        <w:ind w:left="1440" w:hanging="360"/>
      </w:pPr>
      <w:rPr>
        <w:rFonts w:hint="default"/>
        <w:sz w:val="16"/>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840D99"/>
    <w:multiLevelType w:val="hybridMultilevel"/>
    <w:tmpl w:val="07E66374"/>
    <w:lvl w:ilvl="0" w:tplc="13B8E500">
      <w:start w:val="16"/>
      <w:numFmt w:val="decimal"/>
      <w:pStyle w:val="CLB-List"/>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F26C3"/>
    <w:multiLevelType w:val="hybridMultilevel"/>
    <w:tmpl w:val="23FE33A2"/>
    <w:lvl w:ilvl="0" w:tplc="B4C0BC10">
      <w:start w:val="1"/>
      <w:numFmt w:val="decimal"/>
      <w:lvlText w:val="(%1)"/>
      <w:lvlJc w:val="left"/>
      <w:pPr>
        <w:ind w:left="1525" w:hanging="390"/>
      </w:pPr>
      <w:rPr>
        <w:rFonts w:hint="default"/>
        <w:color w:val="231F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3" w15:restartNumberingAfterBreak="0">
    <w:nsid w:val="335F095B"/>
    <w:multiLevelType w:val="hybridMultilevel"/>
    <w:tmpl w:val="5748C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76387"/>
    <w:multiLevelType w:val="hybridMultilevel"/>
    <w:tmpl w:val="A93CDE9C"/>
    <w:lvl w:ilvl="0" w:tplc="13B8E500">
      <w:start w:val="16"/>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60115E"/>
    <w:multiLevelType w:val="hybridMultilevel"/>
    <w:tmpl w:val="FDC29B76"/>
    <w:lvl w:ilvl="0" w:tplc="ADA8AB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5A861F9D"/>
    <w:multiLevelType w:val="hybridMultilevel"/>
    <w:tmpl w:val="E9B0BC60"/>
    <w:lvl w:ilvl="0" w:tplc="ADA8AB1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7" w15:restartNumberingAfterBreak="0">
    <w:nsid w:val="5E8739E1"/>
    <w:multiLevelType w:val="hybridMultilevel"/>
    <w:tmpl w:val="6EB81786"/>
    <w:lvl w:ilvl="0" w:tplc="B4C0BC10">
      <w:start w:val="1"/>
      <w:numFmt w:val="decimal"/>
      <w:lvlText w:val="(%1)"/>
      <w:lvlJc w:val="left"/>
      <w:pPr>
        <w:ind w:left="1821" w:hanging="360"/>
      </w:pPr>
      <w:rPr>
        <w:rFonts w:hint="default"/>
        <w:color w:val="231F20"/>
      </w:rPr>
    </w:lvl>
    <w:lvl w:ilvl="1" w:tplc="08090019" w:tentative="1">
      <w:start w:val="1"/>
      <w:numFmt w:val="lowerLetter"/>
      <w:lvlText w:val="%2."/>
      <w:lvlJc w:val="left"/>
      <w:pPr>
        <w:ind w:left="2541" w:hanging="360"/>
      </w:pPr>
    </w:lvl>
    <w:lvl w:ilvl="2" w:tplc="0809001B" w:tentative="1">
      <w:start w:val="1"/>
      <w:numFmt w:val="lowerRoman"/>
      <w:lvlText w:val="%3."/>
      <w:lvlJc w:val="right"/>
      <w:pPr>
        <w:ind w:left="3261" w:hanging="180"/>
      </w:pPr>
    </w:lvl>
    <w:lvl w:ilvl="3" w:tplc="0809000F" w:tentative="1">
      <w:start w:val="1"/>
      <w:numFmt w:val="decimal"/>
      <w:lvlText w:val="%4."/>
      <w:lvlJc w:val="left"/>
      <w:pPr>
        <w:ind w:left="3981" w:hanging="360"/>
      </w:pPr>
    </w:lvl>
    <w:lvl w:ilvl="4" w:tplc="08090019" w:tentative="1">
      <w:start w:val="1"/>
      <w:numFmt w:val="lowerLetter"/>
      <w:lvlText w:val="%5."/>
      <w:lvlJc w:val="left"/>
      <w:pPr>
        <w:ind w:left="4701" w:hanging="360"/>
      </w:pPr>
    </w:lvl>
    <w:lvl w:ilvl="5" w:tplc="0809001B" w:tentative="1">
      <w:start w:val="1"/>
      <w:numFmt w:val="lowerRoman"/>
      <w:lvlText w:val="%6."/>
      <w:lvlJc w:val="right"/>
      <w:pPr>
        <w:ind w:left="5421" w:hanging="180"/>
      </w:pPr>
    </w:lvl>
    <w:lvl w:ilvl="6" w:tplc="0809000F" w:tentative="1">
      <w:start w:val="1"/>
      <w:numFmt w:val="decimal"/>
      <w:lvlText w:val="%7."/>
      <w:lvlJc w:val="left"/>
      <w:pPr>
        <w:ind w:left="6141" w:hanging="360"/>
      </w:pPr>
    </w:lvl>
    <w:lvl w:ilvl="7" w:tplc="08090019" w:tentative="1">
      <w:start w:val="1"/>
      <w:numFmt w:val="lowerLetter"/>
      <w:lvlText w:val="%8."/>
      <w:lvlJc w:val="left"/>
      <w:pPr>
        <w:ind w:left="6861" w:hanging="360"/>
      </w:pPr>
    </w:lvl>
    <w:lvl w:ilvl="8" w:tplc="0809001B" w:tentative="1">
      <w:start w:val="1"/>
      <w:numFmt w:val="lowerRoman"/>
      <w:lvlText w:val="%9."/>
      <w:lvlJc w:val="right"/>
      <w:pPr>
        <w:ind w:left="7581" w:hanging="180"/>
      </w:pPr>
    </w:lvl>
  </w:abstractNum>
  <w:abstractNum w:abstractNumId="18" w15:restartNumberingAfterBreak="0">
    <w:nsid w:val="6AC37887"/>
    <w:multiLevelType w:val="hybridMultilevel"/>
    <w:tmpl w:val="D376D78A"/>
    <w:lvl w:ilvl="0" w:tplc="3A2046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622AA5"/>
    <w:multiLevelType w:val="hybridMultilevel"/>
    <w:tmpl w:val="228CBC94"/>
    <w:lvl w:ilvl="0" w:tplc="FFFFFFFF">
      <w:start w:val="1"/>
      <w:numFmt w:val="decimal"/>
      <w:lvlText w:val="%1)"/>
      <w:lvlJc w:val="left"/>
      <w:pPr>
        <w:ind w:left="720" w:hanging="360"/>
      </w:pPr>
    </w:lvl>
    <w:lvl w:ilvl="1" w:tplc="6FC2092A">
      <w:start w:val="1"/>
      <w:numFmt w:val="decimal"/>
      <w:pStyle w:val="CLB-List-1"/>
      <w:lvlText w:val="(%2)"/>
      <w:lvlJc w:val="left"/>
      <w:pPr>
        <w:ind w:left="851" w:hanging="28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18196E"/>
    <w:multiLevelType w:val="hybridMultilevel"/>
    <w:tmpl w:val="966088C4"/>
    <w:lvl w:ilvl="0" w:tplc="B4C0BC10">
      <w:start w:val="1"/>
      <w:numFmt w:val="decimal"/>
      <w:lvlText w:val="(%1)"/>
      <w:lvlJc w:val="left"/>
      <w:pPr>
        <w:ind w:left="1778" w:hanging="360"/>
      </w:pPr>
      <w:rPr>
        <w:rFonts w:hint="default"/>
        <w:color w:val="231F2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7BE259CA"/>
    <w:multiLevelType w:val="hybridMultilevel"/>
    <w:tmpl w:val="62805E50"/>
    <w:lvl w:ilvl="0" w:tplc="708E5EDA">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2" w15:restartNumberingAfterBreak="0">
    <w:nsid w:val="7F873788"/>
    <w:multiLevelType w:val="hybridMultilevel"/>
    <w:tmpl w:val="3C38B8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632494">
    <w:abstractNumId w:val="0"/>
  </w:num>
  <w:num w:numId="2" w16cid:durableId="534462896">
    <w:abstractNumId w:val="1"/>
  </w:num>
  <w:num w:numId="3" w16cid:durableId="617762234">
    <w:abstractNumId w:val="18"/>
  </w:num>
  <w:num w:numId="4" w16cid:durableId="569119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279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021448">
    <w:abstractNumId w:val="10"/>
  </w:num>
  <w:num w:numId="7" w16cid:durableId="118609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29509">
    <w:abstractNumId w:val="13"/>
  </w:num>
  <w:num w:numId="9" w16cid:durableId="1488281069">
    <w:abstractNumId w:val="3"/>
  </w:num>
  <w:num w:numId="10" w16cid:durableId="2112122332">
    <w:abstractNumId w:val="8"/>
  </w:num>
  <w:num w:numId="11" w16cid:durableId="1107119291">
    <w:abstractNumId w:val="22"/>
  </w:num>
  <w:num w:numId="12" w16cid:durableId="1706712853">
    <w:abstractNumId w:val="4"/>
  </w:num>
  <w:num w:numId="13" w16cid:durableId="1845632038">
    <w:abstractNumId w:val="21"/>
  </w:num>
  <w:num w:numId="14" w16cid:durableId="1604262284">
    <w:abstractNumId w:val="9"/>
  </w:num>
  <w:num w:numId="15" w16cid:durableId="731855279">
    <w:abstractNumId w:val="12"/>
  </w:num>
  <w:num w:numId="16" w16cid:durableId="1112167430">
    <w:abstractNumId w:val="7"/>
  </w:num>
  <w:num w:numId="17" w16cid:durableId="2039816036">
    <w:abstractNumId w:val="16"/>
  </w:num>
  <w:num w:numId="18" w16cid:durableId="898245332">
    <w:abstractNumId w:val="17"/>
  </w:num>
  <w:num w:numId="19" w16cid:durableId="147287293">
    <w:abstractNumId w:val="2"/>
  </w:num>
  <w:num w:numId="20" w16cid:durableId="1745644381">
    <w:abstractNumId w:val="6"/>
  </w:num>
  <w:num w:numId="21" w16cid:durableId="383480542">
    <w:abstractNumId w:val="15"/>
  </w:num>
  <w:num w:numId="22" w16cid:durableId="1929342164">
    <w:abstractNumId w:val="20"/>
  </w:num>
  <w:num w:numId="23" w16cid:durableId="105121365">
    <w:abstractNumId w:val="11"/>
  </w:num>
  <w:num w:numId="24" w16cid:durableId="290945219">
    <w:abstractNumId w:val="5"/>
  </w:num>
  <w:num w:numId="25" w16cid:durableId="287587181">
    <w:abstractNumId w:val="19"/>
  </w:num>
  <w:num w:numId="26" w16cid:durableId="2081949659">
    <w:abstractNumId w:val="5"/>
    <w:lvlOverride w:ilvl="0">
      <w:startOverride w:val="1"/>
    </w:lvlOverride>
  </w:num>
  <w:num w:numId="27" w16cid:durableId="1134061663">
    <w:abstractNumId w:val="5"/>
    <w:lvlOverride w:ilvl="0">
      <w:startOverride w:val="1"/>
    </w:lvlOverride>
  </w:num>
  <w:num w:numId="28" w16cid:durableId="1369529277">
    <w:abstractNumId w:val="5"/>
    <w:lvlOverride w:ilvl="0">
      <w:startOverride w:val="1"/>
    </w:lvlOverride>
  </w:num>
  <w:num w:numId="29" w16cid:durableId="89609317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522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C"/>
    <w:rsid w:val="00002B77"/>
    <w:rsid w:val="0001325C"/>
    <w:rsid w:val="00024031"/>
    <w:rsid w:val="0005632E"/>
    <w:rsid w:val="00073017"/>
    <w:rsid w:val="000B59D8"/>
    <w:rsid w:val="000E3A6F"/>
    <w:rsid w:val="000F7212"/>
    <w:rsid w:val="00101793"/>
    <w:rsid w:val="0012086F"/>
    <w:rsid w:val="001349C4"/>
    <w:rsid w:val="00142CC1"/>
    <w:rsid w:val="00155A2F"/>
    <w:rsid w:val="00160929"/>
    <w:rsid w:val="00187F96"/>
    <w:rsid w:val="001A21BC"/>
    <w:rsid w:val="001B784A"/>
    <w:rsid w:val="001B7983"/>
    <w:rsid w:val="001E10CF"/>
    <w:rsid w:val="001E1363"/>
    <w:rsid w:val="001E3161"/>
    <w:rsid w:val="001E5C4A"/>
    <w:rsid w:val="001F5169"/>
    <w:rsid w:val="002256D6"/>
    <w:rsid w:val="00240234"/>
    <w:rsid w:val="00243011"/>
    <w:rsid w:val="0024373E"/>
    <w:rsid w:val="0028082F"/>
    <w:rsid w:val="002A1024"/>
    <w:rsid w:val="002A2045"/>
    <w:rsid w:val="002A232F"/>
    <w:rsid w:val="002B1662"/>
    <w:rsid w:val="002D388C"/>
    <w:rsid w:val="002F3201"/>
    <w:rsid w:val="00312018"/>
    <w:rsid w:val="00315C6F"/>
    <w:rsid w:val="00316C31"/>
    <w:rsid w:val="003313B8"/>
    <w:rsid w:val="003345B0"/>
    <w:rsid w:val="00345C21"/>
    <w:rsid w:val="00361AFE"/>
    <w:rsid w:val="003666DE"/>
    <w:rsid w:val="00367C72"/>
    <w:rsid w:val="00384955"/>
    <w:rsid w:val="003A2EC4"/>
    <w:rsid w:val="003A3024"/>
    <w:rsid w:val="003C20F9"/>
    <w:rsid w:val="003E299B"/>
    <w:rsid w:val="003E6B65"/>
    <w:rsid w:val="003F6553"/>
    <w:rsid w:val="004008A3"/>
    <w:rsid w:val="00421D91"/>
    <w:rsid w:val="0042327C"/>
    <w:rsid w:val="004301DF"/>
    <w:rsid w:val="00430372"/>
    <w:rsid w:val="004309B5"/>
    <w:rsid w:val="00431B2B"/>
    <w:rsid w:val="00436542"/>
    <w:rsid w:val="00443817"/>
    <w:rsid w:val="00443BC8"/>
    <w:rsid w:val="00453912"/>
    <w:rsid w:val="00455CD0"/>
    <w:rsid w:val="00483025"/>
    <w:rsid w:val="00491364"/>
    <w:rsid w:val="004A73E2"/>
    <w:rsid w:val="004B0DA5"/>
    <w:rsid w:val="004B2E1A"/>
    <w:rsid w:val="004C6E56"/>
    <w:rsid w:val="004D698E"/>
    <w:rsid w:val="004F58EC"/>
    <w:rsid w:val="005061CE"/>
    <w:rsid w:val="00511C3B"/>
    <w:rsid w:val="0056075E"/>
    <w:rsid w:val="005632CC"/>
    <w:rsid w:val="00580DC8"/>
    <w:rsid w:val="00581CA9"/>
    <w:rsid w:val="005B3E26"/>
    <w:rsid w:val="005D29B8"/>
    <w:rsid w:val="005E53EA"/>
    <w:rsid w:val="0062070B"/>
    <w:rsid w:val="006213E6"/>
    <w:rsid w:val="00626A36"/>
    <w:rsid w:val="00627F63"/>
    <w:rsid w:val="00662AF0"/>
    <w:rsid w:val="00691460"/>
    <w:rsid w:val="00691963"/>
    <w:rsid w:val="006A449D"/>
    <w:rsid w:val="006B784A"/>
    <w:rsid w:val="006E2EE6"/>
    <w:rsid w:val="006E4B86"/>
    <w:rsid w:val="006E55C5"/>
    <w:rsid w:val="006F0FEE"/>
    <w:rsid w:val="006F4E17"/>
    <w:rsid w:val="006F6C68"/>
    <w:rsid w:val="0071313A"/>
    <w:rsid w:val="00735CF0"/>
    <w:rsid w:val="00742307"/>
    <w:rsid w:val="00771B9F"/>
    <w:rsid w:val="00774F76"/>
    <w:rsid w:val="007B3DA8"/>
    <w:rsid w:val="007C2CE0"/>
    <w:rsid w:val="007D3D85"/>
    <w:rsid w:val="007E4D6D"/>
    <w:rsid w:val="007F5262"/>
    <w:rsid w:val="007F6D91"/>
    <w:rsid w:val="00803D12"/>
    <w:rsid w:val="00834946"/>
    <w:rsid w:val="00836F70"/>
    <w:rsid w:val="00855816"/>
    <w:rsid w:val="00862CDA"/>
    <w:rsid w:val="008C1047"/>
    <w:rsid w:val="008D2B0A"/>
    <w:rsid w:val="008D3F8A"/>
    <w:rsid w:val="008E7A96"/>
    <w:rsid w:val="008F10A2"/>
    <w:rsid w:val="008F5A15"/>
    <w:rsid w:val="00936EC0"/>
    <w:rsid w:val="00946465"/>
    <w:rsid w:val="00951513"/>
    <w:rsid w:val="00957991"/>
    <w:rsid w:val="009714A8"/>
    <w:rsid w:val="0098164F"/>
    <w:rsid w:val="009863D0"/>
    <w:rsid w:val="009D3E70"/>
    <w:rsid w:val="00A04421"/>
    <w:rsid w:val="00A0495E"/>
    <w:rsid w:val="00A13889"/>
    <w:rsid w:val="00A174CF"/>
    <w:rsid w:val="00A30A45"/>
    <w:rsid w:val="00A511E6"/>
    <w:rsid w:val="00AA2BC6"/>
    <w:rsid w:val="00AA68BA"/>
    <w:rsid w:val="00AB4EED"/>
    <w:rsid w:val="00AC132B"/>
    <w:rsid w:val="00AC3366"/>
    <w:rsid w:val="00AC4A23"/>
    <w:rsid w:val="00AE555F"/>
    <w:rsid w:val="00AF7172"/>
    <w:rsid w:val="00B1723F"/>
    <w:rsid w:val="00B252BD"/>
    <w:rsid w:val="00B260B8"/>
    <w:rsid w:val="00B35501"/>
    <w:rsid w:val="00B559D6"/>
    <w:rsid w:val="00B60579"/>
    <w:rsid w:val="00B65ACB"/>
    <w:rsid w:val="00B81E9C"/>
    <w:rsid w:val="00B97346"/>
    <w:rsid w:val="00BF57CC"/>
    <w:rsid w:val="00C03A14"/>
    <w:rsid w:val="00C14C7D"/>
    <w:rsid w:val="00C20827"/>
    <w:rsid w:val="00C213CA"/>
    <w:rsid w:val="00C31F87"/>
    <w:rsid w:val="00C323C4"/>
    <w:rsid w:val="00C353A1"/>
    <w:rsid w:val="00C41164"/>
    <w:rsid w:val="00C4374A"/>
    <w:rsid w:val="00C614E5"/>
    <w:rsid w:val="00C622F8"/>
    <w:rsid w:val="00C67DC0"/>
    <w:rsid w:val="00CC25C3"/>
    <w:rsid w:val="00CD6D3B"/>
    <w:rsid w:val="00CE5DFC"/>
    <w:rsid w:val="00CF150F"/>
    <w:rsid w:val="00CF231B"/>
    <w:rsid w:val="00D04700"/>
    <w:rsid w:val="00D16CA3"/>
    <w:rsid w:val="00D4249F"/>
    <w:rsid w:val="00D626C1"/>
    <w:rsid w:val="00D661E6"/>
    <w:rsid w:val="00D87C5A"/>
    <w:rsid w:val="00D910D8"/>
    <w:rsid w:val="00D93728"/>
    <w:rsid w:val="00D97932"/>
    <w:rsid w:val="00DA5332"/>
    <w:rsid w:val="00DB656D"/>
    <w:rsid w:val="00DC574A"/>
    <w:rsid w:val="00DD6DBA"/>
    <w:rsid w:val="00DE09EC"/>
    <w:rsid w:val="00DF2AF8"/>
    <w:rsid w:val="00E11BA3"/>
    <w:rsid w:val="00E21A8C"/>
    <w:rsid w:val="00E263F0"/>
    <w:rsid w:val="00E47F2D"/>
    <w:rsid w:val="00E7360E"/>
    <w:rsid w:val="00E75609"/>
    <w:rsid w:val="00E76F3F"/>
    <w:rsid w:val="00E77FDF"/>
    <w:rsid w:val="00E82351"/>
    <w:rsid w:val="00E84F4E"/>
    <w:rsid w:val="00E860C3"/>
    <w:rsid w:val="00E97114"/>
    <w:rsid w:val="00EA0DCC"/>
    <w:rsid w:val="00EA3791"/>
    <w:rsid w:val="00EA648B"/>
    <w:rsid w:val="00EE6D22"/>
    <w:rsid w:val="00EF0C0F"/>
    <w:rsid w:val="00EF2AA7"/>
    <w:rsid w:val="00EF70D5"/>
    <w:rsid w:val="00F03863"/>
    <w:rsid w:val="00F106EB"/>
    <w:rsid w:val="00F231E1"/>
    <w:rsid w:val="00F34170"/>
    <w:rsid w:val="00F37666"/>
    <w:rsid w:val="00F41471"/>
    <w:rsid w:val="00F44EAD"/>
    <w:rsid w:val="00F66779"/>
    <w:rsid w:val="00F7018C"/>
    <w:rsid w:val="00F954AC"/>
    <w:rsid w:val="00FA423D"/>
    <w:rsid w:val="00FB0C91"/>
    <w:rsid w:val="00FC0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263E280F"/>
  <w15:docId w15:val="{E60ECC73-1E88-4897-9554-11E5213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8"/>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hAnsi="Arial"/>
      <w:kern w:val="16"/>
      <w:lang w:eastAsia="zh-CN"/>
    </w:rPr>
  </w:style>
  <w:style w:type="paragraph" w:styleId="Heading1">
    <w:name w:val="heading 1"/>
    <w:basedOn w:val="Normal"/>
    <w:next w:val="Normal"/>
    <w:link w:val="Heading1Char"/>
    <w:qFormat/>
    <w:rsid w:val="003313B8"/>
    <w:pPr>
      <w:keepNext/>
      <w:numPr>
        <w:numId w:val="1"/>
      </w:numPr>
      <w:outlineLvl w:val="0"/>
    </w:pPr>
    <w:rPr>
      <w:b/>
    </w:rPr>
  </w:style>
  <w:style w:type="paragraph" w:styleId="Heading2">
    <w:name w:val="heading 2"/>
    <w:basedOn w:val="Normal"/>
    <w:next w:val="Normal"/>
    <w:link w:val="Heading2Char"/>
    <w:qFormat/>
    <w:rsid w:val="003313B8"/>
    <w:pPr>
      <w:numPr>
        <w:ilvl w:val="1"/>
        <w:numId w:val="1"/>
      </w:numPr>
      <w:outlineLvl w:val="1"/>
    </w:pPr>
    <w:rPr>
      <w:b/>
    </w:rPr>
  </w:style>
  <w:style w:type="paragraph" w:styleId="Heading3">
    <w:name w:val="heading 3"/>
    <w:basedOn w:val="Normal"/>
    <w:next w:val="Normal"/>
    <w:link w:val="Heading3Char"/>
    <w:qFormat/>
    <w:rsid w:val="003313B8"/>
    <w:pPr>
      <w:numPr>
        <w:ilvl w:val="2"/>
        <w:numId w:val="1"/>
      </w:numPr>
      <w:tabs>
        <w:tab w:val="clear" w:pos="709"/>
      </w:tabs>
      <w:outlineLvl w:val="2"/>
    </w:pPr>
  </w:style>
  <w:style w:type="paragraph" w:styleId="Heading4">
    <w:name w:val="heading 4"/>
    <w:basedOn w:val="Normal"/>
    <w:next w:val="Normal"/>
    <w:link w:val="Heading4Char"/>
    <w:qFormat/>
    <w:rsid w:val="003313B8"/>
    <w:pPr>
      <w:numPr>
        <w:ilvl w:val="3"/>
        <w:numId w:val="1"/>
      </w:numPr>
      <w:tabs>
        <w:tab w:val="clear" w:pos="709"/>
        <w:tab w:val="clear" w:pos="2138"/>
        <w:tab w:val="left" w:pos="2126"/>
      </w:tabs>
      <w:outlineLvl w:val="3"/>
    </w:pPr>
  </w:style>
  <w:style w:type="paragraph" w:styleId="Heading5">
    <w:name w:val="heading 5"/>
    <w:basedOn w:val="Normal"/>
    <w:next w:val="Normal"/>
    <w:link w:val="Heading5Char"/>
    <w:qFormat/>
    <w:rsid w:val="003313B8"/>
    <w:pPr>
      <w:numPr>
        <w:ilvl w:val="4"/>
        <w:numId w:val="1"/>
      </w:numPr>
      <w:tabs>
        <w:tab w:val="clear" w:pos="709"/>
      </w:tabs>
      <w:outlineLvl w:val="4"/>
    </w:pPr>
  </w:style>
  <w:style w:type="paragraph" w:styleId="Heading6">
    <w:name w:val="heading 6"/>
    <w:basedOn w:val="Normal"/>
    <w:next w:val="Normal"/>
    <w:link w:val="Heading6Char"/>
    <w:qFormat/>
    <w:rsid w:val="003313B8"/>
    <w:pPr>
      <w:numPr>
        <w:ilvl w:val="5"/>
        <w:numId w:val="1"/>
      </w:numPr>
      <w:tabs>
        <w:tab w:val="clear" w:pos="709"/>
      </w:tabs>
      <w:outlineLvl w:val="5"/>
    </w:pPr>
  </w:style>
  <w:style w:type="paragraph" w:styleId="Heading7">
    <w:name w:val="heading 7"/>
    <w:basedOn w:val="Normal"/>
    <w:next w:val="Normal"/>
    <w:link w:val="Heading7Char"/>
    <w:qFormat/>
    <w:rsid w:val="003313B8"/>
    <w:pPr>
      <w:numPr>
        <w:ilvl w:val="6"/>
        <w:numId w:val="1"/>
      </w:numPr>
      <w:tabs>
        <w:tab w:val="clear" w:pos="709"/>
      </w:tabs>
      <w:outlineLvl w:val="6"/>
    </w:pPr>
  </w:style>
  <w:style w:type="paragraph" w:styleId="Heading8">
    <w:name w:val="heading 8"/>
    <w:basedOn w:val="Normal"/>
    <w:next w:val="Normal"/>
    <w:link w:val="Heading8Char"/>
    <w:qFormat/>
    <w:rsid w:val="003313B8"/>
    <w:pPr>
      <w:numPr>
        <w:ilvl w:val="7"/>
        <w:numId w:val="1"/>
      </w:numPr>
      <w:tabs>
        <w:tab w:val="clear" w:pos="709"/>
      </w:tabs>
      <w:outlineLvl w:val="7"/>
    </w:pPr>
  </w:style>
  <w:style w:type="paragraph" w:styleId="Heading9">
    <w:name w:val="heading 9"/>
    <w:basedOn w:val="Normal"/>
    <w:next w:val="Normal"/>
    <w:link w:val="Heading9Char"/>
    <w:qFormat/>
    <w:rsid w:val="003313B8"/>
    <w:pPr>
      <w:numPr>
        <w:ilvl w:val="8"/>
        <w:numId w:val="1"/>
      </w:numPr>
      <w:tabs>
        <w:tab w:val="clear" w:pos="709"/>
        <w:tab w:val="clear" w:pos="5681"/>
        <w:tab w:val="right" w:pos="567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rsid w:val="00AA2BC6"/>
  </w:style>
  <w:style w:type="paragraph" w:styleId="Caption">
    <w:name w:val="caption"/>
    <w:basedOn w:val="Normal"/>
    <w:next w:val="Normal"/>
    <w:qFormat/>
    <w:rsid w:val="00AA2BC6"/>
    <w:pPr>
      <w:keepNext/>
    </w:pPr>
    <w:rPr>
      <w:b/>
    </w:rPr>
  </w:style>
  <w:style w:type="paragraph" w:styleId="Header">
    <w:name w:val="header"/>
    <w:basedOn w:val="Normal"/>
    <w:link w:val="HeaderChar"/>
    <w:rsid w:val="00AA2BC6"/>
    <w:pPr>
      <w:tabs>
        <w:tab w:val="clear" w:pos="709"/>
        <w:tab w:val="center" w:pos="4253"/>
      </w:tabs>
    </w:pPr>
  </w:style>
  <w:style w:type="paragraph" w:styleId="Footer">
    <w:name w:val="footer"/>
    <w:basedOn w:val="Normal"/>
    <w:link w:val="FooterChar"/>
    <w:rsid w:val="00AA2BC6"/>
    <w:pPr>
      <w:tabs>
        <w:tab w:val="clear" w:pos="709"/>
        <w:tab w:val="clear" w:pos="8363"/>
        <w:tab w:val="center" w:pos="4253"/>
        <w:tab w:val="right" w:pos="8306"/>
      </w:tabs>
      <w:jc w:val="center"/>
    </w:pPr>
    <w:rPr>
      <w:sz w:val="12"/>
    </w:rPr>
  </w:style>
  <w:style w:type="character" w:styleId="PageNumber">
    <w:name w:val="page number"/>
    <w:basedOn w:val="DefaultParagraphFont"/>
    <w:rsid w:val="00AA2BC6"/>
    <w:rPr>
      <w:color w:val="auto"/>
      <w:kern w:val="16"/>
      <w:u w:val="none"/>
    </w:rPr>
  </w:style>
  <w:style w:type="character" w:customStyle="1" w:styleId="CommentReference1">
    <w:name w:val="Comment Reference1"/>
    <w:basedOn w:val="DefaultParagraphFont"/>
    <w:rsid w:val="00AA2BC6"/>
    <w:rPr>
      <w:rFonts w:ascii="Arial" w:hAnsi="Arial"/>
      <w:i/>
      <w:color w:val="auto"/>
      <w:kern w:val="16"/>
      <w:position w:val="6"/>
      <w:sz w:val="16"/>
      <w:u w:val="none"/>
    </w:rPr>
  </w:style>
  <w:style w:type="paragraph" w:styleId="BodyText">
    <w:name w:val="Body Text"/>
    <w:basedOn w:val="Normal"/>
    <w:link w:val="BodyTextChar"/>
    <w:rsid w:val="00AA2BC6"/>
    <w:pPr>
      <w:spacing w:after="120"/>
    </w:pPr>
  </w:style>
  <w:style w:type="paragraph" w:styleId="BodyTextIndent">
    <w:name w:val="Body Text Indent"/>
    <w:basedOn w:val="Normal"/>
    <w:link w:val="BodyTextIndentChar"/>
    <w:rsid w:val="00AA2BC6"/>
    <w:pPr>
      <w:spacing w:after="120"/>
      <w:ind w:left="283"/>
    </w:pPr>
  </w:style>
  <w:style w:type="character" w:styleId="CommentReference">
    <w:name w:val="annotation reference"/>
    <w:basedOn w:val="DefaultParagraphFont"/>
    <w:semiHidden/>
    <w:rsid w:val="00A511E6"/>
    <w:rPr>
      <w:sz w:val="16"/>
      <w:szCs w:val="16"/>
    </w:rPr>
  </w:style>
  <w:style w:type="paragraph" w:styleId="EnvelopeAddress">
    <w:name w:val="envelope address"/>
    <w:basedOn w:val="Normal"/>
    <w:rsid w:val="00AA2BC6"/>
    <w:pPr>
      <w:framePr w:w="7920" w:h="1980" w:hRule="exact" w:hSpace="180" w:wrap="auto" w:hAnchor="page" w:xAlign="center" w:yAlign="bottom"/>
      <w:ind w:left="2880"/>
    </w:pPr>
    <w:rPr>
      <w:sz w:val="24"/>
    </w:rPr>
  </w:style>
  <w:style w:type="paragraph" w:styleId="Closing">
    <w:name w:val="Closing"/>
    <w:basedOn w:val="Normal"/>
    <w:link w:val="ClosingChar"/>
    <w:rsid w:val="00AA2BC6"/>
    <w:pPr>
      <w:ind w:left="4252"/>
    </w:pPr>
  </w:style>
  <w:style w:type="paragraph" w:styleId="EnvelopeReturn">
    <w:name w:val="envelope return"/>
    <w:basedOn w:val="Normal"/>
    <w:rsid w:val="00AA2BC6"/>
  </w:style>
  <w:style w:type="character" w:styleId="EndnoteReference">
    <w:name w:val="endnote reference"/>
    <w:basedOn w:val="DefaultParagraphFont"/>
    <w:semiHidden/>
    <w:rsid w:val="00AA2BC6"/>
    <w:rPr>
      <w:b/>
      <w:color w:val="auto"/>
      <w:kern w:val="16"/>
      <w:position w:val="6"/>
      <w:sz w:val="14"/>
      <w:u w:val="none"/>
    </w:rPr>
  </w:style>
  <w:style w:type="paragraph" w:styleId="EndnoteText">
    <w:name w:val="endnote text"/>
    <w:basedOn w:val="Normal"/>
    <w:link w:val="EndnoteTextChar"/>
    <w:semiHidden/>
    <w:rsid w:val="00AA2BC6"/>
    <w:pPr>
      <w:spacing w:after="200" w:line="220" w:lineRule="atLeast"/>
      <w:ind w:left="170" w:hanging="170"/>
    </w:pPr>
    <w:rPr>
      <w:sz w:val="16"/>
    </w:rPr>
  </w:style>
  <w:style w:type="paragraph" w:styleId="Index1">
    <w:name w:val="index 1"/>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right" w:leader="dot" w:pos="8363"/>
      </w:tabs>
      <w:spacing w:after="120"/>
      <w:ind w:left="284" w:hanging="284"/>
    </w:pPr>
  </w:style>
  <w:style w:type="paragraph" w:styleId="Index2">
    <w:name w:val="index 2"/>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right" w:leader="dot" w:pos="8363"/>
      </w:tabs>
      <w:spacing w:after="120"/>
      <w:ind w:left="993" w:hanging="284"/>
    </w:pPr>
  </w:style>
  <w:style w:type="paragraph" w:styleId="Index3">
    <w:name w:val="index 3"/>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hanging="200"/>
    </w:pPr>
  </w:style>
  <w:style w:type="paragraph" w:styleId="Index4">
    <w:name w:val="index 4"/>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hanging="200"/>
    </w:pPr>
  </w:style>
  <w:style w:type="paragraph" w:styleId="Index5">
    <w:name w:val="index 5"/>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hanging="200"/>
    </w:pPr>
  </w:style>
  <w:style w:type="paragraph" w:styleId="Index6">
    <w:name w:val="index 6"/>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hanging="200"/>
    </w:pPr>
  </w:style>
  <w:style w:type="paragraph" w:styleId="Index7">
    <w:name w:val="index 7"/>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4253" w:hanging="709"/>
    </w:pPr>
  </w:style>
  <w:style w:type="paragraph" w:styleId="Index8">
    <w:name w:val="index 8"/>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hanging="200"/>
    </w:pPr>
  </w:style>
  <w:style w:type="paragraph" w:styleId="Index9">
    <w:name w:val="index 9"/>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800" w:hanging="200"/>
    </w:pPr>
  </w:style>
  <w:style w:type="paragraph" w:styleId="IndexHeading">
    <w:name w:val="index heading"/>
    <w:basedOn w:val="Normal"/>
    <w:next w:val="Index1"/>
    <w:semiHidden/>
    <w:rsid w:val="00AA2BC6"/>
  </w:style>
  <w:style w:type="character" w:styleId="LineNumber">
    <w:name w:val="line number"/>
    <w:basedOn w:val="DefaultParagraphFont"/>
    <w:uiPriority w:val="99"/>
    <w:rsid w:val="00AA2BC6"/>
    <w:rPr>
      <w:color w:val="auto"/>
      <w:kern w:val="16"/>
      <w:u w:val="none"/>
    </w:rPr>
  </w:style>
  <w:style w:type="paragraph" w:styleId="List">
    <w:name w:val="List"/>
    <w:basedOn w:val="Normal"/>
    <w:rsid w:val="00AA2BC6"/>
    <w:pPr>
      <w:ind w:left="283" w:hanging="283"/>
    </w:pPr>
  </w:style>
  <w:style w:type="paragraph" w:styleId="List2">
    <w:name w:val="List 2"/>
    <w:basedOn w:val="Normal"/>
    <w:rsid w:val="00AA2BC6"/>
    <w:pPr>
      <w:ind w:left="566" w:hanging="283"/>
    </w:pPr>
  </w:style>
  <w:style w:type="paragraph" w:styleId="List3">
    <w:name w:val="List 3"/>
    <w:basedOn w:val="Normal"/>
    <w:rsid w:val="00AA2BC6"/>
    <w:pPr>
      <w:ind w:left="849" w:hanging="283"/>
    </w:pPr>
  </w:style>
  <w:style w:type="paragraph" w:styleId="List4">
    <w:name w:val="List 4"/>
    <w:basedOn w:val="Normal"/>
    <w:rsid w:val="00AA2BC6"/>
    <w:pPr>
      <w:ind w:left="1132" w:hanging="283"/>
    </w:pPr>
  </w:style>
  <w:style w:type="paragraph" w:styleId="List5">
    <w:name w:val="List 5"/>
    <w:basedOn w:val="Normal"/>
    <w:rsid w:val="00AA2BC6"/>
    <w:pPr>
      <w:ind w:left="1415" w:hanging="283"/>
    </w:pPr>
  </w:style>
  <w:style w:type="paragraph" w:styleId="ListContinue">
    <w:name w:val="List Continue"/>
    <w:basedOn w:val="Normal"/>
    <w:rsid w:val="00AA2BC6"/>
    <w:pPr>
      <w:spacing w:after="120"/>
      <w:ind w:left="283"/>
    </w:pPr>
  </w:style>
  <w:style w:type="paragraph" w:styleId="ListContinue2">
    <w:name w:val="List Continue 2"/>
    <w:basedOn w:val="Normal"/>
    <w:rsid w:val="00AA2BC6"/>
    <w:pPr>
      <w:spacing w:after="120"/>
      <w:ind w:left="566"/>
    </w:pPr>
  </w:style>
  <w:style w:type="paragraph" w:styleId="ListContinue3">
    <w:name w:val="List Continue 3"/>
    <w:basedOn w:val="Normal"/>
    <w:rsid w:val="00AA2BC6"/>
    <w:pPr>
      <w:spacing w:after="120"/>
      <w:ind w:left="849"/>
    </w:pPr>
  </w:style>
  <w:style w:type="paragraph" w:styleId="ListContinue4">
    <w:name w:val="List Continue 4"/>
    <w:basedOn w:val="Normal"/>
    <w:rsid w:val="00AA2BC6"/>
    <w:pPr>
      <w:spacing w:after="120"/>
      <w:ind w:left="1132"/>
    </w:pPr>
  </w:style>
  <w:style w:type="paragraph" w:styleId="ListContinue5">
    <w:name w:val="List Continue 5"/>
    <w:basedOn w:val="Normal"/>
    <w:rsid w:val="00AA2BC6"/>
    <w:pPr>
      <w:spacing w:after="120"/>
      <w:ind w:left="1415"/>
    </w:pPr>
  </w:style>
  <w:style w:type="paragraph" w:styleId="ListNumber">
    <w:name w:val="List Number"/>
    <w:basedOn w:val="Normal"/>
    <w:rsid w:val="00AA2BC6"/>
    <w:pPr>
      <w:ind w:left="283" w:hanging="283"/>
    </w:pPr>
  </w:style>
  <w:style w:type="paragraph" w:styleId="ListNumber2">
    <w:name w:val="List Number 2"/>
    <w:basedOn w:val="Normal"/>
    <w:rsid w:val="00AA2BC6"/>
    <w:pPr>
      <w:ind w:left="566" w:hanging="283"/>
    </w:pPr>
  </w:style>
  <w:style w:type="paragraph" w:styleId="ListNumber3">
    <w:name w:val="List Number 3"/>
    <w:basedOn w:val="Normal"/>
    <w:rsid w:val="00AA2BC6"/>
    <w:pPr>
      <w:ind w:left="849" w:hanging="283"/>
    </w:pPr>
  </w:style>
  <w:style w:type="paragraph" w:styleId="ListNumber4">
    <w:name w:val="List Number 4"/>
    <w:basedOn w:val="Normal"/>
    <w:rsid w:val="00AA2BC6"/>
    <w:pPr>
      <w:ind w:left="1132" w:hanging="283"/>
    </w:pPr>
  </w:style>
  <w:style w:type="paragraph" w:styleId="ListNumber5">
    <w:name w:val="List Number 5"/>
    <w:basedOn w:val="Normal"/>
    <w:rsid w:val="00AA2BC6"/>
    <w:pPr>
      <w:ind w:left="1415" w:hanging="283"/>
    </w:pPr>
  </w:style>
  <w:style w:type="paragraph" w:styleId="MessageHeader">
    <w:name w:val="Message Header"/>
    <w:basedOn w:val="Normal"/>
    <w:link w:val="MessageHeaderChar"/>
    <w:rsid w:val="00AA2BC6"/>
    <w:pPr>
      <w:ind w:left="1134" w:hanging="1134"/>
    </w:pPr>
    <w:rPr>
      <w:sz w:val="24"/>
    </w:rPr>
  </w:style>
  <w:style w:type="paragraph" w:styleId="Signature">
    <w:name w:val="Signature"/>
    <w:basedOn w:val="Normal"/>
    <w:link w:val="SignatureChar"/>
    <w:rsid w:val="00AA2BC6"/>
    <w:pPr>
      <w:ind w:left="4252"/>
    </w:pPr>
  </w:style>
  <w:style w:type="paragraph" w:styleId="Subtitle">
    <w:name w:val="Subtitle"/>
    <w:basedOn w:val="Normal"/>
    <w:link w:val="SubtitleChar"/>
    <w:qFormat/>
    <w:rsid w:val="00AA2BC6"/>
    <w:pPr>
      <w:spacing w:after="60"/>
      <w:jc w:val="center"/>
    </w:pPr>
    <w:rPr>
      <w:i/>
      <w:sz w:val="24"/>
    </w:rPr>
  </w:style>
  <w:style w:type="paragraph" w:styleId="Title">
    <w:name w:val="Title"/>
    <w:basedOn w:val="Normal"/>
    <w:link w:val="TitleChar"/>
    <w:qFormat/>
    <w:rsid w:val="00AA2BC6"/>
    <w:pPr>
      <w:spacing w:before="240" w:after="60"/>
      <w:jc w:val="center"/>
    </w:pPr>
    <w:rPr>
      <w:b/>
      <w:sz w:val="32"/>
    </w:rPr>
  </w:style>
  <w:style w:type="paragraph" w:styleId="TOAHeading">
    <w:name w:val="toa heading"/>
    <w:basedOn w:val="Normal"/>
    <w:next w:val="Normal"/>
    <w:semiHidden/>
    <w:rsid w:val="00AA2BC6"/>
    <w:pPr>
      <w:spacing w:before="120"/>
    </w:pPr>
    <w:rPr>
      <w:b/>
      <w:sz w:val="24"/>
    </w:rPr>
  </w:style>
  <w:style w:type="paragraph" w:styleId="TOC1">
    <w:name w:val="toc 1"/>
    <w:basedOn w:val="Normal"/>
    <w:next w:val="Normal"/>
    <w:semiHidden/>
    <w:rsid w:val="00AA2BC6"/>
    <w:pPr>
      <w:tabs>
        <w:tab w:val="clear" w:pos="1418"/>
        <w:tab w:val="clear" w:pos="2126"/>
        <w:tab w:val="clear" w:pos="2835"/>
        <w:tab w:val="clear" w:pos="3544"/>
        <w:tab w:val="clear" w:pos="4253"/>
        <w:tab w:val="clear" w:pos="4961"/>
        <w:tab w:val="clear" w:pos="5670"/>
      </w:tabs>
    </w:pPr>
  </w:style>
  <w:style w:type="paragraph" w:styleId="TOC2">
    <w:name w:val="toc 2"/>
    <w:basedOn w:val="Normal"/>
    <w:next w:val="Normal"/>
    <w:semiHidden/>
    <w:rsid w:val="00AA2BC6"/>
    <w:pPr>
      <w:tabs>
        <w:tab w:val="clear" w:pos="709"/>
        <w:tab w:val="clear" w:pos="2126"/>
        <w:tab w:val="clear" w:pos="2835"/>
        <w:tab w:val="clear" w:pos="3544"/>
        <w:tab w:val="clear" w:pos="4253"/>
        <w:tab w:val="clear" w:pos="4961"/>
        <w:tab w:val="clear" w:pos="5670"/>
      </w:tabs>
      <w:ind w:left="709"/>
    </w:pPr>
  </w:style>
  <w:style w:type="paragraph" w:styleId="TOC3">
    <w:name w:val="toc 3"/>
    <w:basedOn w:val="Normal"/>
    <w:next w:val="Normal"/>
    <w:semiHidden/>
    <w:rsid w:val="00AA2BC6"/>
    <w:pPr>
      <w:tabs>
        <w:tab w:val="clear" w:pos="709"/>
        <w:tab w:val="clear" w:pos="2126"/>
        <w:tab w:val="clear" w:pos="2835"/>
        <w:tab w:val="clear" w:pos="3544"/>
        <w:tab w:val="clear" w:pos="4253"/>
        <w:tab w:val="clear" w:pos="4961"/>
        <w:tab w:val="clear" w:pos="5670"/>
      </w:tabs>
      <w:ind w:left="709"/>
    </w:pPr>
  </w:style>
  <w:style w:type="paragraph" w:styleId="TOC4">
    <w:name w:val="toc 4"/>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pPr>
  </w:style>
  <w:style w:type="paragraph" w:styleId="TOC5">
    <w:name w:val="toc 5"/>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pPr>
  </w:style>
  <w:style w:type="paragraph" w:styleId="TOC6">
    <w:name w:val="toc 6"/>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pPr>
  </w:style>
  <w:style w:type="paragraph" w:styleId="TOC7">
    <w:name w:val="toc 7"/>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pPr>
  </w:style>
  <w:style w:type="paragraph" w:styleId="TOC8">
    <w:name w:val="toc 8"/>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400"/>
    </w:pPr>
  </w:style>
  <w:style w:type="paragraph" w:styleId="TOC9">
    <w:name w:val="toc 9"/>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pPr>
  </w:style>
  <w:style w:type="paragraph" w:customStyle="1" w:styleId="BackSheet">
    <w:name w:val="BackSheet"/>
    <w:basedOn w:val="Normal"/>
    <w:rsid w:val="00AA2BC6"/>
    <w:pPr>
      <w:ind w:left="4253"/>
    </w:pPr>
    <w:rPr>
      <w:kern w:val="0"/>
    </w:rPr>
  </w:style>
  <w:style w:type="character" w:styleId="FootnoteReference">
    <w:name w:val="footnote reference"/>
    <w:basedOn w:val="DefaultParagraphFont"/>
    <w:semiHidden/>
    <w:rsid w:val="00AA2BC6"/>
    <w:rPr>
      <w:b/>
      <w:color w:val="auto"/>
      <w:kern w:val="16"/>
      <w:position w:val="6"/>
      <w:sz w:val="14"/>
      <w:u w:val="none"/>
    </w:rPr>
  </w:style>
  <w:style w:type="paragraph" w:styleId="FootnoteText">
    <w:name w:val="footnote text"/>
    <w:basedOn w:val="Normal"/>
    <w:link w:val="FootnoteTextChar"/>
    <w:semiHidden/>
    <w:rsid w:val="00AA2BC6"/>
    <w:pPr>
      <w:spacing w:after="200" w:line="220" w:lineRule="atLeast"/>
      <w:ind w:left="170" w:hanging="170"/>
    </w:pPr>
    <w:rPr>
      <w:sz w:val="16"/>
    </w:rPr>
  </w:style>
  <w:style w:type="paragraph" w:customStyle="1" w:styleId="Heading">
    <w:name w:val="Heading"/>
    <w:basedOn w:val="Normal"/>
    <w:next w:val="Normal"/>
    <w:rsid w:val="00AA2BC6"/>
    <w:pPr>
      <w:keepNext/>
      <w:keepLines/>
    </w:pPr>
  </w:style>
  <w:style w:type="paragraph" w:customStyle="1" w:styleId="Indent1">
    <w:name w:val="Indent1"/>
    <w:basedOn w:val="Normal"/>
    <w:rsid w:val="00AA2BC6"/>
    <w:pPr>
      <w:tabs>
        <w:tab w:val="left" w:pos="1985"/>
        <w:tab w:val="left" w:pos="2552"/>
      </w:tabs>
      <w:ind w:left="1418" w:hanging="567"/>
    </w:pPr>
  </w:style>
  <w:style w:type="paragraph" w:customStyle="1" w:styleId="indent2">
    <w:name w:val="indent2"/>
    <w:basedOn w:val="Normal"/>
    <w:rsid w:val="00AA2BC6"/>
    <w:pPr>
      <w:tabs>
        <w:tab w:val="left" w:pos="1985"/>
        <w:tab w:val="left" w:pos="2552"/>
      </w:tabs>
      <w:ind w:left="1418"/>
    </w:pPr>
  </w:style>
  <w:style w:type="paragraph" w:styleId="ListBullet">
    <w:name w:val="List Bullet"/>
    <w:basedOn w:val="Normal"/>
    <w:autoRedefine/>
    <w:rsid w:val="00AA2BC6"/>
    <w:pPr>
      <w:ind w:left="283" w:hanging="283"/>
    </w:pPr>
  </w:style>
  <w:style w:type="paragraph" w:styleId="ListBullet2">
    <w:name w:val="List Bullet 2"/>
    <w:basedOn w:val="Normal"/>
    <w:autoRedefine/>
    <w:rsid w:val="00AA2BC6"/>
    <w:pPr>
      <w:ind w:left="566" w:hanging="283"/>
    </w:pPr>
  </w:style>
  <w:style w:type="paragraph" w:styleId="ListBullet3">
    <w:name w:val="List Bullet 3"/>
    <w:basedOn w:val="Normal"/>
    <w:autoRedefine/>
    <w:rsid w:val="00AA2BC6"/>
    <w:pPr>
      <w:ind w:left="849" w:hanging="283"/>
    </w:pPr>
  </w:style>
  <w:style w:type="paragraph" w:styleId="ListBullet4">
    <w:name w:val="List Bullet 4"/>
    <w:basedOn w:val="Normal"/>
    <w:autoRedefine/>
    <w:rsid w:val="00AA2BC6"/>
    <w:pPr>
      <w:ind w:left="1132" w:hanging="283"/>
    </w:pPr>
  </w:style>
  <w:style w:type="paragraph" w:styleId="ListBullet5">
    <w:name w:val="List Bullet 5"/>
    <w:basedOn w:val="Normal"/>
    <w:autoRedefine/>
    <w:rsid w:val="00AA2BC6"/>
    <w:pPr>
      <w:ind w:left="1415" w:hanging="283"/>
    </w:pPr>
  </w:style>
  <w:style w:type="paragraph" w:styleId="MacroText">
    <w:name w:val="macro"/>
    <w:link w:val="MacroTextChar"/>
    <w:semiHidden/>
    <w:rsid w:val="00AA2BC6"/>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rsid w:val="00AA2BC6"/>
    <w:pPr>
      <w:tabs>
        <w:tab w:val="left" w:pos="1985"/>
        <w:tab w:val="left" w:pos="2552"/>
      </w:tabs>
      <w:ind w:left="851"/>
    </w:pPr>
  </w:style>
  <w:style w:type="paragraph" w:styleId="Quote">
    <w:name w:val="Quote"/>
    <w:basedOn w:val="Normal"/>
    <w:next w:val="Normal"/>
    <w:link w:val="QuoteChar"/>
    <w:qFormat/>
    <w:rsid w:val="00AA2BC6"/>
    <w:pPr>
      <w:spacing w:line="240" w:lineRule="atLeast"/>
      <w:ind w:left="1418"/>
    </w:pPr>
  </w:style>
  <w:style w:type="paragraph" w:styleId="TableofAuthorities">
    <w:name w:val="table of authorities"/>
    <w:basedOn w:val="Normal"/>
    <w:next w:val="Normal"/>
    <w:semiHidden/>
    <w:rsid w:val="00AA2BC6"/>
    <w:pPr>
      <w:tabs>
        <w:tab w:val="clear" w:pos="1418"/>
        <w:tab w:val="clear" w:pos="2126"/>
        <w:tab w:val="clear" w:pos="2835"/>
        <w:tab w:val="clear" w:pos="3544"/>
        <w:tab w:val="clear" w:pos="4253"/>
        <w:tab w:val="clear" w:pos="4961"/>
        <w:tab w:val="clear" w:pos="5670"/>
      </w:tabs>
    </w:pPr>
  </w:style>
  <w:style w:type="paragraph" w:styleId="TableofFigures">
    <w:name w:val="table of figures"/>
    <w:basedOn w:val="Normal"/>
    <w:next w:val="Normal"/>
    <w:semiHidden/>
    <w:rsid w:val="00AA2BC6"/>
    <w:pPr>
      <w:tabs>
        <w:tab w:val="clear" w:pos="1418"/>
        <w:tab w:val="clear" w:pos="2126"/>
        <w:tab w:val="clear" w:pos="2835"/>
        <w:tab w:val="clear" w:pos="3544"/>
        <w:tab w:val="clear" w:pos="4253"/>
        <w:tab w:val="clear" w:pos="4961"/>
        <w:tab w:val="clear" w:pos="5670"/>
      </w:tabs>
    </w:pPr>
  </w:style>
  <w:style w:type="paragraph" w:customStyle="1" w:styleId="TitleTOC">
    <w:name w:val="TitleTOC"/>
    <w:basedOn w:val="Normal"/>
    <w:rsid w:val="00AA2BC6"/>
    <w:pPr>
      <w:jc w:val="center"/>
    </w:pPr>
    <w:rPr>
      <w:b/>
    </w:rPr>
  </w:style>
  <w:style w:type="paragraph" w:customStyle="1" w:styleId="CommentText1">
    <w:name w:val="Comment Text1"/>
    <w:basedOn w:val="Normal"/>
    <w:rsid w:val="00AA2BC6"/>
    <w:pPr>
      <w:spacing w:after="200" w:line="220" w:lineRule="atLeast"/>
      <w:ind w:left="170" w:hanging="170"/>
    </w:pPr>
    <w:rPr>
      <w:sz w:val="16"/>
    </w:rPr>
  </w:style>
  <w:style w:type="paragraph" w:styleId="CommentText">
    <w:name w:val="annotation text"/>
    <w:basedOn w:val="Normal"/>
    <w:link w:val="CommentTextChar"/>
    <w:semiHidden/>
    <w:rsid w:val="00A511E6"/>
  </w:style>
  <w:style w:type="paragraph" w:styleId="CommentSubject">
    <w:name w:val="annotation subject"/>
    <w:basedOn w:val="CommentText"/>
    <w:next w:val="CommentText"/>
    <w:link w:val="CommentSubjectChar"/>
    <w:semiHidden/>
    <w:rsid w:val="00A511E6"/>
    <w:rPr>
      <w:b/>
      <w:bCs/>
    </w:rPr>
  </w:style>
  <w:style w:type="paragraph" w:styleId="BalloonText">
    <w:name w:val="Balloon Text"/>
    <w:basedOn w:val="Normal"/>
    <w:link w:val="BalloonTextChar"/>
    <w:uiPriority w:val="99"/>
    <w:semiHidden/>
    <w:rsid w:val="00A511E6"/>
    <w:rPr>
      <w:rFonts w:ascii="Tahoma" w:hAnsi="Tahoma" w:cs="Tahoma"/>
      <w:sz w:val="16"/>
      <w:szCs w:val="16"/>
    </w:rPr>
  </w:style>
  <w:style w:type="character" w:styleId="Hyperlink">
    <w:name w:val="Hyperlink"/>
    <w:basedOn w:val="DefaultParagraphFont"/>
    <w:rsid w:val="00EF2AA7"/>
    <w:rPr>
      <w:color w:val="0000FF"/>
      <w:u w:val="single"/>
    </w:rPr>
  </w:style>
  <w:style w:type="character" w:customStyle="1" w:styleId="aj">
    <w:name w:val="aj"/>
    <w:basedOn w:val="DefaultParagraphFont"/>
    <w:rsid w:val="004B2E1A"/>
    <w:rPr>
      <w:rFonts w:ascii="&amp;quot" w:hAnsi="&amp;quot" w:hint="default"/>
      <w:sz w:val="24"/>
      <w:szCs w:val="24"/>
    </w:rPr>
  </w:style>
  <w:style w:type="character" w:customStyle="1" w:styleId="ak">
    <w:name w:val="ak"/>
    <w:basedOn w:val="DefaultParagraphFont"/>
    <w:rsid w:val="004B2E1A"/>
    <w:rPr>
      <w:rFonts w:ascii="&amp;quot" w:hAnsi="&amp;quot" w:hint="default"/>
      <w:sz w:val="24"/>
      <w:szCs w:val="24"/>
    </w:rPr>
  </w:style>
  <w:style w:type="character" w:customStyle="1" w:styleId="al">
    <w:name w:val="al"/>
    <w:basedOn w:val="DefaultParagraphFont"/>
    <w:rsid w:val="004B2E1A"/>
    <w:rPr>
      <w:rFonts w:ascii="&amp;quot" w:hAnsi="&amp;quot" w:hint="default"/>
      <w:sz w:val="24"/>
      <w:szCs w:val="24"/>
    </w:rPr>
  </w:style>
  <w:style w:type="character" w:customStyle="1" w:styleId="i">
    <w:name w:val="i"/>
    <w:basedOn w:val="DefaultParagraphFont"/>
    <w:rsid w:val="004B2E1A"/>
  </w:style>
  <w:style w:type="paragraph" w:styleId="HTMLPreformatted">
    <w:name w:val="HTML Preformatted"/>
    <w:basedOn w:val="Normal"/>
    <w:link w:val="HTMLPreformattedChar"/>
    <w:uiPriority w:val="99"/>
    <w:unhideWhenUsed/>
    <w:rsid w:val="005D29B8"/>
    <w:pPr>
      <w:tabs>
        <w:tab w:val="clear" w:pos="709"/>
        <w:tab w:val="clear" w:pos="1418"/>
        <w:tab w:val="clear" w:pos="2126"/>
        <w:tab w:val="clear" w:pos="2835"/>
        <w:tab w:val="clear" w:pos="3544"/>
        <w:tab w:val="clear" w:pos="4253"/>
        <w:tab w:val="clear" w:pos="4961"/>
        <w:tab w:val="clear" w:pos="5670"/>
        <w:tab w:val="clear" w:pos="836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hAnsi="Verdana" w:cs="Courier New"/>
      <w:kern w:val="0"/>
      <w:sz w:val="24"/>
      <w:szCs w:val="24"/>
      <w:lang w:eastAsia="en-GB"/>
    </w:rPr>
  </w:style>
  <w:style w:type="character" w:customStyle="1" w:styleId="HTMLPreformattedChar">
    <w:name w:val="HTML Preformatted Char"/>
    <w:basedOn w:val="DefaultParagraphFont"/>
    <w:link w:val="HTMLPreformatted"/>
    <w:uiPriority w:val="99"/>
    <w:rsid w:val="005D29B8"/>
    <w:rPr>
      <w:rFonts w:ascii="Verdana" w:hAnsi="Verdana" w:cs="Courier New"/>
      <w:sz w:val="24"/>
      <w:szCs w:val="24"/>
    </w:rPr>
  </w:style>
  <w:style w:type="paragraph" w:customStyle="1" w:styleId="e">
    <w:name w:val="e"/>
    <w:basedOn w:val="Normal"/>
    <w:rsid w:val="00B559D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eastAsia="en-GB"/>
    </w:rPr>
  </w:style>
  <w:style w:type="character" w:customStyle="1" w:styleId="ay">
    <w:name w:val="ay"/>
    <w:basedOn w:val="DefaultParagraphFont"/>
    <w:rsid w:val="00B559D6"/>
  </w:style>
  <w:style w:type="character" w:customStyle="1" w:styleId="v">
    <w:name w:val="v"/>
    <w:basedOn w:val="DefaultParagraphFont"/>
    <w:rsid w:val="00B559D6"/>
  </w:style>
  <w:style w:type="character" w:customStyle="1" w:styleId="f">
    <w:name w:val="f"/>
    <w:basedOn w:val="DefaultParagraphFont"/>
    <w:rsid w:val="00B559D6"/>
  </w:style>
  <w:style w:type="character" w:customStyle="1" w:styleId="g">
    <w:name w:val="g"/>
    <w:basedOn w:val="DefaultParagraphFont"/>
    <w:rsid w:val="00B559D6"/>
  </w:style>
  <w:style w:type="paragraph" w:customStyle="1" w:styleId="h">
    <w:name w:val="h"/>
    <w:basedOn w:val="Normal"/>
    <w:rsid w:val="00B559D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eastAsia="en-GB"/>
    </w:rPr>
  </w:style>
  <w:style w:type="character" w:customStyle="1" w:styleId="az">
    <w:name w:val="az"/>
    <w:basedOn w:val="DefaultParagraphFont"/>
    <w:rsid w:val="00B559D6"/>
  </w:style>
  <w:style w:type="paragraph" w:customStyle="1" w:styleId="a">
    <w:name w:val="a"/>
    <w:basedOn w:val="Normal"/>
    <w:rsid w:val="00B559D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eastAsia="en-GB"/>
    </w:rPr>
  </w:style>
  <w:style w:type="character" w:customStyle="1" w:styleId="ap">
    <w:name w:val="ap"/>
    <w:basedOn w:val="DefaultParagraphFont"/>
    <w:rsid w:val="00B559D6"/>
  </w:style>
  <w:style w:type="paragraph" w:customStyle="1" w:styleId="Default">
    <w:name w:val="Default"/>
    <w:rsid w:val="006E4B86"/>
    <w:pPr>
      <w:autoSpaceDE w:val="0"/>
      <w:autoSpaceDN w:val="0"/>
      <w:adjustRightInd w:val="0"/>
    </w:pPr>
    <w:rPr>
      <w:rFonts w:ascii="HelveticaNeueLT Std Lt" w:hAnsi="HelveticaNeueLT Std Lt" w:cs="HelveticaNeueLT Std Lt"/>
      <w:color w:val="000000"/>
      <w:sz w:val="24"/>
      <w:szCs w:val="24"/>
    </w:rPr>
  </w:style>
  <w:style w:type="character" w:customStyle="1" w:styleId="A4">
    <w:name w:val="A4"/>
    <w:uiPriority w:val="99"/>
    <w:rsid w:val="006E4B86"/>
    <w:rPr>
      <w:rFonts w:cs="HelveticaNeueLT Std Lt"/>
      <w:color w:val="000000"/>
      <w:sz w:val="20"/>
      <w:szCs w:val="20"/>
    </w:rPr>
  </w:style>
  <w:style w:type="paragraph" w:customStyle="1" w:styleId="Pa18">
    <w:name w:val="Pa18"/>
    <w:basedOn w:val="Default"/>
    <w:next w:val="Default"/>
    <w:uiPriority w:val="99"/>
    <w:rsid w:val="006E4B86"/>
    <w:pPr>
      <w:spacing w:line="201" w:lineRule="atLeast"/>
    </w:pPr>
    <w:rPr>
      <w:rFonts w:cs="Times New Roman"/>
      <w:color w:val="auto"/>
    </w:rPr>
  </w:style>
  <w:style w:type="paragraph" w:customStyle="1" w:styleId="Pa19">
    <w:name w:val="Pa19"/>
    <w:basedOn w:val="Default"/>
    <w:next w:val="Default"/>
    <w:uiPriority w:val="99"/>
    <w:rsid w:val="006E4B86"/>
    <w:pPr>
      <w:spacing w:line="201" w:lineRule="atLeast"/>
    </w:pPr>
    <w:rPr>
      <w:rFonts w:cs="Times New Roman"/>
      <w:color w:val="auto"/>
    </w:rPr>
  </w:style>
  <w:style w:type="paragraph" w:customStyle="1" w:styleId="Pa11">
    <w:name w:val="Pa11"/>
    <w:basedOn w:val="Default"/>
    <w:next w:val="Default"/>
    <w:uiPriority w:val="99"/>
    <w:rsid w:val="006E4B86"/>
    <w:pPr>
      <w:spacing w:line="201" w:lineRule="atLeast"/>
    </w:pPr>
    <w:rPr>
      <w:rFonts w:cs="Times New Roman"/>
      <w:color w:val="auto"/>
    </w:rPr>
  </w:style>
  <w:style w:type="paragraph" w:customStyle="1" w:styleId="Pa10">
    <w:name w:val="Pa10"/>
    <w:basedOn w:val="Default"/>
    <w:next w:val="Default"/>
    <w:uiPriority w:val="99"/>
    <w:rsid w:val="00F03863"/>
    <w:pPr>
      <w:spacing w:line="201" w:lineRule="atLeast"/>
    </w:pPr>
    <w:rPr>
      <w:rFonts w:ascii="HelveticaNeueLT Std Med" w:hAnsi="HelveticaNeueLT Std Med" w:cs="Times New Roman"/>
      <w:color w:val="auto"/>
    </w:rPr>
  </w:style>
  <w:style w:type="paragraph" w:styleId="NormalWeb">
    <w:name w:val="Normal (Web)"/>
    <w:basedOn w:val="Normal"/>
    <w:uiPriority w:val="99"/>
    <w:rsid w:val="00626A3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val="en-US" w:eastAsia="en-US"/>
    </w:rPr>
  </w:style>
  <w:style w:type="character" w:customStyle="1" w:styleId="Heading1Char">
    <w:name w:val="Heading 1 Char"/>
    <w:basedOn w:val="DefaultParagraphFont"/>
    <w:link w:val="Heading1"/>
    <w:rsid w:val="00F34170"/>
    <w:rPr>
      <w:rFonts w:ascii="Arial" w:hAnsi="Arial"/>
      <w:b/>
      <w:kern w:val="16"/>
      <w:lang w:eastAsia="zh-CN"/>
    </w:rPr>
  </w:style>
  <w:style w:type="character" w:customStyle="1" w:styleId="Heading2Char">
    <w:name w:val="Heading 2 Char"/>
    <w:basedOn w:val="DefaultParagraphFont"/>
    <w:link w:val="Heading2"/>
    <w:rsid w:val="00F34170"/>
    <w:rPr>
      <w:rFonts w:ascii="Arial" w:hAnsi="Arial"/>
      <w:b/>
      <w:kern w:val="16"/>
      <w:lang w:eastAsia="zh-CN"/>
    </w:rPr>
  </w:style>
  <w:style w:type="character" w:customStyle="1" w:styleId="Heading3Char">
    <w:name w:val="Heading 3 Char"/>
    <w:basedOn w:val="DefaultParagraphFont"/>
    <w:link w:val="Heading3"/>
    <w:rsid w:val="00F34170"/>
    <w:rPr>
      <w:rFonts w:ascii="Arial" w:hAnsi="Arial"/>
      <w:kern w:val="16"/>
      <w:lang w:eastAsia="zh-CN"/>
    </w:rPr>
  </w:style>
  <w:style w:type="character" w:customStyle="1" w:styleId="Heading4Char">
    <w:name w:val="Heading 4 Char"/>
    <w:basedOn w:val="DefaultParagraphFont"/>
    <w:link w:val="Heading4"/>
    <w:rsid w:val="00F34170"/>
    <w:rPr>
      <w:rFonts w:ascii="Arial" w:hAnsi="Arial"/>
      <w:kern w:val="16"/>
      <w:lang w:eastAsia="zh-CN"/>
    </w:rPr>
  </w:style>
  <w:style w:type="character" w:customStyle="1" w:styleId="Heading5Char">
    <w:name w:val="Heading 5 Char"/>
    <w:basedOn w:val="DefaultParagraphFont"/>
    <w:link w:val="Heading5"/>
    <w:rsid w:val="00F34170"/>
    <w:rPr>
      <w:rFonts w:ascii="Arial" w:hAnsi="Arial"/>
      <w:kern w:val="16"/>
      <w:lang w:eastAsia="zh-CN"/>
    </w:rPr>
  </w:style>
  <w:style w:type="character" w:customStyle="1" w:styleId="Heading6Char">
    <w:name w:val="Heading 6 Char"/>
    <w:basedOn w:val="DefaultParagraphFont"/>
    <w:link w:val="Heading6"/>
    <w:rsid w:val="00F34170"/>
    <w:rPr>
      <w:rFonts w:ascii="Arial" w:hAnsi="Arial"/>
      <w:kern w:val="16"/>
      <w:lang w:eastAsia="zh-CN"/>
    </w:rPr>
  </w:style>
  <w:style w:type="character" w:customStyle="1" w:styleId="Heading7Char">
    <w:name w:val="Heading 7 Char"/>
    <w:basedOn w:val="DefaultParagraphFont"/>
    <w:link w:val="Heading7"/>
    <w:rsid w:val="00F34170"/>
    <w:rPr>
      <w:rFonts w:ascii="Arial" w:hAnsi="Arial"/>
      <w:kern w:val="16"/>
      <w:lang w:eastAsia="zh-CN"/>
    </w:rPr>
  </w:style>
  <w:style w:type="character" w:customStyle="1" w:styleId="Heading8Char">
    <w:name w:val="Heading 8 Char"/>
    <w:basedOn w:val="DefaultParagraphFont"/>
    <w:link w:val="Heading8"/>
    <w:rsid w:val="00F34170"/>
    <w:rPr>
      <w:rFonts w:ascii="Arial" w:hAnsi="Arial"/>
      <w:kern w:val="16"/>
      <w:lang w:eastAsia="zh-CN"/>
    </w:rPr>
  </w:style>
  <w:style w:type="character" w:customStyle="1" w:styleId="Heading9Char">
    <w:name w:val="Heading 9 Char"/>
    <w:basedOn w:val="DefaultParagraphFont"/>
    <w:link w:val="Heading9"/>
    <w:rsid w:val="00F34170"/>
    <w:rPr>
      <w:rFonts w:ascii="Arial" w:hAnsi="Arial"/>
      <w:kern w:val="16"/>
      <w:lang w:eastAsia="zh-CN"/>
    </w:rPr>
  </w:style>
  <w:style w:type="character" w:customStyle="1" w:styleId="BalloonTextChar">
    <w:name w:val="Balloon Text Char"/>
    <w:basedOn w:val="DefaultParagraphFont"/>
    <w:link w:val="BalloonText"/>
    <w:uiPriority w:val="99"/>
    <w:semiHidden/>
    <w:rsid w:val="00F34170"/>
    <w:rPr>
      <w:rFonts w:ascii="Tahoma" w:hAnsi="Tahoma" w:cs="Tahoma"/>
      <w:kern w:val="16"/>
      <w:sz w:val="16"/>
      <w:szCs w:val="16"/>
      <w:lang w:eastAsia="zh-CN"/>
    </w:rPr>
  </w:style>
  <w:style w:type="character" w:customStyle="1" w:styleId="u">
    <w:name w:val="u"/>
    <w:basedOn w:val="DefaultParagraphFont"/>
    <w:rsid w:val="00F34170"/>
    <w:rPr>
      <w:rFonts w:ascii="&amp;quot" w:hAnsi="&amp;quot" w:hint="default"/>
      <w:sz w:val="22"/>
      <w:szCs w:val="22"/>
    </w:rPr>
  </w:style>
  <w:style w:type="paragraph" w:styleId="ListParagraph">
    <w:name w:val="List Paragraph"/>
    <w:basedOn w:val="Normal"/>
    <w:uiPriority w:val="34"/>
    <w:qFormat/>
    <w:rsid w:val="00F34170"/>
    <w:pPr>
      <w:ind w:left="720"/>
      <w:contextualSpacing/>
    </w:pPr>
  </w:style>
  <w:style w:type="character" w:customStyle="1" w:styleId="bw">
    <w:name w:val="bw"/>
    <w:basedOn w:val="DefaultParagraphFont"/>
    <w:rsid w:val="00B260B8"/>
  </w:style>
  <w:style w:type="character" w:customStyle="1" w:styleId="HeaderChar">
    <w:name w:val="Header Char"/>
    <w:basedOn w:val="DefaultParagraphFont"/>
    <w:link w:val="Header"/>
    <w:uiPriority w:val="99"/>
    <w:rsid w:val="00F231E1"/>
    <w:rPr>
      <w:rFonts w:ascii="Arial" w:hAnsi="Arial"/>
      <w:kern w:val="16"/>
      <w:lang w:eastAsia="zh-CN"/>
    </w:rPr>
  </w:style>
  <w:style w:type="character" w:customStyle="1" w:styleId="FooterChar">
    <w:name w:val="Footer Char"/>
    <w:basedOn w:val="DefaultParagraphFont"/>
    <w:link w:val="Footer"/>
    <w:rsid w:val="00F231E1"/>
    <w:rPr>
      <w:rFonts w:ascii="Arial" w:hAnsi="Arial"/>
      <w:kern w:val="16"/>
      <w:sz w:val="12"/>
      <w:lang w:eastAsia="zh-CN"/>
    </w:rPr>
  </w:style>
  <w:style w:type="character" w:customStyle="1" w:styleId="BodyTextChar">
    <w:name w:val="Body Text Char"/>
    <w:basedOn w:val="DefaultParagraphFont"/>
    <w:link w:val="BodyText"/>
    <w:rsid w:val="00F231E1"/>
    <w:rPr>
      <w:rFonts w:ascii="Arial" w:hAnsi="Arial"/>
      <w:kern w:val="16"/>
      <w:lang w:eastAsia="zh-CN"/>
    </w:rPr>
  </w:style>
  <w:style w:type="character" w:customStyle="1" w:styleId="BodyTextIndentChar">
    <w:name w:val="Body Text Indent Char"/>
    <w:basedOn w:val="DefaultParagraphFont"/>
    <w:link w:val="BodyTextIndent"/>
    <w:rsid w:val="00F231E1"/>
    <w:rPr>
      <w:rFonts w:ascii="Arial" w:hAnsi="Arial"/>
      <w:kern w:val="16"/>
      <w:lang w:eastAsia="zh-CN"/>
    </w:rPr>
  </w:style>
  <w:style w:type="character" w:customStyle="1" w:styleId="ClosingChar">
    <w:name w:val="Closing Char"/>
    <w:basedOn w:val="DefaultParagraphFont"/>
    <w:link w:val="Closing"/>
    <w:rsid w:val="00F231E1"/>
    <w:rPr>
      <w:rFonts w:ascii="Arial" w:hAnsi="Arial"/>
      <w:kern w:val="16"/>
      <w:lang w:eastAsia="zh-CN"/>
    </w:rPr>
  </w:style>
  <w:style w:type="character" w:customStyle="1" w:styleId="EndnoteTextChar">
    <w:name w:val="Endnote Text Char"/>
    <w:basedOn w:val="DefaultParagraphFont"/>
    <w:link w:val="EndnoteText"/>
    <w:semiHidden/>
    <w:rsid w:val="00F231E1"/>
    <w:rPr>
      <w:rFonts w:ascii="Arial" w:hAnsi="Arial"/>
      <w:kern w:val="16"/>
      <w:sz w:val="16"/>
      <w:lang w:eastAsia="zh-CN"/>
    </w:rPr>
  </w:style>
  <w:style w:type="character" w:customStyle="1" w:styleId="MessageHeaderChar">
    <w:name w:val="Message Header Char"/>
    <w:basedOn w:val="DefaultParagraphFont"/>
    <w:link w:val="MessageHeader"/>
    <w:rsid w:val="00F231E1"/>
    <w:rPr>
      <w:rFonts w:ascii="Arial" w:hAnsi="Arial"/>
      <w:kern w:val="16"/>
      <w:sz w:val="24"/>
      <w:lang w:eastAsia="zh-CN"/>
    </w:rPr>
  </w:style>
  <w:style w:type="character" w:customStyle="1" w:styleId="SignatureChar">
    <w:name w:val="Signature Char"/>
    <w:basedOn w:val="DefaultParagraphFont"/>
    <w:link w:val="Signature"/>
    <w:rsid w:val="00F231E1"/>
    <w:rPr>
      <w:rFonts w:ascii="Arial" w:hAnsi="Arial"/>
      <w:kern w:val="16"/>
      <w:lang w:eastAsia="zh-CN"/>
    </w:rPr>
  </w:style>
  <w:style w:type="character" w:customStyle="1" w:styleId="SubtitleChar">
    <w:name w:val="Subtitle Char"/>
    <w:basedOn w:val="DefaultParagraphFont"/>
    <w:link w:val="Subtitle"/>
    <w:rsid w:val="00F231E1"/>
    <w:rPr>
      <w:rFonts w:ascii="Arial" w:hAnsi="Arial"/>
      <w:i/>
      <w:kern w:val="16"/>
      <w:sz w:val="24"/>
      <w:lang w:eastAsia="zh-CN"/>
    </w:rPr>
  </w:style>
  <w:style w:type="character" w:customStyle="1" w:styleId="TitleChar">
    <w:name w:val="Title Char"/>
    <w:basedOn w:val="DefaultParagraphFont"/>
    <w:link w:val="Title"/>
    <w:rsid w:val="00F231E1"/>
    <w:rPr>
      <w:rFonts w:ascii="Arial" w:hAnsi="Arial"/>
      <w:b/>
      <w:kern w:val="16"/>
      <w:sz w:val="32"/>
      <w:lang w:eastAsia="zh-CN"/>
    </w:rPr>
  </w:style>
  <w:style w:type="character" w:customStyle="1" w:styleId="FootnoteTextChar">
    <w:name w:val="Footnote Text Char"/>
    <w:basedOn w:val="DefaultParagraphFont"/>
    <w:link w:val="FootnoteText"/>
    <w:semiHidden/>
    <w:rsid w:val="00F231E1"/>
    <w:rPr>
      <w:rFonts w:ascii="Arial" w:hAnsi="Arial"/>
      <w:kern w:val="16"/>
      <w:sz w:val="16"/>
      <w:lang w:eastAsia="zh-CN"/>
    </w:rPr>
  </w:style>
  <w:style w:type="character" w:customStyle="1" w:styleId="MacroTextChar">
    <w:name w:val="Macro Text Char"/>
    <w:basedOn w:val="DefaultParagraphFont"/>
    <w:link w:val="MacroText"/>
    <w:semiHidden/>
    <w:rsid w:val="00F231E1"/>
    <w:rPr>
      <w:rFonts w:ascii="Courier New" w:hAnsi="Courier New"/>
      <w:sz w:val="16"/>
      <w:lang w:eastAsia="zh-CN"/>
    </w:rPr>
  </w:style>
  <w:style w:type="character" w:customStyle="1" w:styleId="QuoteChar">
    <w:name w:val="Quote Char"/>
    <w:basedOn w:val="DefaultParagraphFont"/>
    <w:link w:val="Quote"/>
    <w:rsid w:val="00F231E1"/>
    <w:rPr>
      <w:rFonts w:ascii="Arial" w:hAnsi="Arial"/>
      <w:kern w:val="16"/>
      <w:lang w:eastAsia="zh-CN"/>
    </w:rPr>
  </w:style>
  <w:style w:type="character" w:customStyle="1" w:styleId="CommentTextChar">
    <w:name w:val="Comment Text Char"/>
    <w:basedOn w:val="DefaultParagraphFont"/>
    <w:link w:val="CommentText"/>
    <w:semiHidden/>
    <w:rsid w:val="00F231E1"/>
    <w:rPr>
      <w:rFonts w:ascii="Arial" w:hAnsi="Arial"/>
      <w:kern w:val="16"/>
      <w:lang w:eastAsia="zh-CN"/>
    </w:rPr>
  </w:style>
  <w:style w:type="character" w:customStyle="1" w:styleId="CommentSubjectChar">
    <w:name w:val="Comment Subject Char"/>
    <w:basedOn w:val="CommentTextChar"/>
    <w:link w:val="CommentSubject"/>
    <w:semiHidden/>
    <w:rsid w:val="00F231E1"/>
    <w:rPr>
      <w:rFonts w:ascii="Arial" w:hAnsi="Arial"/>
      <w:b/>
      <w:bCs/>
      <w:kern w:val="16"/>
      <w:lang w:eastAsia="zh-CN"/>
    </w:rPr>
  </w:style>
  <w:style w:type="character" w:styleId="UnresolvedMention">
    <w:name w:val="Unresolved Mention"/>
    <w:basedOn w:val="DefaultParagraphFont"/>
    <w:uiPriority w:val="99"/>
    <w:semiHidden/>
    <w:unhideWhenUsed/>
    <w:rsid w:val="00DE09EC"/>
    <w:rPr>
      <w:color w:val="605E5C"/>
      <w:shd w:val="clear" w:color="auto" w:fill="E1DFDD"/>
    </w:rPr>
  </w:style>
  <w:style w:type="paragraph" w:styleId="Revision">
    <w:name w:val="Revision"/>
    <w:hidden/>
    <w:uiPriority w:val="99"/>
    <w:semiHidden/>
    <w:rsid w:val="00101793"/>
    <w:rPr>
      <w:rFonts w:ascii="Arial" w:hAnsi="Arial"/>
      <w:kern w:val="16"/>
      <w:lang w:eastAsia="zh-CN"/>
    </w:rPr>
  </w:style>
  <w:style w:type="paragraph" w:customStyle="1" w:styleId="CLBHeading1">
    <w:name w:val="CLB_Heading 1"/>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before="180" w:after="85" w:line="240" w:lineRule="exact"/>
    </w:pPr>
    <w:rPr>
      <w:rFonts w:ascii="HelveticaNeueLT Std" w:eastAsiaTheme="majorEastAsia" w:hAnsi="HelveticaNeueLT Std" w:cstheme="majorBidi"/>
      <w:b/>
      <w:color w:val="2A3188"/>
      <w:spacing w:val="-2"/>
      <w:kern w:val="2"/>
      <w:szCs w:val="24"/>
      <w:lang w:eastAsia="en-GB"/>
      <w14:ligatures w14:val="standardContextual"/>
    </w:rPr>
  </w:style>
  <w:style w:type="paragraph" w:customStyle="1" w:styleId="CLBHeading2">
    <w:name w:val="CLB_Heading 2"/>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after="85" w:line="220" w:lineRule="exact"/>
      <w:contextualSpacing/>
    </w:pPr>
    <w:rPr>
      <w:rFonts w:ascii="HelveticaNeueLT Std" w:eastAsiaTheme="majorEastAsia" w:hAnsi="HelveticaNeueLT Std" w:cstheme="majorBidi"/>
      <w:b/>
      <w:spacing w:val="-2"/>
      <w:kern w:val="2"/>
      <w:sz w:val="18"/>
      <w:szCs w:val="24"/>
      <w:lang w:eastAsia="en-GB"/>
      <w14:ligatures w14:val="standardContextual"/>
    </w:rPr>
  </w:style>
  <w:style w:type="paragraph" w:customStyle="1" w:styleId="CLB-List">
    <w:name w:val="CLB-List"/>
    <w:basedOn w:val="ListParagraph"/>
    <w:qFormat/>
    <w:rsid w:val="00101793"/>
    <w:pPr>
      <w:numPr>
        <w:numId w:val="23"/>
      </w:numPr>
      <w:tabs>
        <w:tab w:val="clear" w:pos="709"/>
        <w:tab w:val="clear" w:pos="1418"/>
        <w:tab w:val="clear" w:pos="2126"/>
        <w:tab w:val="clear" w:pos="2835"/>
        <w:tab w:val="clear" w:pos="3544"/>
        <w:tab w:val="clear" w:pos="4253"/>
        <w:tab w:val="clear" w:pos="4961"/>
        <w:tab w:val="clear" w:pos="5670"/>
        <w:tab w:val="clear" w:pos="8363"/>
      </w:tabs>
      <w:spacing w:after="170" w:line="210" w:lineRule="exact"/>
      <w:contextualSpacing w:val="0"/>
    </w:pPr>
    <w:rPr>
      <w:rFonts w:ascii="HelveticaNeueLT Std Lt" w:eastAsia="Arial" w:hAnsi="HelveticaNeueLT Std Lt" w:cstheme="minorBidi"/>
      <w:kern w:val="2"/>
      <w:sz w:val="17"/>
      <w:szCs w:val="24"/>
      <w:lang w:eastAsia="en-GB"/>
      <w14:ligatures w14:val="standardContextual"/>
    </w:rPr>
  </w:style>
  <w:style w:type="paragraph" w:customStyle="1" w:styleId="CLB-List-a">
    <w:name w:val="CLB-List-a"/>
    <w:basedOn w:val="ListParagraph"/>
    <w:qFormat/>
    <w:rsid w:val="00101793"/>
    <w:pPr>
      <w:numPr>
        <w:numId w:val="24"/>
      </w:numPr>
      <w:tabs>
        <w:tab w:val="clear" w:pos="709"/>
        <w:tab w:val="clear" w:pos="1418"/>
        <w:tab w:val="clear" w:pos="2126"/>
        <w:tab w:val="clear" w:pos="2835"/>
        <w:tab w:val="clear" w:pos="3544"/>
        <w:tab w:val="clear" w:pos="4253"/>
        <w:tab w:val="clear" w:pos="4961"/>
        <w:tab w:val="clear" w:pos="5670"/>
        <w:tab w:val="clear" w:pos="8363"/>
      </w:tabs>
      <w:spacing w:after="170" w:line="210" w:lineRule="exact"/>
      <w:contextualSpacing w:val="0"/>
    </w:pPr>
    <w:rPr>
      <w:rFonts w:ascii="HelveticaNeueLT Std Lt" w:eastAsia="Arial" w:hAnsi="HelveticaNeueLT Std Lt" w:cstheme="minorBidi"/>
      <w:kern w:val="2"/>
      <w:sz w:val="17"/>
      <w:szCs w:val="24"/>
      <w:lang w:eastAsia="en-GB"/>
      <w14:ligatures w14:val="standardContextual"/>
    </w:rPr>
  </w:style>
  <w:style w:type="paragraph" w:customStyle="1" w:styleId="CLB-List-1">
    <w:name w:val="CLB-List-1"/>
    <w:basedOn w:val="ListParagraph"/>
    <w:qFormat/>
    <w:rsid w:val="00101793"/>
    <w:pPr>
      <w:numPr>
        <w:ilvl w:val="1"/>
        <w:numId w:val="25"/>
      </w:numPr>
      <w:tabs>
        <w:tab w:val="clear" w:pos="709"/>
        <w:tab w:val="clear" w:pos="1418"/>
        <w:tab w:val="clear" w:pos="2126"/>
        <w:tab w:val="clear" w:pos="2835"/>
        <w:tab w:val="clear" w:pos="3544"/>
        <w:tab w:val="clear" w:pos="4253"/>
        <w:tab w:val="clear" w:pos="4961"/>
        <w:tab w:val="clear" w:pos="5670"/>
        <w:tab w:val="clear" w:pos="8363"/>
      </w:tabs>
      <w:spacing w:after="170" w:line="210" w:lineRule="exact"/>
      <w:contextualSpacing w:val="0"/>
    </w:pPr>
    <w:rPr>
      <w:rFonts w:ascii="HelveticaNeueLT Std Lt" w:eastAsia="Arial" w:hAnsi="HelveticaNeueLT Std Lt" w:cstheme="minorBidi"/>
      <w:kern w:val="2"/>
      <w:sz w:val="17"/>
      <w:szCs w:val="24"/>
      <w:lang w:eastAsia="en-GB"/>
      <w14:ligatures w14:val="standardContextual"/>
    </w:rPr>
  </w:style>
  <w:style w:type="paragraph" w:customStyle="1" w:styleId="CLB-Bodytext-indent">
    <w:name w:val="CLB-Bodytext-indent"/>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after="170" w:line="210" w:lineRule="exact"/>
      <w:ind w:left="284"/>
    </w:pPr>
    <w:rPr>
      <w:rFonts w:ascii="HelveticaNeueLT Std Lt" w:eastAsia="Arial" w:hAnsi="HelveticaNeueLT Std Lt" w:cstheme="minorBidi"/>
      <w:kern w:val="2"/>
      <w:sz w:val="17"/>
      <w:szCs w:val="24"/>
      <w:lang w:eastAsia="en-GB"/>
      <w14:ligatures w14:val="standardContextual"/>
    </w:rPr>
  </w:style>
  <w:style w:type="paragraph" w:customStyle="1" w:styleId="CLB-Bodytext-indent-2">
    <w:name w:val="CLB-Bodytext-indent-2"/>
    <w:basedOn w:val="CLB-Bodytext-indent"/>
    <w:qFormat/>
    <w:rsid w:val="00101793"/>
    <w:pPr>
      <w:ind w:left="567"/>
    </w:pPr>
  </w:style>
  <w:style w:type="paragraph" w:customStyle="1" w:styleId="CLB-Picture">
    <w:name w:val="CLB-Picture"/>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after="170" w:line="240" w:lineRule="auto"/>
    </w:pPr>
    <w:rPr>
      <w:rFonts w:ascii="HelveticaNeueLT Std Lt" w:eastAsia="Arial" w:hAnsi="HelveticaNeueLT Std Lt" w:cstheme="minorBidi"/>
      <w:kern w:val="2"/>
      <w:sz w:val="17"/>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4100">
      <w:bodyDiv w:val="1"/>
      <w:marLeft w:val="0"/>
      <w:marRight w:val="0"/>
      <w:marTop w:val="0"/>
      <w:marBottom w:val="0"/>
      <w:divBdr>
        <w:top w:val="none" w:sz="0" w:space="0" w:color="auto"/>
        <w:left w:val="none" w:sz="0" w:space="0" w:color="auto"/>
        <w:bottom w:val="none" w:sz="0" w:space="0" w:color="auto"/>
        <w:right w:val="none" w:sz="0" w:space="0" w:color="auto"/>
      </w:divBdr>
    </w:div>
    <w:div w:id="88194259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521234">
          <w:marLeft w:val="0"/>
          <w:marRight w:val="0"/>
          <w:marTop w:val="0"/>
          <w:marBottom w:val="0"/>
          <w:divBdr>
            <w:top w:val="none" w:sz="0" w:space="0" w:color="auto"/>
            <w:left w:val="none" w:sz="0" w:space="0" w:color="auto"/>
            <w:bottom w:val="none" w:sz="0" w:space="0" w:color="auto"/>
            <w:right w:val="none" w:sz="0" w:space="0" w:color="auto"/>
          </w:divBdr>
          <w:divsChild>
            <w:div w:id="2017733215">
              <w:marLeft w:val="0"/>
              <w:marRight w:val="0"/>
              <w:marTop w:val="0"/>
              <w:marBottom w:val="0"/>
              <w:divBdr>
                <w:top w:val="none" w:sz="0" w:space="0" w:color="auto"/>
                <w:left w:val="none" w:sz="0" w:space="0" w:color="auto"/>
                <w:bottom w:val="none" w:sz="0" w:space="0" w:color="auto"/>
                <w:right w:val="none" w:sz="0" w:space="0" w:color="auto"/>
              </w:divBdr>
              <w:divsChild>
                <w:div w:id="18299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99228">
      <w:bodyDiv w:val="1"/>
      <w:marLeft w:val="0"/>
      <w:marRight w:val="0"/>
      <w:marTop w:val="0"/>
      <w:marBottom w:val="0"/>
      <w:divBdr>
        <w:top w:val="none" w:sz="0" w:space="0" w:color="auto"/>
        <w:left w:val="none" w:sz="0" w:space="0" w:color="auto"/>
        <w:bottom w:val="none" w:sz="0" w:space="0" w:color="auto"/>
        <w:right w:val="none" w:sz="0" w:space="0" w:color="auto"/>
      </w:divBdr>
    </w:div>
    <w:div w:id="2007129989">
      <w:bodyDiv w:val="1"/>
      <w:marLeft w:val="0"/>
      <w:marRight w:val="0"/>
      <w:marTop w:val="0"/>
      <w:marBottom w:val="0"/>
      <w:divBdr>
        <w:top w:val="none" w:sz="0" w:space="0" w:color="auto"/>
        <w:left w:val="none" w:sz="0" w:space="0" w:color="auto"/>
        <w:bottom w:val="none" w:sz="0" w:space="0" w:color="auto"/>
        <w:right w:val="none" w:sz="0" w:space="0" w:color="auto"/>
      </w:divBdr>
      <w:divsChild>
        <w:div w:id="196202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laughter%20and%20May\Templates\Documents\Document%20Layou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 Layouts</Template>
  <TotalTime>112</TotalTime>
  <Pages>4</Pages>
  <Words>1620</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Close Brothers Group PLC</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Hudspith</dc:creator>
  <cp:lastModifiedBy>Hannah Holman (Group)</cp:lastModifiedBy>
  <cp:revision>8</cp:revision>
  <cp:lastPrinted>2018-11-15T17:58:00Z</cp:lastPrinted>
  <dcterms:created xsi:type="dcterms:W3CDTF">2022-11-16T17:52:00Z</dcterms:created>
  <dcterms:modified xsi:type="dcterms:W3CDTF">2023-11-16T13:16:00Z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lient">
    <vt:lpwstr>CLOSE BROTHERS GROUP PLC</vt:lpwstr>
  </property>
  <property fmtid="{D5CDD505-2E9C-101B-9397-08002B2CF9AE}" pid="3" name="udp_Matter">
    <vt:lpwstr>2009 AGM</vt:lpwstr>
  </property>
  <property fmtid="{D5CDD505-2E9C-101B-9397-08002B2CF9AE}" pid="4" name="udp_CMNumber">
    <vt:lpwstr>209166/10072</vt:lpwstr>
  </property>
  <property fmtid="{D5CDD505-2E9C-101B-9397-08002B2CF9AE}" pid="5" name="udp_DocID">
    <vt:lpwstr>CDCopy1</vt:lpwstr>
  </property>
  <property fmtid="{D5CDD505-2E9C-101B-9397-08002B2CF9AE}" pid="6" name="udp_Author">
    <vt:lpwstr>SJQB</vt:lpwstr>
  </property>
  <property fmtid="{D5CDD505-2E9C-101B-9397-08002B2CF9AE}" pid="7" name="MSIP_Label_a00ef8b9-407a-4582-9172-aa510be173b5_Enabled">
    <vt:lpwstr>true</vt:lpwstr>
  </property>
  <property fmtid="{D5CDD505-2E9C-101B-9397-08002B2CF9AE}" pid="8" name="MSIP_Label_a00ef8b9-407a-4582-9172-aa510be173b5_SetDate">
    <vt:lpwstr>2023-11-14T21:32:11Z</vt:lpwstr>
  </property>
  <property fmtid="{D5CDD505-2E9C-101B-9397-08002B2CF9AE}" pid="9" name="MSIP_Label_a00ef8b9-407a-4582-9172-aa510be173b5_Method">
    <vt:lpwstr>Privileged</vt:lpwstr>
  </property>
  <property fmtid="{D5CDD505-2E9C-101B-9397-08002B2CF9AE}" pid="10" name="MSIP_Label_a00ef8b9-407a-4582-9172-aa510be173b5_Name">
    <vt:lpwstr>Printed Letter</vt:lpwstr>
  </property>
  <property fmtid="{D5CDD505-2E9C-101B-9397-08002B2CF9AE}" pid="11" name="MSIP_Label_a00ef8b9-407a-4582-9172-aa510be173b5_SiteId">
    <vt:lpwstr>6335d01f-7f39-4001-bc5a-e0e111dcf10c</vt:lpwstr>
  </property>
  <property fmtid="{D5CDD505-2E9C-101B-9397-08002B2CF9AE}" pid="12" name="MSIP_Label_a00ef8b9-407a-4582-9172-aa510be173b5_ActionId">
    <vt:lpwstr>30faa43a-f8bd-4daa-a978-0f017e3182c1</vt:lpwstr>
  </property>
  <property fmtid="{D5CDD505-2E9C-101B-9397-08002B2CF9AE}" pid="13" name="MSIP_Label_a00ef8b9-407a-4582-9172-aa510be173b5_ContentBits">
    <vt:lpwstr>0</vt:lpwstr>
  </property>
</Properties>
</file>