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A6C91" w14:textId="7AFA4232" w:rsidR="00E06C1F" w:rsidRPr="000E3045" w:rsidRDefault="000C341A" w:rsidP="00830E3C">
      <w:pPr>
        <w:spacing w:before="120" w:after="120"/>
        <w:jc w:val="center"/>
        <w:rPr>
          <w:rFonts w:ascii="Arial" w:hAnsi="Arial" w:cs="Arial"/>
          <w:b/>
          <w:bCs/>
          <w:color w:val="0D0D0D"/>
          <w:sz w:val="22"/>
          <w:szCs w:val="22"/>
        </w:rPr>
      </w:pPr>
      <w:r w:rsidRPr="000E3045">
        <w:rPr>
          <w:rStyle w:val="au"/>
          <w:rFonts w:ascii="Arial" w:hAnsi="Arial" w:cs="Arial"/>
          <w:b/>
          <w:bCs/>
          <w:color w:val="0D0D0D"/>
          <w:sz w:val="22"/>
          <w:szCs w:val="22"/>
        </w:rPr>
        <w:t>The Edinburgh Investment Trust</w:t>
      </w:r>
      <w:r w:rsidR="00E06C1F" w:rsidRPr="000E3045">
        <w:rPr>
          <w:rStyle w:val="au"/>
          <w:rFonts w:ascii="Arial" w:hAnsi="Arial" w:cs="Arial"/>
          <w:b/>
          <w:bCs/>
          <w:color w:val="0D0D0D"/>
          <w:sz w:val="22"/>
          <w:szCs w:val="22"/>
        </w:rPr>
        <w:t xml:space="preserve"> plc</w:t>
      </w:r>
    </w:p>
    <w:p w14:paraId="4943B41E" w14:textId="77777777" w:rsidR="00E06C1F" w:rsidRPr="000E3045" w:rsidRDefault="0043570F" w:rsidP="00E06C1F">
      <w:pPr>
        <w:spacing w:before="120" w:after="120"/>
        <w:jc w:val="center"/>
        <w:rPr>
          <w:rStyle w:val="au"/>
          <w:rFonts w:ascii="Arial" w:hAnsi="Arial" w:cs="Arial"/>
          <w:b/>
          <w:bCs/>
          <w:sz w:val="22"/>
          <w:szCs w:val="22"/>
        </w:rPr>
      </w:pPr>
      <w:r w:rsidRPr="000E3045">
        <w:rPr>
          <w:rStyle w:val="au"/>
          <w:rFonts w:ascii="Arial" w:hAnsi="Arial" w:cs="Arial"/>
          <w:b/>
          <w:bCs/>
          <w:color w:val="0D0D0D"/>
          <w:sz w:val="22"/>
          <w:szCs w:val="22"/>
        </w:rPr>
        <w:t>RESULT OF ANNUAL GENERAL MEETING</w:t>
      </w:r>
    </w:p>
    <w:p w14:paraId="5141F3F4" w14:textId="4320E242" w:rsidR="000B62FE" w:rsidRPr="000E3045" w:rsidRDefault="00E06C1F" w:rsidP="00D45713">
      <w:pPr>
        <w:jc w:val="both"/>
        <w:rPr>
          <w:rFonts w:ascii="Arial" w:hAnsi="Arial" w:cs="Arial"/>
          <w:sz w:val="22"/>
          <w:szCs w:val="22"/>
        </w:rPr>
      </w:pPr>
      <w:r w:rsidRPr="000E3045">
        <w:rPr>
          <w:rFonts w:ascii="Arial" w:hAnsi="Arial" w:cs="Arial"/>
          <w:color w:val="0D0D0D"/>
          <w:sz w:val="22"/>
          <w:szCs w:val="22"/>
          <w:lang w:eastAsia="en-GB"/>
        </w:rPr>
        <w:t xml:space="preserve">The Board of </w:t>
      </w:r>
      <w:r w:rsidR="00830E3C" w:rsidRPr="000E3045">
        <w:rPr>
          <w:rFonts w:ascii="Arial" w:hAnsi="Arial" w:cs="Arial"/>
          <w:color w:val="0D0D0D"/>
          <w:sz w:val="22"/>
          <w:szCs w:val="22"/>
          <w:lang w:eastAsia="en-GB"/>
        </w:rPr>
        <w:t>The Edinburgh Investment Trust</w:t>
      </w:r>
      <w:r w:rsidRPr="000E3045">
        <w:rPr>
          <w:rFonts w:ascii="Arial" w:hAnsi="Arial" w:cs="Arial"/>
          <w:color w:val="0D0D0D"/>
          <w:sz w:val="22"/>
          <w:szCs w:val="22"/>
          <w:lang w:eastAsia="en-GB"/>
        </w:rPr>
        <w:t xml:space="preserve"> plc (ticker: </w:t>
      </w:r>
      <w:r w:rsidR="000E3045" w:rsidRPr="000E3045">
        <w:rPr>
          <w:rFonts w:ascii="Arial" w:hAnsi="Arial" w:cs="Arial"/>
          <w:color w:val="0D0D0D"/>
          <w:sz w:val="22"/>
          <w:szCs w:val="22"/>
          <w:lang w:eastAsia="en-GB"/>
        </w:rPr>
        <w:t>EDIN</w:t>
      </w:r>
      <w:r w:rsidRPr="000E3045">
        <w:rPr>
          <w:rFonts w:ascii="Arial" w:hAnsi="Arial" w:cs="Arial"/>
          <w:color w:val="0D0D0D"/>
          <w:sz w:val="22"/>
          <w:szCs w:val="22"/>
          <w:lang w:eastAsia="en-GB"/>
        </w:rPr>
        <w:t>), is pleased to announce</w:t>
      </w:r>
      <w:r w:rsidR="00C76189" w:rsidRPr="000E3045">
        <w:rPr>
          <w:rFonts w:ascii="Arial" w:hAnsi="Arial" w:cs="Arial"/>
          <w:sz w:val="22"/>
          <w:szCs w:val="22"/>
        </w:rPr>
        <w:t xml:space="preserve"> that </w:t>
      </w:r>
      <w:r w:rsidR="00087027" w:rsidRPr="000E3045">
        <w:rPr>
          <w:rFonts w:ascii="Arial" w:hAnsi="Arial" w:cs="Arial"/>
          <w:sz w:val="22"/>
          <w:szCs w:val="22"/>
        </w:rPr>
        <w:t>all</w:t>
      </w:r>
      <w:r w:rsidR="00A32D60" w:rsidRPr="000E3045">
        <w:rPr>
          <w:rFonts w:ascii="Arial" w:hAnsi="Arial" w:cs="Arial"/>
          <w:sz w:val="22"/>
          <w:szCs w:val="22"/>
        </w:rPr>
        <w:t xml:space="preserve"> the </w:t>
      </w:r>
      <w:r w:rsidR="00C76189" w:rsidRPr="000E3045">
        <w:rPr>
          <w:rFonts w:ascii="Arial" w:hAnsi="Arial" w:cs="Arial"/>
          <w:sz w:val="22"/>
          <w:szCs w:val="22"/>
        </w:rPr>
        <w:t xml:space="preserve">resolutions </w:t>
      </w:r>
      <w:r w:rsidR="00677C1A" w:rsidRPr="000E3045">
        <w:rPr>
          <w:rFonts w:ascii="Arial" w:hAnsi="Arial" w:cs="Arial"/>
          <w:sz w:val="22"/>
          <w:szCs w:val="22"/>
        </w:rPr>
        <w:t xml:space="preserve">put forward </w:t>
      </w:r>
      <w:r w:rsidR="00C76189" w:rsidRPr="000E3045">
        <w:rPr>
          <w:rFonts w:ascii="Arial" w:hAnsi="Arial" w:cs="Arial"/>
          <w:sz w:val="22"/>
          <w:szCs w:val="22"/>
        </w:rPr>
        <w:t xml:space="preserve">at its Annual General Meeting held </w:t>
      </w:r>
      <w:r w:rsidR="004A2853" w:rsidRPr="000E3045">
        <w:rPr>
          <w:rFonts w:ascii="Arial" w:hAnsi="Arial" w:cs="Arial"/>
          <w:sz w:val="22"/>
          <w:szCs w:val="22"/>
        </w:rPr>
        <w:t>earlier today</w:t>
      </w:r>
      <w:r w:rsidR="00366B31">
        <w:rPr>
          <w:rFonts w:ascii="Arial" w:hAnsi="Arial" w:cs="Arial"/>
          <w:sz w:val="22"/>
          <w:szCs w:val="22"/>
        </w:rPr>
        <w:t xml:space="preserve"> </w:t>
      </w:r>
      <w:r w:rsidR="00F95EDF">
        <w:rPr>
          <w:rFonts w:ascii="Arial" w:hAnsi="Arial" w:cs="Arial"/>
          <w:sz w:val="22"/>
          <w:szCs w:val="22"/>
        </w:rPr>
        <w:t xml:space="preserve">were </w:t>
      </w:r>
      <w:r w:rsidR="00366B31">
        <w:rPr>
          <w:rFonts w:ascii="Arial" w:hAnsi="Arial" w:cs="Arial"/>
          <w:sz w:val="22"/>
          <w:szCs w:val="22"/>
        </w:rPr>
        <w:t>passed</w:t>
      </w:r>
      <w:r w:rsidR="00087027">
        <w:rPr>
          <w:rFonts w:ascii="Arial" w:hAnsi="Arial" w:cs="Arial"/>
          <w:sz w:val="22"/>
          <w:szCs w:val="22"/>
        </w:rPr>
        <w:t>.</w:t>
      </w:r>
    </w:p>
    <w:p w14:paraId="46D078A6" w14:textId="77777777" w:rsidR="000E3045" w:rsidRDefault="000E3045" w:rsidP="00D45713">
      <w:pPr>
        <w:jc w:val="both"/>
        <w:rPr>
          <w:rFonts w:ascii="Arial" w:hAnsi="Arial" w:cs="Arial"/>
          <w:sz w:val="22"/>
          <w:szCs w:val="22"/>
        </w:rPr>
      </w:pPr>
    </w:p>
    <w:p w14:paraId="58C0D812" w14:textId="4E074429" w:rsidR="000E3045" w:rsidRDefault="000E3045" w:rsidP="00D45713">
      <w:pPr>
        <w:jc w:val="both"/>
        <w:rPr>
          <w:rFonts w:ascii="Arial" w:hAnsi="Arial" w:cs="Arial"/>
          <w:sz w:val="22"/>
          <w:szCs w:val="22"/>
        </w:rPr>
      </w:pPr>
      <w:r w:rsidRPr="000E3045">
        <w:rPr>
          <w:rFonts w:ascii="Arial" w:hAnsi="Arial" w:cs="Arial"/>
          <w:sz w:val="22"/>
          <w:szCs w:val="22"/>
        </w:rPr>
        <w:t>The text of all the resolutions can be found in the Notice of Meeting contained in the Company’s Annual Report for the year to 31 March 202</w:t>
      </w:r>
      <w:r>
        <w:rPr>
          <w:rFonts w:ascii="Arial" w:hAnsi="Arial" w:cs="Arial"/>
          <w:sz w:val="22"/>
          <w:szCs w:val="22"/>
        </w:rPr>
        <w:t>1</w:t>
      </w:r>
      <w:r w:rsidRPr="000E3045">
        <w:rPr>
          <w:rFonts w:ascii="Arial" w:hAnsi="Arial" w:cs="Arial"/>
          <w:sz w:val="22"/>
          <w:szCs w:val="22"/>
        </w:rPr>
        <w:t>. The proxy votes lodged with the Registrar will shortly be available via the Company’s website at: ww.edinburghinvestmenttrust.com</w:t>
      </w:r>
    </w:p>
    <w:p w14:paraId="76426535" w14:textId="77777777" w:rsidR="000E3045" w:rsidRDefault="000E3045" w:rsidP="00D45713">
      <w:pPr>
        <w:jc w:val="both"/>
        <w:rPr>
          <w:rFonts w:ascii="Arial" w:hAnsi="Arial" w:cs="Arial"/>
          <w:sz w:val="22"/>
          <w:szCs w:val="22"/>
        </w:rPr>
      </w:pPr>
    </w:p>
    <w:p w14:paraId="0C97E1AC" w14:textId="68EA0E9D" w:rsidR="00522A6A" w:rsidRPr="000E3045" w:rsidRDefault="00522A6A" w:rsidP="00D45713">
      <w:pPr>
        <w:jc w:val="both"/>
        <w:rPr>
          <w:rFonts w:ascii="Arial" w:hAnsi="Arial" w:cs="Arial"/>
          <w:sz w:val="22"/>
          <w:szCs w:val="22"/>
        </w:rPr>
      </w:pPr>
      <w:r w:rsidRPr="000E3045">
        <w:rPr>
          <w:rFonts w:ascii="Arial" w:hAnsi="Arial" w:cs="Arial"/>
          <w:sz w:val="22"/>
          <w:szCs w:val="22"/>
        </w:rPr>
        <w:t xml:space="preserve">The proxy votes </w:t>
      </w:r>
      <w:r w:rsidR="005A261C" w:rsidRPr="000E3045">
        <w:rPr>
          <w:rFonts w:ascii="Arial" w:hAnsi="Arial" w:cs="Arial"/>
          <w:sz w:val="22"/>
          <w:szCs w:val="22"/>
        </w:rPr>
        <w:t xml:space="preserve">received </w:t>
      </w:r>
      <w:r w:rsidRPr="000E3045">
        <w:rPr>
          <w:rFonts w:ascii="Arial" w:hAnsi="Arial" w:cs="Arial"/>
          <w:sz w:val="22"/>
          <w:szCs w:val="22"/>
        </w:rPr>
        <w:t xml:space="preserve">were as </w:t>
      </w:r>
      <w:r w:rsidR="00087027" w:rsidRPr="000E3045">
        <w:rPr>
          <w:rFonts w:ascii="Arial" w:hAnsi="Arial" w:cs="Arial"/>
          <w:sz w:val="22"/>
          <w:szCs w:val="22"/>
        </w:rPr>
        <w:t>follows: -</w:t>
      </w:r>
    </w:p>
    <w:p w14:paraId="39B92A99" w14:textId="77777777" w:rsidR="00522A6A" w:rsidRPr="000E3045" w:rsidRDefault="00522A6A">
      <w:pPr>
        <w:rPr>
          <w:rFonts w:ascii="Arial" w:hAnsi="Arial" w:cs="Arial"/>
          <w:sz w:val="22"/>
          <w:szCs w:val="22"/>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4"/>
        <w:gridCol w:w="1394"/>
        <w:gridCol w:w="1394"/>
        <w:gridCol w:w="1394"/>
        <w:gridCol w:w="1394"/>
        <w:gridCol w:w="1394"/>
      </w:tblGrid>
      <w:tr w:rsidR="00537E36" w:rsidRPr="000E3045" w14:paraId="1497705A" w14:textId="77777777" w:rsidTr="003510AC">
        <w:trPr>
          <w:trHeight w:val="291"/>
        </w:trPr>
        <w:tc>
          <w:tcPr>
            <w:tcW w:w="1394" w:type="dxa"/>
            <w:shd w:val="clear" w:color="auto" w:fill="auto"/>
          </w:tcPr>
          <w:p w14:paraId="0FA40262" w14:textId="77777777" w:rsidR="00537E36" w:rsidRPr="000E3045" w:rsidRDefault="00537E36" w:rsidP="00537E36">
            <w:pPr>
              <w:jc w:val="center"/>
              <w:rPr>
                <w:rFonts w:ascii="Arial" w:hAnsi="Arial" w:cs="Arial"/>
                <w:sz w:val="22"/>
                <w:szCs w:val="22"/>
              </w:rPr>
            </w:pPr>
            <w:r w:rsidRPr="000E3045">
              <w:rPr>
                <w:rFonts w:ascii="Arial" w:hAnsi="Arial" w:cs="Arial"/>
                <w:sz w:val="22"/>
                <w:szCs w:val="22"/>
              </w:rPr>
              <w:t>Resolution</w:t>
            </w:r>
          </w:p>
        </w:tc>
        <w:tc>
          <w:tcPr>
            <w:tcW w:w="1394" w:type="dxa"/>
            <w:shd w:val="clear" w:color="auto" w:fill="auto"/>
          </w:tcPr>
          <w:p w14:paraId="21FC1211" w14:textId="47D420CB" w:rsidR="00537E36" w:rsidRPr="000E3045" w:rsidRDefault="00537E36" w:rsidP="0064026A">
            <w:pPr>
              <w:jc w:val="center"/>
              <w:rPr>
                <w:rFonts w:ascii="Arial" w:hAnsi="Arial" w:cs="Arial"/>
                <w:sz w:val="22"/>
                <w:szCs w:val="22"/>
              </w:rPr>
            </w:pPr>
            <w:r w:rsidRPr="000E3045">
              <w:rPr>
                <w:rFonts w:ascii="Arial" w:hAnsi="Arial" w:cs="Arial"/>
                <w:sz w:val="22"/>
                <w:szCs w:val="22"/>
              </w:rPr>
              <w:t>In favour</w:t>
            </w:r>
            <w:r w:rsidR="000E3045" w:rsidRPr="000E3045">
              <w:rPr>
                <w:rFonts w:ascii="Arial" w:hAnsi="Arial" w:cs="Arial"/>
                <w:sz w:val="22"/>
                <w:szCs w:val="22"/>
              </w:rPr>
              <w:t xml:space="preserve"> / Discretion </w:t>
            </w:r>
          </w:p>
        </w:tc>
        <w:tc>
          <w:tcPr>
            <w:tcW w:w="1394" w:type="dxa"/>
          </w:tcPr>
          <w:p w14:paraId="5E4DCCF2" w14:textId="77777777" w:rsidR="00537E36" w:rsidRPr="000E3045" w:rsidRDefault="00537E36" w:rsidP="00537E36">
            <w:pPr>
              <w:jc w:val="center"/>
              <w:rPr>
                <w:rFonts w:ascii="Arial" w:hAnsi="Arial" w:cs="Arial"/>
                <w:sz w:val="22"/>
                <w:szCs w:val="22"/>
              </w:rPr>
            </w:pPr>
            <w:r w:rsidRPr="000E3045">
              <w:rPr>
                <w:rFonts w:ascii="Arial" w:hAnsi="Arial" w:cs="Arial"/>
                <w:sz w:val="22"/>
                <w:szCs w:val="22"/>
              </w:rPr>
              <w:t>Percentage</w:t>
            </w:r>
          </w:p>
          <w:p w14:paraId="69BC57A6" w14:textId="77777777" w:rsidR="00537E36" w:rsidRPr="000E3045" w:rsidRDefault="00537E36" w:rsidP="00537E36">
            <w:pPr>
              <w:jc w:val="center"/>
              <w:rPr>
                <w:rFonts w:ascii="Arial" w:hAnsi="Arial" w:cs="Arial"/>
                <w:sz w:val="22"/>
                <w:szCs w:val="22"/>
              </w:rPr>
            </w:pPr>
            <w:r w:rsidRPr="000E3045">
              <w:rPr>
                <w:rFonts w:ascii="Arial" w:hAnsi="Arial" w:cs="Arial"/>
                <w:sz w:val="22"/>
                <w:szCs w:val="22"/>
              </w:rPr>
              <w:t xml:space="preserve">In favour </w:t>
            </w:r>
          </w:p>
        </w:tc>
        <w:tc>
          <w:tcPr>
            <w:tcW w:w="1394" w:type="dxa"/>
            <w:shd w:val="clear" w:color="auto" w:fill="auto"/>
          </w:tcPr>
          <w:p w14:paraId="797B5F2E" w14:textId="77777777" w:rsidR="00537E36" w:rsidRPr="000E3045" w:rsidRDefault="00537E36" w:rsidP="0064026A">
            <w:pPr>
              <w:jc w:val="center"/>
              <w:rPr>
                <w:rFonts w:ascii="Arial" w:hAnsi="Arial" w:cs="Arial"/>
                <w:sz w:val="22"/>
                <w:szCs w:val="22"/>
              </w:rPr>
            </w:pPr>
            <w:r w:rsidRPr="000E3045">
              <w:rPr>
                <w:rFonts w:ascii="Arial" w:hAnsi="Arial" w:cs="Arial"/>
                <w:sz w:val="22"/>
                <w:szCs w:val="22"/>
              </w:rPr>
              <w:t>Against</w:t>
            </w:r>
          </w:p>
        </w:tc>
        <w:tc>
          <w:tcPr>
            <w:tcW w:w="1394" w:type="dxa"/>
          </w:tcPr>
          <w:p w14:paraId="0CFF6CC9" w14:textId="77777777" w:rsidR="00537E36" w:rsidRPr="000E3045" w:rsidRDefault="00537E36" w:rsidP="0064026A">
            <w:pPr>
              <w:jc w:val="center"/>
              <w:rPr>
                <w:rFonts w:ascii="Arial" w:hAnsi="Arial" w:cs="Arial"/>
                <w:sz w:val="22"/>
                <w:szCs w:val="22"/>
              </w:rPr>
            </w:pPr>
            <w:r w:rsidRPr="000E3045">
              <w:rPr>
                <w:rFonts w:ascii="Arial" w:hAnsi="Arial" w:cs="Arial"/>
                <w:sz w:val="22"/>
                <w:szCs w:val="22"/>
              </w:rPr>
              <w:t>Percentage</w:t>
            </w:r>
          </w:p>
          <w:p w14:paraId="3DFD2546" w14:textId="77777777" w:rsidR="00537E36" w:rsidRPr="000E3045" w:rsidRDefault="00537E36" w:rsidP="0064026A">
            <w:pPr>
              <w:jc w:val="center"/>
              <w:rPr>
                <w:rFonts w:ascii="Arial" w:hAnsi="Arial" w:cs="Arial"/>
                <w:sz w:val="22"/>
                <w:szCs w:val="22"/>
              </w:rPr>
            </w:pPr>
            <w:r w:rsidRPr="000E3045">
              <w:rPr>
                <w:rFonts w:ascii="Arial" w:hAnsi="Arial" w:cs="Arial"/>
                <w:sz w:val="22"/>
                <w:szCs w:val="22"/>
              </w:rPr>
              <w:t>Against</w:t>
            </w:r>
          </w:p>
        </w:tc>
        <w:tc>
          <w:tcPr>
            <w:tcW w:w="1394" w:type="dxa"/>
            <w:shd w:val="clear" w:color="auto" w:fill="auto"/>
          </w:tcPr>
          <w:p w14:paraId="338BC87F" w14:textId="77777777" w:rsidR="00537E36" w:rsidRPr="000E3045" w:rsidRDefault="00537E36" w:rsidP="0064026A">
            <w:pPr>
              <w:jc w:val="center"/>
              <w:rPr>
                <w:rFonts w:ascii="Arial" w:hAnsi="Arial" w:cs="Arial"/>
                <w:sz w:val="22"/>
                <w:szCs w:val="22"/>
              </w:rPr>
            </w:pPr>
            <w:r w:rsidRPr="000E3045">
              <w:rPr>
                <w:rFonts w:ascii="Arial" w:hAnsi="Arial" w:cs="Arial"/>
                <w:sz w:val="22"/>
                <w:szCs w:val="22"/>
              </w:rPr>
              <w:t>Withheld</w:t>
            </w:r>
          </w:p>
        </w:tc>
      </w:tr>
      <w:tr w:rsidR="00F95EDF" w:rsidRPr="000E3045" w14:paraId="3FBA904A" w14:textId="77777777" w:rsidTr="00BE7370">
        <w:trPr>
          <w:trHeight w:val="291"/>
        </w:trPr>
        <w:tc>
          <w:tcPr>
            <w:tcW w:w="1394" w:type="dxa"/>
            <w:shd w:val="clear" w:color="auto" w:fill="auto"/>
          </w:tcPr>
          <w:p w14:paraId="560BCF60" w14:textId="52498534" w:rsidR="00F95EDF" w:rsidRPr="000E3045" w:rsidRDefault="00F95EDF" w:rsidP="00F95EDF">
            <w:pPr>
              <w:jc w:val="center"/>
              <w:rPr>
                <w:rFonts w:ascii="Arial" w:hAnsi="Arial" w:cs="Arial"/>
                <w:sz w:val="22"/>
                <w:szCs w:val="22"/>
              </w:rPr>
            </w:pPr>
            <w:r w:rsidRPr="000E3045">
              <w:rPr>
                <w:rFonts w:ascii="Arial" w:hAnsi="Arial" w:cs="Arial"/>
                <w:sz w:val="22"/>
                <w:szCs w:val="22"/>
              </w:rPr>
              <w:t>1</w:t>
            </w:r>
          </w:p>
        </w:tc>
        <w:tc>
          <w:tcPr>
            <w:tcW w:w="1394" w:type="dxa"/>
            <w:shd w:val="clear" w:color="auto" w:fill="auto"/>
            <w:vAlign w:val="bottom"/>
          </w:tcPr>
          <w:p w14:paraId="1E1F8572" w14:textId="305AB0AD" w:rsidR="00F95EDF" w:rsidRPr="000E3045" w:rsidRDefault="00F95EDF" w:rsidP="00F95EDF">
            <w:pPr>
              <w:jc w:val="center"/>
              <w:rPr>
                <w:rFonts w:ascii="Arial" w:hAnsi="Arial" w:cs="Arial"/>
                <w:sz w:val="20"/>
                <w:szCs w:val="20"/>
              </w:rPr>
            </w:pPr>
            <w:r w:rsidRPr="000E3045">
              <w:rPr>
                <w:rFonts w:ascii="Arial" w:hAnsi="Arial" w:cs="Arial"/>
                <w:color w:val="000000"/>
                <w:sz w:val="20"/>
                <w:szCs w:val="20"/>
                <w:lang w:eastAsia="en-GB"/>
              </w:rPr>
              <w:t>53,</w:t>
            </w:r>
            <w:r>
              <w:rPr>
                <w:rFonts w:ascii="Arial" w:hAnsi="Arial" w:cs="Arial"/>
                <w:color w:val="000000"/>
                <w:sz w:val="20"/>
                <w:szCs w:val="20"/>
                <w:lang w:eastAsia="en-GB"/>
              </w:rPr>
              <w:t>573</w:t>
            </w:r>
            <w:r w:rsidRPr="000E3045">
              <w:rPr>
                <w:rFonts w:ascii="Arial" w:hAnsi="Arial" w:cs="Arial"/>
                <w:color w:val="000000"/>
                <w:sz w:val="20"/>
                <w:szCs w:val="20"/>
                <w:lang w:eastAsia="en-GB"/>
              </w:rPr>
              <w:t>,</w:t>
            </w:r>
            <w:r>
              <w:rPr>
                <w:rFonts w:ascii="Arial" w:hAnsi="Arial" w:cs="Arial"/>
                <w:color w:val="000000"/>
                <w:sz w:val="20"/>
                <w:szCs w:val="20"/>
                <w:lang w:eastAsia="en-GB"/>
              </w:rPr>
              <w:t>818</w:t>
            </w:r>
          </w:p>
        </w:tc>
        <w:tc>
          <w:tcPr>
            <w:tcW w:w="1394" w:type="dxa"/>
            <w:vAlign w:val="bottom"/>
          </w:tcPr>
          <w:p w14:paraId="3A4F2BA6" w14:textId="1FD77B35" w:rsidR="00F95EDF" w:rsidRPr="000E3045" w:rsidRDefault="00F95EDF" w:rsidP="00F95EDF">
            <w:pPr>
              <w:jc w:val="right"/>
              <w:rPr>
                <w:rFonts w:ascii="Arial" w:hAnsi="Arial" w:cs="Arial"/>
                <w:sz w:val="20"/>
                <w:szCs w:val="20"/>
              </w:rPr>
            </w:pPr>
            <w:r>
              <w:rPr>
                <w:rFonts w:ascii="Calibri" w:hAnsi="Calibri" w:cs="Calibri"/>
                <w:color w:val="000000"/>
                <w:sz w:val="22"/>
                <w:szCs w:val="22"/>
              </w:rPr>
              <w:t>99.98%</w:t>
            </w:r>
          </w:p>
        </w:tc>
        <w:tc>
          <w:tcPr>
            <w:tcW w:w="1394" w:type="dxa"/>
            <w:shd w:val="clear" w:color="auto" w:fill="auto"/>
            <w:vAlign w:val="bottom"/>
          </w:tcPr>
          <w:p w14:paraId="0A4A52DA" w14:textId="4754DCDE" w:rsidR="00F95EDF" w:rsidRPr="000E3045" w:rsidRDefault="00F95EDF" w:rsidP="00F95EDF">
            <w:pPr>
              <w:jc w:val="right"/>
              <w:rPr>
                <w:rFonts w:ascii="Arial" w:hAnsi="Arial" w:cs="Arial"/>
                <w:sz w:val="20"/>
                <w:szCs w:val="20"/>
              </w:rPr>
            </w:pPr>
            <w:r w:rsidRPr="000E3045">
              <w:rPr>
                <w:rFonts w:ascii="Arial" w:hAnsi="Arial" w:cs="Arial"/>
                <w:color w:val="000000"/>
                <w:sz w:val="20"/>
                <w:szCs w:val="20"/>
                <w:lang w:eastAsia="en-GB"/>
              </w:rPr>
              <w:t>12,588</w:t>
            </w:r>
          </w:p>
        </w:tc>
        <w:tc>
          <w:tcPr>
            <w:tcW w:w="1394" w:type="dxa"/>
            <w:vAlign w:val="bottom"/>
          </w:tcPr>
          <w:p w14:paraId="60593CFA" w14:textId="1C1FE8AD" w:rsidR="00F95EDF" w:rsidRPr="000E3045" w:rsidRDefault="00F95EDF" w:rsidP="00F95EDF">
            <w:pPr>
              <w:jc w:val="right"/>
              <w:rPr>
                <w:rFonts w:ascii="Arial" w:hAnsi="Arial" w:cs="Arial"/>
                <w:sz w:val="20"/>
                <w:szCs w:val="20"/>
              </w:rPr>
            </w:pPr>
            <w:r>
              <w:rPr>
                <w:rFonts w:ascii="Calibri" w:hAnsi="Calibri" w:cs="Calibri"/>
                <w:color w:val="000000"/>
                <w:sz w:val="22"/>
                <w:szCs w:val="22"/>
              </w:rPr>
              <w:t>0.02%</w:t>
            </w:r>
          </w:p>
        </w:tc>
        <w:tc>
          <w:tcPr>
            <w:tcW w:w="1394" w:type="dxa"/>
            <w:shd w:val="clear" w:color="auto" w:fill="auto"/>
            <w:vAlign w:val="bottom"/>
          </w:tcPr>
          <w:p w14:paraId="5A851D1C" w14:textId="563C3629" w:rsidR="00F95EDF" w:rsidRPr="000E3045" w:rsidRDefault="00F95EDF" w:rsidP="00F95EDF">
            <w:pPr>
              <w:jc w:val="right"/>
              <w:rPr>
                <w:rFonts w:ascii="Arial" w:hAnsi="Arial" w:cs="Arial"/>
                <w:sz w:val="20"/>
                <w:szCs w:val="20"/>
              </w:rPr>
            </w:pPr>
            <w:r w:rsidRPr="000E3045">
              <w:rPr>
                <w:rFonts w:ascii="Arial" w:hAnsi="Arial" w:cs="Arial"/>
                <w:color w:val="000000"/>
                <w:sz w:val="20"/>
                <w:szCs w:val="20"/>
                <w:lang w:eastAsia="en-GB"/>
              </w:rPr>
              <w:t>15,069</w:t>
            </w:r>
          </w:p>
        </w:tc>
      </w:tr>
      <w:tr w:rsidR="00F95EDF" w:rsidRPr="000E3045" w14:paraId="79C6511C" w14:textId="77777777" w:rsidTr="00BE7370">
        <w:trPr>
          <w:trHeight w:val="291"/>
        </w:trPr>
        <w:tc>
          <w:tcPr>
            <w:tcW w:w="1394" w:type="dxa"/>
            <w:shd w:val="clear" w:color="auto" w:fill="auto"/>
          </w:tcPr>
          <w:p w14:paraId="201FFFB1" w14:textId="4822A3F2" w:rsidR="00F95EDF" w:rsidRPr="000E3045" w:rsidRDefault="00F95EDF" w:rsidP="00F95EDF">
            <w:pPr>
              <w:jc w:val="center"/>
              <w:rPr>
                <w:rFonts w:ascii="Arial" w:hAnsi="Arial" w:cs="Arial"/>
                <w:sz w:val="22"/>
                <w:szCs w:val="22"/>
              </w:rPr>
            </w:pPr>
            <w:r w:rsidRPr="000E3045">
              <w:rPr>
                <w:rFonts w:ascii="Arial" w:hAnsi="Arial" w:cs="Arial"/>
                <w:sz w:val="22"/>
                <w:szCs w:val="22"/>
              </w:rPr>
              <w:t>2</w:t>
            </w:r>
          </w:p>
        </w:tc>
        <w:tc>
          <w:tcPr>
            <w:tcW w:w="1394" w:type="dxa"/>
            <w:shd w:val="clear" w:color="auto" w:fill="auto"/>
            <w:vAlign w:val="bottom"/>
          </w:tcPr>
          <w:p w14:paraId="06A0EA7E" w14:textId="75B08E04" w:rsidR="00F95EDF" w:rsidRPr="000E3045" w:rsidRDefault="00F95EDF" w:rsidP="00F95EDF">
            <w:pPr>
              <w:jc w:val="center"/>
              <w:rPr>
                <w:rFonts w:ascii="Arial" w:hAnsi="Arial" w:cs="Arial"/>
                <w:sz w:val="20"/>
                <w:szCs w:val="20"/>
              </w:rPr>
            </w:pPr>
            <w:r w:rsidRPr="000E3045">
              <w:rPr>
                <w:rFonts w:ascii="Arial" w:hAnsi="Arial" w:cs="Arial"/>
                <w:color w:val="000000"/>
                <w:sz w:val="20"/>
                <w:szCs w:val="20"/>
                <w:lang w:eastAsia="en-GB"/>
              </w:rPr>
              <w:t>52,</w:t>
            </w:r>
            <w:r>
              <w:rPr>
                <w:rFonts w:ascii="Arial" w:hAnsi="Arial" w:cs="Arial"/>
                <w:color w:val="000000"/>
                <w:sz w:val="20"/>
                <w:szCs w:val="20"/>
                <w:lang w:eastAsia="en-GB"/>
              </w:rPr>
              <w:t>829</w:t>
            </w:r>
            <w:r w:rsidRPr="000E3045">
              <w:rPr>
                <w:rFonts w:ascii="Arial" w:hAnsi="Arial" w:cs="Arial"/>
                <w:color w:val="000000"/>
                <w:sz w:val="20"/>
                <w:szCs w:val="20"/>
                <w:lang w:eastAsia="en-GB"/>
              </w:rPr>
              <w:t>,</w:t>
            </w:r>
            <w:r>
              <w:rPr>
                <w:rFonts w:ascii="Arial" w:hAnsi="Arial" w:cs="Arial"/>
                <w:color w:val="000000"/>
                <w:sz w:val="20"/>
                <w:szCs w:val="20"/>
                <w:lang w:eastAsia="en-GB"/>
              </w:rPr>
              <w:t>474</w:t>
            </w:r>
          </w:p>
        </w:tc>
        <w:tc>
          <w:tcPr>
            <w:tcW w:w="1394" w:type="dxa"/>
            <w:vAlign w:val="bottom"/>
          </w:tcPr>
          <w:p w14:paraId="6650984C" w14:textId="5F3824FF" w:rsidR="00F95EDF" w:rsidRPr="000E3045" w:rsidRDefault="00F95EDF" w:rsidP="00F95EDF">
            <w:pPr>
              <w:jc w:val="right"/>
              <w:rPr>
                <w:rFonts w:ascii="Arial" w:hAnsi="Arial" w:cs="Arial"/>
                <w:sz w:val="20"/>
                <w:szCs w:val="20"/>
              </w:rPr>
            </w:pPr>
            <w:r>
              <w:rPr>
                <w:rFonts w:ascii="Calibri" w:hAnsi="Calibri" w:cs="Calibri"/>
                <w:color w:val="000000"/>
                <w:sz w:val="22"/>
                <w:szCs w:val="22"/>
              </w:rPr>
              <w:t>98.67%</w:t>
            </w:r>
          </w:p>
        </w:tc>
        <w:tc>
          <w:tcPr>
            <w:tcW w:w="1394" w:type="dxa"/>
            <w:shd w:val="clear" w:color="auto" w:fill="auto"/>
            <w:vAlign w:val="bottom"/>
          </w:tcPr>
          <w:p w14:paraId="3CEF821D" w14:textId="1DAA1E32" w:rsidR="00F95EDF" w:rsidRPr="000E3045" w:rsidRDefault="00F95EDF" w:rsidP="00F95EDF">
            <w:pPr>
              <w:jc w:val="right"/>
              <w:rPr>
                <w:rFonts w:ascii="Arial" w:hAnsi="Arial" w:cs="Arial"/>
                <w:sz w:val="20"/>
                <w:szCs w:val="20"/>
              </w:rPr>
            </w:pPr>
            <w:r w:rsidRPr="000E3045">
              <w:rPr>
                <w:rFonts w:ascii="Arial" w:hAnsi="Arial" w:cs="Arial"/>
                <w:color w:val="000000"/>
                <w:sz w:val="20"/>
                <w:szCs w:val="20"/>
                <w:lang w:eastAsia="en-GB"/>
              </w:rPr>
              <w:t>712,465</w:t>
            </w:r>
          </w:p>
        </w:tc>
        <w:tc>
          <w:tcPr>
            <w:tcW w:w="1394" w:type="dxa"/>
            <w:vAlign w:val="bottom"/>
          </w:tcPr>
          <w:p w14:paraId="4B5F5898" w14:textId="6FF44149" w:rsidR="00F95EDF" w:rsidRPr="000E3045" w:rsidRDefault="00F95EDF" w:rsidP="00F95EDF">
            <w:pPr>
              <w:jc w:val="right"/>
              <w:rPr>
                <w:rFonts w:ascii="Arial" w:hAnsi="Arial" w:cs="Arial"/>
                <w:sz w:val="20"/>
                <w:szCs w:val="20"/>
              </w:rPr>
            </w:pPr>
            <w:r>
              <w:rPr>
                <w:rFonts w:ascii="Calibri" w:hAnsi="Calibri" w:cs="Calibri"/>
                <w:color w:val="000000"/>
                <w:sz w:val="22"/>
                <w:szCs w:val="22"/>
              </w:rPr>
              <w:t>1.33%</w:t>
            </w:r>
          </w:p>
        </w:tc>
        <w:tc>
          <w:tcPr>
            <w:tcW w:w="1394" w:type="dxa"/>
            <w:shd w:val="clear" w:color="auto" w:fill="auto"/>
            <w:vAlign w:val="bottom"/>
          </w:tcPr>
          <w:p w14:paraId="23D692B1" w14:textId="5EF6AA38" w:rsidR="00F95EDF" w:rsidRPr="000E3045" w:rsidRDefault="00F95EDF" w:rsidP="00F95EDF">
            <w:pPr>
              <w:jc w:val="right"/>
              <w:rPr>
                <w:rFonts w:ascii="Arial" w:hAnsi="Arial" w:cs="Arial"/>
                <w:sz w:val="20"/>
                <w:szCs w:val="20"/>
              </w:rPr>
            </w:pPr>
            <w:r w:rsidRPr="000E3045">
              <w:rPr>
                <w:rFonts w:ascii="Arial" w:hAnsi="Arial" w:cs="Arial"/>
                <w:color w:val="000000"/>
                <w:sz w:val="20"/>
                <w:szCs w:val="20"/>
                <w:lang w:eastAsia="en-GB"/>
              </w:rPr>
              <w:t>59,536</w:t>
            </w:r>
          </w:p>
        </w:tc>
      </w:tr>
      <w:tr w:rsidR="00F95EDF" w:rsidRPr="000E3045" w14:paraId="2FC537FE" w14:textId="77777777" w:rsidTr="00BE7370">
        <w:trPr>
          <w:trHeight w:val="291"/>
        </w:trPr>
        <w:tc>
          <w:tcPr>
            <w:tcW w:w="1394" w:type="dxa"/>
            <w:shd w:val="clear" w:color="auto" w:fill="auto"/>
          </w:tcPr>
          <w:p w14:paraId="5080971C" w14:textId="3C01CE56" w:rsidR="00F95EDF" w:rsidRPr="000E3045" w:rsidRDefault="00F95EDF" w:rsidP="00F95EDF">
            <w:pPr>
              <w:jc w:val="center"/>
              <w:rPr>
                <w:rFonts w:ascii="Arial" w:hAnsi="Arial" w:cs="Arial"/>
                <w:sz w:val="22"/>
                <w:szCs w:val="22"/>
              </w:rPr>
            </w:pPr>
            <w:r w:rsidRPr="000E3045">
              <w:rPr>
                <w:rFonts w:ascii="Arial" w:hAnsi="Arial" w:cs="Arial"/>
                <w:sz w:val="22"/>
                <w:szCs w:val="22"/>
              </w:rPr>
              <w:t>3</w:t>
            </w:r>
          </w:p>
        </w:tc>
        <w:tc>
          <w:tcPr>
            <w:tcW w:w="1394" w:type="dxa"/>
            <w:shd w:val="clear" w:color="auto" w:fill="auto"/>
            <w:vAlign w:val="bottom"/>
          </w:tcPr>
          <w:p w14:paraId="7031E7AF" w14:textId="3E4894E1" w:rsidR="00F95EDF" w:rsidRPr="000E3045" w:rsidRDefault="00F95EDF" w:rsidP="00F95EDF">
            <w:pPr>
              <w:jc w:val="center"/>
              <w:rPr>
                <w:rFonts w:ascii="Arial" w:hAnsi="Arial" w:cs="Arial"/>
                <w:sz w:val="20"/>
                <w:szCs w:val="20"/>
              </w:rPr>
            </w:pPr>
            <w:r w:rsidRPr="000E3045">
              <w:rPr>
                <w:rFonts w:ascii="Arial" w:hAnsi="Arial" w:cs="Arial"/>
                <w:color w:val="000000"/>
                <w:sz w:val="20"/>
                <w:szCs w:val="20"/>
                <w:lang w:eastAsia="en-GB"/>
              </w:rPr>
              <w:t>53,5</w:t>
            </w:r>
            <w:r>
              <w:rPr>
                <w:rFonts w:ascii="Arial" w:hAnsi="Arial" w:cs="Arial"/>
                <w:color w:val="000000"/>
                <w:sz w:val="20"/>
                <w:szCs w:val="20"/>
                <w:lang w:eastAsia="en-GB"/>
              </w:rPr>
              <w:t>81,971</w:t>
            </w:r>
          </w:p>
        </w:tc>
        <w:tc>
          <w:tcPr>
            <w:tcW w:w="1394" w:type="dxa"/>
            <w:vAlign w:val="bottom"/>
          </w:tcPr>
          <w:p w14:paraId="45921CFC" w14:textId="26D5FE67" w:rsidR="00F95EDF" w:rsidRPr="000E3045" w:rsidRDefault="00F95EDF" w:rsidP="00F95EDF">
            <w:pPr>
              <w:jc w:val="right"/>
              <w:rPr>
                <w:rFonts w:ascii="Arial" w:hAnsi="Arial" w:cs="Arial"/>
                <w:sz w:val="20"/>
                <w:szCs w:val="20"/>
              </w:rPr>
            </w:pPr>
            <w:r>
              <w:rPr>
                <w:rFonts w:ascii="Calibri" w:hAnsi="Calibri" w:cs="Calibri"/>
                <w:color w:val="000000"/>
                <w:sz w:val="22"/>
                <w:szCs w:val="22"/>
              </w:rPr>
              <w:t>99.99%</w:t>
            </w:r>
          </w:p>
        </w:tc>
        <w:tc>
          <w:tcPr>
            <w:tcW w:w="1394" w:type="dxa"/>
            <w:shd w:val="clear" w:color="auto" w:fill="auto"/>
            <w:vAlign w:val="bottom"/>
          </w:tcPr>
          <w:p w14:paraId="116EC57E" w14:textId="22552D12" w:rsidR="00F95EDF" w:rsidRPr="000E3045" w:rsidRDefault="00F95EDF" w:rsidP="00F95EDF">
            <w:pPr>
              <w:jc w:val="right"/>
              <w:rPr>
                <w:rFonts w:ascii="Arial" w:hAnsi="Arial" w:cs="Arial"/>
                <w:sz w:val="20"/>
                <w:szCs w:val="20"/>
              </w:rPr>
            </w:pPr>
            <w:r w:rsidRPr="000E3045">
              <w:rPr>
                <w:rFonts w:ascii="Arial" w:hAnsi="Arial" w:cs="Arial"/>
                <w:color w:val="000000"/>
                <w:sz w:val="20"/>
                <w:szCs w:val="20"/>
                <w:lang w:eastAsia="en-GB"/>
              </w:rPr>
              <w:t>3,514</w:t>
            </w:r>
          </w:p>
        </w:tc>
        <w:tc>
          <w:tcPr>
            <w:tcW w:w="1394" w:type="dxa"/>
            <w:vAlign w:val="bottom"/>
          </w:tcPr>
          <w:p w14:paraId="619B335C" w14:textId="39A94AAE" w:rsidR="00F95EDF" w:rsidRPr="000E3045" w:rsidRDefault="00F95EDF" w:rsidP="00F95EDF">
            <w:pPr>
              <w:jc w:val="right"/>
              <w:rPr>
                <w:rFonts w:ascii="Arial" w:hAnsi="Arial" w:cs="Arial"/>
                <w:sz w:val="20"/>
                <w:szCs w:val="20"/>
              </w:rPr>
            </w:pPr>
            <w:r>
              <w:rPr>
                <w:rFonts w:ascii="Calibri" w:hAnsi="Calibri" w:cs="Calibri"/>
                <w:color w:val="000000"/>
                <w:sz w:val="22"/>
                <w:szCs w:val="22"/>
              </w:rPr>
              <w:t>0.01%</w:t>
            </w:r>
          </w:p>
        </w:tc>
        <w:tc>
          <w:tcPr>
            <w:tcW w:w="1394" w:type="dxa"/>
            <w:shd w:val="clear" w:color="auto" w:fill="auto"/>
            <w:vAlign w:val="bottom"/>
          </w:tcPr>
          <w:p w14:paraId="1A0E404B" w14:textId="37ED12B1" w:rsidR="00F95EDF" w:rsidRPr="000E3045" w:rsidRDefault="00F95EDF" w:rsidP="00F95EDF">
            <w:pPr>
              <w:jc w:val="right"/>
              <w:rPr>
                <w:rFonts w:ascii="Arial" w:hAnsi="Arial" w:cs="Arial"/>
                <w:sz w:val="20"/>
                <w:szCs w:val="20"/>
              </w:rPr>
            </w:pPr>
            <w:r w:rsidRPr="000E3045">
              <w:rPr>
                <w:rFonts w:ascii="Arial" w:hAnsi="Arial" w:cs="Arial"/>
                <w:color w:val="000000"/>
                <w:sz w:val="20"/>
                <w:szCs w:val="20"/>
                <w:lang w:eastAsia="en-GB"/>
              </w:rPr>
              <w:t>15,990</w:t>
            </w:r>
          </w:p>
        </w:tc>
      </w:tr>
      <w:tr w:rsidR="00F95EDF" w:rsidRPr="000E3045" w14:paraId="2F75B692" w14:textId="77777777" w:rsidTr="00BE7370">
        <w:trPr>
          <w:trHeight w:val="291"/>
        </w:trPr>
        <w:tc>
          <w:tcPr>
            <w:tcW w:w="1394" w:type="dxa"/>
            <w:shd w:val="clear" w:color="auto" w:fill="auto"/>
          </w:tcPr>
          <w:p w14:paraId="6CB452FA" w14:textId="51E9CD6A" w:rsidR="00F95EDF" w:rsidRPr="000E3045" w:rsidRDefault="00F95EDF" w:rsidP="00F95EDF">
            <w:pPr>
              <w:jc w:val="center"/>
              <w:rPr>
                <w:rFonts w:ascii="Arial" w:hAnsi="Arial" w:cs="Arial"/>
                <w:sz w:val="22"/>
                <w:szCs w:val="22"/>
              </w:rPr>
            </w:pPr>
            <w:r w:rsidRPr="000E3045">
              <w:rPr>
                <w:rFonts w:ascii="Arial" w:hAnsi="Arial" w:cs="Arial"/>
                <w:sz w:val="22"/>
                <w:szCs w:val="22"/>
              </w:rPr>
              <w:t>4</w:t>
            </w:r>
          </w:p>
        </w:tc>
        <w:tc>
          <w:tcPr>
            <w:tcW w:w="1394" w:type="dxa"/>
            <w:shd w:val="clear" w:color="auto" w:fill="auto"/>
            <w:vAlign w:val="bottom"/>
          </w:tcPr>
          <w:p w14:paraId="5CE024C6" w14:textId="11503529" w:rsidR="00F95EDF" w:rsidRPr="000E3045" w:rsidRDefault="00F95EDF" w:rsidP="00F95EDF">
            <w:pPr>
              <w:jc w:val="center"/>
              <w:rPr>
                <w:rFonts w:ascii="Arial" w:hAnsi="Arial" w:cs="Arial"/>
                <w:sz w:val="20"/>
                <w:szCs w:val="20"/>
              </w:rPr>
            </w:pPr>
            <w:r w:rsidRPr="000E3045">
              <w:rPr>
                <w:rFonts w:ascii="Arial" w:hAnsi="Arial" w:cs="Arial"/>
                <w:color w:val="000000"/>
                <w:sz w:val="20"/>
                <w:szCs w:val="20"/>
                <w:lang w:eastAsia="en-GB"/>
              </w:rPr>
              <w:t>53,</w:t>
            </w:r>
            <w:r>
              <w:rPr>
                <w:rFonts w:ascii="Arial" w:hAnsi="Arial" w:cs="Arial"/>
                <w:color w:val="000000"/>
                <w:sz w:val="20"/>
                <w:szCs w:val="20"/>
                <w:lang w:eastAsia="en-GB"/>
              </w:rPr>
              <w:t>36</w:t>
            </w:r>
            <w:r w:rsidRPr="000E3045">
              <w:rPr>
                <w:rFonts w:ascii="Arial" w:hAnsi="Arial" w:cs="Arial"/>
                <w:color w:val="000000"/>
                <w:sz w:val="20"/>
                <w:szCs w:val="20"/>
                <w:lang w:eastAsia="en-GB"/>
              </w:rPr>
              <w:t>9,</w:t>
            </w:r>
            <w:r>
              <w:rPr>
                <w:rFonts w:ascii="Arial" w:hAnsi="Arial" w:cs="Arial"/>
                <w:color w:val="000000"/>
                <w:sz w:val="20"/>
                <w:szCs w:val="20"/>
                <w:lang w:eastAsia="en-GB"/>
              </w:rPr>
              <w:t>83</w:t>
            </w:r>
            <w:r w:rsidRPr="000E3045">
              <w:rPr>
                <w:rFonts w:ascii="Arial" w:hAnsi="Arial" w:cs="Arial"/>
                <w:color w:val="000000"/>
                <w:sz w:val="20"/>
                <w:szCs w:val="20"/>
                <w:lang w:eastAsia="en-GB"/>
              </w:rPr>
              <w:t>1</w:t>
            </w:r>
          </w:p>
        </w:tc>
        <w:tc>
          <w:tcPr>
            <w:tcW w:w="1394" w:type="dxa"/>
            <w:vAlign w:val="bottom"/>
          </w:tcPr>
          <w:p w14:paraId="1DEFA5C2" w14:textId="209E8C9A" w:rsidR="00F95EDF" w:rsidRPr="000E3045" w:rsidRDefault="00F95EDF" w:rsidP="00F95EDF">
            <w:pPr>
              <w:jc w:val="right"/>
              <w:rPr>
                <w:rFonts w:ascii="Arial" w:hAnsi="Arial" w:cs="Arial"/>
                <w:sz w:val="20"/>
                <w:szCs w:val="20"/>
              </w:rPr>
            </w:pPr>
            <w:r>
              <w:rPr>
                <w:rFonts w:ascii="Calibri" w:hAnsi="Calibri" w:cs="Calibri"/>
                <w:color w:val="000000"/>
                <w:sz w:val="22"/>
                <w:szCs w:val="22"/>
              </w:rPr>
              <w:t>99.74%</w:t>
            </w:r>
          </w:p>
        </w:tc>
        <w:tc>
          <w:tcPr>
            <w:tcW w:w="1394" w:type="dxa"/>
            <w:shd w:val="clear" w:color="auto" w:fill="auto"/>
            <w:vAlign w:val="bottom"/>
          </w:tcPr>
          <w:p w14:paraId="0DB6D78D" w14:textId="38AEDB43" w:rsidR="00F95EDF" w:rsidRPr="000E3045" w:rsidRDefault="00F95EDF" w:rsidP="00F95EDF">
            <w:pPr>
              <w:jc w:val="right"/>
              <w:rPr>
                <w:rFonts w:ascii="Arial" w:hAnsi="Arial" w:cs="Arial"/>
                <w:sz w:val="20"/>
                <w:szCs w:val="20"/>
              </w:rPr>
            </w:pPr>
            <w:r w:rsidRPr="000E3045">
              <w:rPr>
                <w:rFonts w:ascii="Arial" w:hAnsi="Arial" w:cs="Arial"/>
                <w:color w:val="000000"/>
                <w:sz w:val="20"/>
                <w:szCs w:val="20"/>
                <w:lang w:eastAsia="en-GB"/>
              </w:rPr>
              <w:t>137,324</w:t>
            </w:r>
          </w:p>
        </w:tc>
        <w:tc>
          <w:tcPr>
            <w:tcW w:w="1394" w:type="dxa"/>
            <w:vAlign w:val="bottom"/>
          </w:tcPr>
          <w:p w14:paraId="3A77E80E" w14:textId="3586A790" w:rsidR="00F95EDF" w:rsidRPr="000E3045" w:rsidRDefault="00F95EDF" w:rsidP="00F95EDF">
            <w:pPr>
              <w:jc w:val="right"/>
              <w:rPr>
                <w:rFonts w:ascii="Arial" w:hAnsi="Arial" w:cs="Arial"/>
                <w:sz w:val="20"/>
                <w:szCs w:val="20"/>
              </w:rPr>
            </w:pPr>
            <w:r>
              <w:rPr>
                <w:rFonts w:ascii="Calibri" w:hAnsi="Calibri" w:cs="Calibri"/>
                <w:color w:val="000000"/>
                <w:sz w:val="22"/>
                <w:szCs w:val="22"/>
              </w:rPr>
              <w:t>0.26%</w:t>
            </w:r>
          </w:p>
        </w:tc>
        <w:tc>
          <w:tcPr>
            <w:tcW w:w="1394" w:type="dxa"/>
            <w:shd w:val="clear" w:color="auto" w:fill="auto"/>
            <w:vAlign w:val="bottom"/>
          </w:tcPr>
          <w:p w14:paraId="250E44E4" w14:textId="1CF2DCCE" w:rsidR="00F95EDF" w:rsidRPr="000E3045" w:rsidRDefault="00F95EDF" w:rsidP="00F95EDF">
            <w:pPr>
              <w:jc w:val="right"/>
              <w:rPr>
                <w:rFonts w:ascii="Arial" w:hAnsi="Arial" w:cs="Arial"/>
                <w:sz w:val="20"/>
                <w:szCs w:val="20"/>
              </w:rPr>
            </w:pPr>
            <w:r w:rsidRPr="000E3045">
              <w:rPr>
                <w:rFonts w:ascii="Arial" w:hAnsi="Arial" w:cs="Arial"/>
                <w:color w:val="000000"/>
                <w:sz w:val="20"/>
                <w:szCs w:val="20"/>
                <w:lang w:eastAsia="en-GB"/>
              </w:rPr>
              <w:t>94,320</w:t>
            </w:r>
          </w:p>
        </w:tc>
      </w:tr>
      <w:tr w:rsidR="00F95EDF" w:rsidRPr="000E3045" w14:paraId="3C2AECF0" w14:textId="77777777" w:rsidTr="00BE7370">
        <w:trPr>
          <w:trHeight w:val="291"/>
        </w:trPr>
        <w:tc>
          <w:tcPr>
            <w:tcW w:w="1394" w:type="dxa"/>
            <w:shd w:val="clear" w:color="auto" w:fill="auto"/>
          </w:tcPr>
          <w:p w14:paraId="35BAE169" w14:textId="4D3B5BC8" w:rsidR="00F95EDF" w:rsidRPr="000E3045" w:rsidRDefault="00F95EDF" w:rsidP="00F95EDF">
            <w:pPr>
              <w:jc w:val="center"/>
              <w:rPr>
                <w:rFonts w:ascii="Arial" w:hAnsi="Arial" w:cs="Arial"/>
                <w:sz w:val="22"/>
                <w:szCs w:val="22"/>
              </w:rPr>
            </w:pPr>
            <w:r w:rsidRPr="000E3045">
              <w:rPr>
                <w:rFonts w:ascii="Arial" w:hAnsi="Arial" w:cs="Arial"/>
                <w:sz w:val="22"/>
                <w:szCs w:val="22"/>
              </w:rPr>
              <w:t>5</w:t>
            </w:r>
          </w:p>
        </w:tc>
        <w:tc>
          <w:tcPr>
            <w:tcW w:w="1394" w:type="dxa"/>
            <w:shd w:val="clear" w:color="auto" w:fill="auto"/>
            <w:vAlign w:val="bottom"/>
          </w:tcPr>
          <w:p w14:paraId="5D664B44" w14:textId="6CF74AA7" w:rsidR="00F95EDF" w:rsidRPr="000E3045" w:rsidRDefault="00F95EDF" w:rsidP="00F95EDF">
            <w:pPr>
              <w:jc w:val="center"/>
              <w:rPr>
                <w:rFonts w:ascii="Arial" w:hAnsi="Arial" w:cs="Arial"/>
                <w:sz w:val="20"/>
                <w:szCs w:val="20"/>
              </w:rPr>
            </w:pPr>
            <w:r w:rsidRPr="000E3045">
              <w:rPr>
                <w:rFonts w:ascii="Arial" w:hAnsi="Arial" w:cs="Arial"/>
                <w:color w:val="000000"/>
                <w:sz w:val="20"/>
                <w:szCs w:val="20"/>
                <w:lang w:eastAsia="en-GB"/>
              </w:rPr>
              <w:t>53,</w:t>
            </w:r>
            <w:r>
              <w:rPr>
                <w:rFonts w:ascii="Arial" w:hAnsi="Arial" w:cs="Arial"/>
                <w:color w:val="000000"/>
                <w:sz w:val="20"/>
                <w:szCs w:val="20"/>
                <w:lang w:eastAsia="en-GB"/>
              </w:rPr>
              <w:t>401</w:t>
            </w:r>
            <w:r w:rsidRPr="000E3045">
              <w:rPr>
                <w:rFonts w:ascii="Arial" w:hAnsi="Arial" w:cs="Arial"/>
                <w:color w:val="000000"/>
                <w:sz w:val="20"/>
                <w:szCs w:val="20"/>
                <w:lang w:eastAsia="en-GB"/>
              </w:rPr>
              <w:t>,</w:t>
            </w:r>
            <w:r>
              <w:rPr>
                <w:rFonts w:ascii="Arial" w:hAnsi="Arial" w:cs="Arial"/>
                <w:color w:val="000000"/>
                <w:sz w:val="20"/>
                <w:szCs w:val="20"/>
                <w:lang w:eastAsia="en-GB"/>
              </w:rPr>
              <w:t>85</w:t>
            </w:r>
            <w:r w:rsidRPr="000E3045">
              <w:rPr>
                <w:rFonts w:ascii="Arial" w:hAnsi="Arial" w:cs="Arial"/>
                <w:color w:val="000000"/>
                <w:sz w:val="20"/>
                <w:szCs w:val="20"/>
                <w:lang w:eastAsia="en-GB"/>
              </w:rPr>
              <w:t>0</w:t>
            </w:r>
          </w:p>
        </w:tc>
        <w:tc>
          <w:tcPr>
            <w:tcW w:w="1394" w:type="dxa"/>
            <w:vAlign w:val="bottom"/>
          </w:tcPr>
          <w:p w14:paraId="38624C8A" w14:textId="69637F85" w:rsidR="00F95EDF" w:rsidRPr="000E3045" w:rsidRDefault="00F95EDF" w:rsidP="00F95EDF">
            <w:pPr>
              <w:jc w:val="right"/>
              <w:rPr>
                <w:rFonts w:ascii="Arial" w:hAnsi="Arial" w:cs="Arial"/>
                <w:sz w:val="20"/>
                <w:szCs w:val="20"/>
              </w:rPr>
            </w:pPr>
            <w:r>
              <w:rPr>
                <w:rFonts w:ascii="Calibri" w:hAnsi="Calibri" w:cs="Calibri"/>
                <w:color w:val="000000"/>
                <w:sz w:val="22"/>
                <w:szCs w:val="22"/>
              </w:rPr>
              <w:t>99.81%</w:t>
            </w:r>
          </w:p>
        </w:tc>
        <w:tc>
          <w:tcPr>
            <w:tcW w:w="1394" w:type="dxa"/>
            <w:shd w:val="clear" w:color="auto" w:fill="auto"/>
            <w:vAlign w:val="bottom"/>
          </w:tcPr>
          <w:p w14:paraId="2E1F25FF" w14:textId="271E7D5F" w:rsidR="00F95EDF" w:rsidRPr="000E3045" w:rsidRDefault="00F95EDF" w:rsidP="00F95EDF">
            <w:pPr>
              <w:jc w:val="right"/>
              <w:rPr>
                <w:rFonts w:ascii="Arial" w:hAnsi="Arial" w:cs="Arial"/>
                <w:sz w:val="20"/>
                <w:szCs w:val="20"/>
              </w:rPr>
            </w:pPr>
            <w:r w:rsidRPr="000E3045">
              <w:rPr>
                <w:rFonts w:ascii="Arial" w:hAnsi="Arial" w:cs="Arial"/>
                <w:color w:val="000000"/>
                <w:sz w:val="20"/>
                <w:szCs w:val="20"/>
                <w:lang w:eastAsia="en-GB"/>
              </w:rPr>
              <w:t>103,585</w:t>
            </w:r>
          </w:p>
        </w:tc>
        <w:tc>
          <w:tcPr>
            <w:tcW w:w="1394" w:type="dxa"/>
            <w:vAlign w:val="bottom"/>
          </w:tcPr>
          <w:p w14:paraId="7C0175A2" w14:textId="18914583" w:rsidR="00F95EDF" w:rsidRPr="000E3045" w:rsidRDefault="00F95EDF" w:rsidP="00F95EDF">
            <w:pPr>
              <w:jc w:val="right"/>
              <w:rPr>
                <w:rFonts w:ascii="Arial" w:hAnsi="Arial" w:cs="Arial"/>
                <w:sz w:val="20"/>
                <w:szCs w:val="20"/>
              </w:rPr>
            </w:pPr>
            <w:r>
              <w:rPr>
                <w:rFonts w:ascii="Calibri" w:hAnsi="Calibri" w:cs="Calibri"/>
                <w:color w:val="000000"/>
                <w:sz w:val="22"/>
                <w:szCs w:val="22"/>
              </w:rPr>
              <w:t>0.19%</w:t>
            </w:r>
          </w:p>
        </w:tc>
        <w:tc>
          <w:tcPr>
            <w:tcW w:w="1394" w:type="dxa"/>
            <w:shd w:val="clear" w:color="auto" w:fill="auto"/>
            <w:vAlign w:val="bottom"/>
          </w:tcPr>
          <w:p w14:paraId="5F0ACB6D" w14:textId="2C0D8FC6" w:rsidR="00F95EDF" w:rsidRPr="000E3045" w:rsidRDefault="00F95EDF" w:rsidP="00F95EDF">
            <w:pPr>
              <w:jc w:val="right"/>
              <w:rPr>
                <w:rFonts w:ascii="Arial" w:hAnsi="Arial" w:cs="Arial"/>
                <w:sz w:val="20"/>
                <w:szCs w:val="20"/>
              </w:rPr>
            </w:pPr>
            <w:r w:rsidRPr="000E3045">
              <w:rPr>
                <w:rFonts w:ascii="Arial" w:hAnsi="Arial" w:cs="Arial"/>
                <w:color w:val="000000"/>
                <w:sz w:val="20"/>
                <w:szCs w:val="20"/>
                <w:lang w:eastAsia="en-GB"/>
              </w:rPr>
              <w:t>96,040</w:t>
            </w:r>
          </w:p>
        </w:tc>
      </w:tr>
      <w:tr w:rsidR="00F95EDF" w:rsidRPr="000E3045" w14:paraId="1FCAAE39" w14:textId="77777777" w:rsidTr="00BE7370">
        <w:trPr>
          <w:trHeight w:val="291"/>
        </w:trPr>
        <w:tc>
          <w:tcPr>
            <w:tcW w:w="1394" w:type="dxa"/>
            <w:shd w:val="clear" w:color="auto" w:fill="auto"/>
          </w:tcPr>
          <w:p w14:paraId="4EA32CBE" w14:textId="3D8A8950" w:rsidR="00F95EDF" w:rsidRPr="000E3045" w:rsidRDefault="00F95EDF" w:rsidP="00F95EDF">
            <w:pPr>
              <w:jc w:val="center"/>
              <w:rPr>
                <w:rFonts w:ascii="Arial" w:hAnsi="Arial" w:cs="Arial"/>
                <w:sz w:val="22"/>
                <w:szCs w:val="22"/>
              </w:rPr>
            </w:pPr>
            <w:r w:rsidRPr="000E3045">
              <w:rPr>
                <w:rFonts w:ascii="Arial" w:hAnsi="Arial" w:cs="Arial"/>
                <w:sz w:val="22"/>
                <w:szCs w:val="22"/>
              </w:rPr>
              <w:t>6</w:t>
            </w:r>
          </w:p>
        </w:tc>
        <w:tc>
          <w:tcPr>
            <w:tcW w:w="1394" w:type="dxa"/>
            <w:shd w:val="clear" w:color="auto" w:fill="auto"/>
            <w:vAlign w:val="bottom"/>
          </w:tcPr>
          <w:p w14:paraId="64F866C3" w14:textId="2F69A965" w:rsidR="00F95EDF" w:rsidRPr="000E3045" w:rsidRDefault="00F95EDF" w:rsidP="00F95EDF">
            <w:pPr>
              <w:jc w:val="center"/>
              <w:rPr>
                <w:rFonts w:ascii="Arial" w:hAnsi="Arial" w:cs="Arial"/>
                <w:sz w:val="20"/>
                <w:szCs w:val="20"/>
              </w:rPr>
            </w:pPr>
            <w:r w:rsidRPr="000E3045">
              <w:rPr>
                <w:rFonts w:ascii="Arial" w:hAnsi="Arial" w:cs="Arial"/>
                <w:color w:val="000000"/>
                <w:sz w:val="20"/>
                <w:szCs w:val="20"/>
                <w:lang w:eastAsia="en-GB"/>
              </w:rPr>
              <w:t>42,</w:t>
            </w:r>
            <w:r>
              <w:rPr>
                <w:rFonts w:ascii="Arial" w:hAnsi="Arial" w:cs="Arial"/>
                <w:color w:val="000000"/>
                <w:sz w:val="20"/>
                <w:szCs w:val="20"/>
                <w:lang w:eastAsia="en-GB"/>
              </w:rPr>
              <w:t>945</w:t>
            </w:r>
            <w:r w:rsidRPr="000E3045">
              <w:rPr>
                <w:rFonts w:ascii="Arial" w:hAnsi="Arial" w:cs="Arial"/>
                <w:color w:val="000000"/>
                <w:sz w:val="20"/>
                <w:szCs w:val="20"/>
                <w:lang w:eastAsia="en-GB"/>
              </w:rPr>
              <w:t>,3</w:t>
            </w:r>
            <w:r>
              <w:rPr>
                <w:rFonts w:ascii="Arial" w:hAnsi="Arial" w:cs="Arial"/>
                <w:color w:val="000000"/>
                <w:sz w:val="20"/>
                <w:szCs w:val="20"/>
                <w:lang w:eastAsia="en-GB"/>
              </w:rPr>
              <w:t>78</w:t>
            </w:r>
          </w:p>
        </w:tc>
        <w:tc>
          <w:tcPr>
            <w:tcW w:w="1394" w:type="dxa"/>
            <w:vAlign w:val="bottom"/>
          </w:tcPr>
          <w:p w14:paraId="288B3CB4" w14:textId="497324DB" w:rsidR="00F95EDF" w:rsidRPr="000E3045" w:rsidRDefault="00F95EDF" w:rsidP="00F95EDF">
            <w:pPr>
              <w:jc w:val="right"/>
              <w:rPr>
                <w:rFonts w:ascii="Arial" w:hAnsi="Arial" w:cs="Arial"/>
                <w:sz w:val="20"/>
                <w:szCs w:val="20"/>
              </w:rPr>
            </w:pPr>
            <w:r>
              <w:rPr>
                <w:rFonts w:ascii="Calibri" w:hAnsi="Calibri" w:cs="Calibri"/>
                <w:color w:val="000000"/>
                <w:sz w:val="22"/>
                <w:szCs w:val="22"/>
              </w:rPr>
              <w:t>80.77%</w:t>
            </w:r>
          </w:p>
        </w:tc>
        <w:tc>
          <w:tcPr>
            <w:tcW w:w="1394" w:type="dxa"/>
            <w:shd w:val="clear" w:color="auto" w:fill="auto"/>
            <w:vAlign w:val="bottom"/>
          </w:tcPr>
          <w:p w14:paraId="00A49485" w14:textId="57BC6BCB" w:rsidR="00F95EDF" w:rsidRPr="000E3045" w:rsidRDefault="00F95EDF" w:rsidP="00F95EDF">
            <w:pPr>
              <w:jc w:val="right"/>
              <w:rPr>
                <w:rFonts w:ascii="Arial" w:hAnsi="Arial" w:cs="Arial"/>
                <w:sz w:val="20"/>
                <w:szCs w:val="20"/>
              </w:rPr>
            </w:pPr>
            <w:r w:rsidRPr="000E3045">
              <w:rPr>
                <w:rFonts w:ascii="Arial" w:hAnsi="Arial" w:cs="Arial"/>
                <w:color w:val="000000"/>
                <w:sz w:val="20"/>
                <w:szCs w:val="20"/>
                <w:lang w:eastAsia="en-GB"/>
              </w:rPr>
              <w:t>10,221,543</w:t>
            </w:r>
          </w:p>
        </w:tc>
        <w:tc>
          <w:tcPr>
            <w:tcW w:w="1394" w:type="dxa"/>
            <w:vAlign w:val="bottom"/>
          </w:tcPr>
          <w:p w14:paraId="44E25E99" w14:textId="480A84BC" w:rsidR="00F95EDF" w:rsidRPr="000E3045" w:rsidRDefault="00F95EDF" w:rsidP="00F95EDF">
            <w:pPr>
              <w:jc w:val="right"/>
              <w:rPr>
                <w:rFonts w:ascii="Arial" w:hAnsi="Arial" w:cs="Arial"/>
                <w:sz w:val="20"/>
                <w:szCs w:val="20"/>
              </w:rPr>
            </w:pPr>
            <w:r>
              <w:rPr>
                <w:rFonts w:ascii="Calibri" w:hAnsi="Calibri" w:cs="Calibri"/>
                <w:color w:val="000000"/>
                <w:sz w:val="22"/>
                <w:szCs w:val="22"/>
              </w:rPr>
              <w:t>19.23%</w:t>
            </w:r>
          </w:p>
        </w:tc>
        <w:tc>
          <w:tcPr>
            <w:tcW w:w="1394" w:type="dxa"/>
            <w:shd w:val="clear" w:color="auto" w:fill="auto"/>
            <w:vAlign w:val="bottom"/>
          </w:tcPr>
          <w:p w14:paraId="3B53FAD6" w14:textId="1F51569B" w:rsidR="00F95EDF" w:rsidRPr="000E3045" w:rsidRDefault="00F95EDF" w:rsidP="00F95EDF">
            <w:pPr>
              <w:jc w:val="right"/>
              <w:rPr>
                <w:rFonts w:ascii="Arial" w:hAnsi="Arial" w:cs="Arial"/>
                <w:sz w:val="20"/>
                <w:szCs w:val="20"/>
              </w:rPr>
            </w:pPr>
            <w:r w:rsidRPr="000E3045">
              <w:rPr>
                <w:rFonts w:ascii="Arial" w:hAnsi="Arial" w:cs="Arial"/>
                <w:color w:val="000000"/>
                <w:sz w:val="20"/>
                <w:szCs w:val="20"/>
                <w:lang w:eastAsia="en-GB"/>
              </w:rPr>
              <w:t>434,554</w:t>
            </w:r>
          </w:p>
        </w:tc>
      </w:tr>
      <w:tr w:rsidR="00F95EDF" w:rsidRPr="000E3045" w14:paraId="2C3BF0CC" w14:textId="77777777" w:rsidTr="00BE7370">
        <w:trPr>
          <w:trHeight w:val="291"/>
        </w:trPr>
        <w:tc>
          <w:tcPr>
            <w:tcW w:w="1394" w:type="dxa"/>
            <w:shd w:val="clear" w:color="auto" w:fill="auto"/>
          </w:tcPr>
          <w:p w14:paraId="748352FB" w14:textId="12917A62" w:rsidR="00F95EDF" w:rsidRPr="000E3045" w:rsidRDefault="00F95EDF" w:rsidP="00F95EDF">
            <w:pPr>
              <w:jc w:val="center"/>
              <w:rPr>
                <w:rFonts w:ascii="Arial" w:hAnsi="Arial" w:cs="Arial"/>
                <w:sz w:val="22"/>
                <w:szCs w:val="22"/>
              </w:rPr>
            </w:pPr>
            <w:r w:rsidRPr="000E3045">
              <w:rPr>
                <w:rFonts w:ascii="Arial" w:hAnsi="Arial" w:cs="Arial"/>
                <w:sz w:val="22"/>
                <w:szCs w:val="22"/>
              </w:rPr>
              <w:t>7</w:t>
            </w:r>
          </w:p>
        </w:tc>
        <w:tc>
          <w:tcPr>
            <w:tcW w:w="1394" w:type="dxa"/>
            <w:shd w:val="clear" w:color="auto" w:fill="auto"/>
            <w:vAlign w:val="bottom"/>
          </w:tcPr>
          <w:p w14:paraId="6D134FB5" w14:textId="6F07393A" w:rsidR="00F95EDF" w:rsidRPr="000E3045" w:rsidRDefault="00F95EDF" w:rsidP="00F95EDF">
            <w:pPr>
              <w:jc w:val="center"/>
              <w:rPr>
                <w:rFonts w:ascii="Arial" w:hAnsi="Arial" w:cs="Arial"/>
                <w:sz w:val="20"/>
                <w:szCs w:val="20"/>
              </w:rPr>
            </w:pPr>
            <w:r w:rsidRPr="000E3045">
              <w:rPr>
                <w:rFonts w:ascii="Arial" w:hAnsi="Arial" w:cs="Arial"/>
                <w:color w:val="000000"/>
                <w:sz w:val="20"/>
                <w:szCs w:val="20"/>
                <w:lang w:eastAsia="en-GB"/>
              </w:rPr>
              <w:t>53,3</w:t>
            </w:r>
            <w:r>
              <w:rPr>
                <w:rFonts w:ascii="Arial" w:hAnsi="Arial" w:cs="Arial"/>
                <w:color w:val="000000"/>
                <w:sz w:val="20"/>
                <w:szCs w:val="20"/>
                <w:lang w:eastAsia="en-GB"/>
              </w:rPr>
              <w:t>91</w:t>
            </w:r>
            <w:r w:rsidRPr="000E3045">
              <w:rPr>
                <w:rFonts w:ascii="Arial" w:hAnsi="Arial" w:cs="Arial"/>
                <w:color w:val="000000"/>
                <w:sz w:val="20"/>
                <w:szCs w:val="20"/>
                <w:lang w:eastAsia="en-GB"/>
              </w:rPr>
              <w:t>,</w:t>
            </w:r>
            <w:r>
              <w:rPr>
                <w:rFonts w:ascii="Arial" w:hAnsi="Arial" w:cs="Arial"/>
                <w:color w:val="000000"/>
                <w:sz w:val="20"/>
                <w:szCs w:val="20"/>
                <w:lang w:eastAsia="en-GB"/>
              </w:rPr>
              <w:t>064</w:t>
            </w:r>
          </w:p>
        </w:tc>
        <w:tc>
          <w:tcPr>
            <w:tcW w:w="1394" w:type="dxa"/>
            <w:vAlign w:val="bottom"/>
          </w:tcPr>
          <w:p w14:paraId="18E5BB95" w14:textId="4D55239A" w:rsidR="00F95EDF" w:rsidRPr="000E3045" w:rsidRDefault="00F95EDF" w:rsidP="00F95EDF">
            <w:pPr>
              <w:jc w:val="right"/>
              <w:rPr>
                <w:rFonts w:ascii="Arial" w:hAnsi="Arial" w:cs="Arial"/>
                <w:sz w:val="20"/>
                <w:szCs w:val="20"/>
              </w:rPr>
            </w:pPr>
            <w:r>
              <w:rPr>
                <w:rFonts w:ascii="Calibri" w:hAnsi="Calibri" w:cs="Calibri"/>
                <w:color w:val="000000"/>
                <w:sz w:val="22"/>
                <w:szCs w:val="22"/>
              </w:rPr>
              <w:t>99.85%</w:t>
            </w:r>
          </w:p>
        </w:tc>
        <w:tc>
          <w:tcPr>
            <w:tcW w:w="1394" w:type="dxa"/>
            <w:shd w:val="clear" w:color="auto" w:fill="auto"/>
            <w:vAlign w:val="bottom"/>
          </w:tcPr>
          <w:p w14:paraId="4059FB1A" w14:textId="7280331E" w:rsidR="00F95EDF" w:rsidRPr="000E3045" w:rsidRDefault="00F95EDF" w:rsidP="00F95EDF">
            <w:pPr>
              <w:jc w:val="right"/>
              <w:rPr>
                <w:rFonts w:ascii="Arial" w:hAnsi="Arial" w:cs="Arial"/>
                <w:sz w:val="20"/>
                <w:szCs w:val="20"/>
              </w:rPr>
            </w:pPr>
            <w:r w:rsidRPr="000E3045">
              <w:rPr>
                <w:rFonts w:ascii="Arial" w:hAnsi="Arial" w:cs="Arial"/>
                <w:color w:val="000000"/>
                <w:sz w:val="20"/>
                <w:szCs w:val="20"/>
                <w:lang w:eastAsia="en-GB"/>
              </w:rPr>
              <w:t>81,041</w:t>
            </w:r>
          </w:p>
        </w:tc>
        <w:tc>
          <w:tcPr>
            <w:tcW w:w="1394" w:type="dxa"/>
            <w:vAlign w:val="bottom"/>
          </w:tcPr>
          <w:p w14:paraId="5702E238" w14:textId="6008BD15" w:rsidR="00F95EDF" w:rsidRPr="000E3045" w:rsidRDefault="00F95EDF" w:rsidP="00F95EDF">
            <w:pPr>
              <w:jc w:val="right"/>
              <w:rPr>
                <w:rFonts w:ascii="Arial" w:hAnsi="Arial" w:cs="Arial"/>
                <w:sz w:val="20"/>
                <w:szCs w:val="20"/>
              </w:rPr>
            </w:pPr>
            <w:r>
              <w:rPr>
                <w:rFonts w:ascii="Calibri" w:hAnsi="Calibri" w:cs="Calibri"/>
                <w:color w:val="000000"/>
                <w:sz w:val="22"/>
                <w:szCs w:val="22"/>
              </w:rPr>
              <w:t>0.15%</w:t>
            </w:r>
          </w:p>
        </w:tc>
        <w:tc>
          <w:tcPr>
            <w:tcW w:w="1394" w:type="dxa"/>
            <w:shd w:val="clear" w:color="auto" w:fill="auto"/>
            <w:vAlign w:val="bottom"/>
          </w:tcPr>
          <w:p w14:paraId="24AD6D04" w14:textId="0E742A37" w:rsidR="00F95EDF" w:rsidRPr="000E3045" w:rsidRDefault="00F95EDF" w:rsidP="00F95EDF">
            <w:pPr>
              <w:jc w:val="right"/>
              <w:rPr>
                <w:rFonts w:ascii="Arial" w:hAnsi="Arial" w:cs="Arial"/>
                <w:sz w:val="20"/>
                <w:szCs w:val="20"/>
              </w:rPr>
            </w:pPr>
            <w:r w:rsidRPr="000E3045">
              <w:rPr>
                <w:rFonts w:ascii="Arial" w:hAnsi="Arial" w:cs="Arial"/>
                <w:color w:val="000000"/>
                <w:sz w:val="20"/>
                <w:szCs w:val="20"/>
                <w:lang w:eastAsia="en-GB"/>
              </w:rPr>
              <w:t>129,370</w:t>
            </w:r>
          </w:p>
        </w:tc>
      </w:tr>
      <w:tr w:rsidR="00F95EDF" w:rsidRPr="000E3045" w14:paraId="4EECA808" w14:textId="77777777" w:rsidTr="00BE7370">
        <w:trPr>
          <w:trHeight w:val="291"/>
        </w:trPr>
        <w:tc>
          <w:tcPr>
            <w:tcW w:w="1394" w:type="dxa"/>
            <w:shd w:val="clear" w:color="auto" w:fill="auto"/>
          </w:tcPr>
          <w:p w14:paraId="5EB42F28" w14:textId="67F71A5D" w:rsidR="00F95EDF" w:rsidRPr="000E3045" w:rsidRDefault="00F95EDF" w:rsidP="00F95EDF">
            <w:pPr>
              <w:jc w:val="center"/>
              <w:rPr>
                <w:rFonts w:ascii="Arial" w:hAnsi="Arial" w:cs="Arial"/>
                <w:sz w:val="22"/>
                <w:szCs w:val="22"/>
              </w:rPr>
            </w:pPr>
            <w:r w:rsidRPr="000E3045">
              <w:rPr>
                <w:rFonts w:ascii="Arial" w:hAnsi="Arial" w:cs="Arial"/>
                <w:sz w:val="22"/>
                <w:szCs w:val="22"/>
              </w:rPr>
              <w:t>8</w:t>
            </w:r>
          </w:p>
        </w:tc>
        <w:tc>
          <w:tcPr>
            <w:tcW w:w="1394" w:type="dxa"/>
            <w:shd w:val="clear" w:color="auto" w:fill="auto"/>
            <w:vAlign w:val="bottom"/>
          </w:tcPr>
          <w:p w14:paraId="4181FDBA" w14:textId="0E3AA2C7" w:rsidR="00F95EDF" w:rsidRPr="000E3045" w:rsidRDefault="00F95EDF" w:rsidP="00F95EDF">
            <w:pPr>
              <w:jc w:val="center"/>
              <w:rPr>
                <w:rFonts w:ascii="Arial" w:hAnsi="Arial" w:cs="Arial"/>
                <w:sz w:val="20"/>
                <w:szCs w:val="20"/>
              </w:rPr>
            </w:pPr>
            <w:r w:rsidRPr="000E3045">
              <w:rPr>
                <w:rFonts w:ascii="Arial" w:hAnsi="Arial" w:cs="Arial"/>
                <w:color w:val="000000"/>
                <w:sz w:val="20"/>
                <w:szCs w:val="20"/>
                <w:lang w:eastAsia="en-GB"/>
              </w:rPr>
              <w:t>53,</w:t>
            </w:r>
            <w:r>
              <w:rPr>
                <w:rFonts w:ascii="Arial" w:hAnsi="Arial" w:cs="Arial"/>
                <w:color w:val="000000"/>
                <w:sz w:val="20"/>
                <w:szCs w:val="20"/>
                <w:lang w:eastAsia="en-GB"/>
              </w:rPr>
              <w:t>465,480</w:t>
            </w:r>
          </w:p>
        </w:tc>
        <w:tc>
          <w:tcPr>
            <w:tcW w:w="1394" w:type="dxa"/>
            <w:vAlign w:val="bottom"/>
          </w:tcPr>
          <w:p w14:paraId="32EFAD80" w14:textId="7DBEF18C" w:rsidR="00F95EDF" w:rsidRPr="000E3045" w:rsidRDefault="00F95EDF" w:rsidP="00F95EDF">
            <w:pPr>
              <w:jc w:val="right"/>
              <w:rPr>
                <w:rFonts w:ascii="Arial" w:hAnsi="Arial" w:cs="Arial"/>
                <w:sz w:val="20"/>
                <w:szCs w:val="20"/>
              </w:rPr>
            </w:pPr>
            <w:r>
              <w:rPr>
                <w:rFonts w:ascii="Calibri" w:hAnsi="Calibri" w:cs="Calibri"/>
                <w:color w:val="000000"/>
                <w:sz w:val="22"/>
                <w:szCs w:val="22"/>
              </w:rPr>
              <w:t>99.92%</w:t>
            </w:r>
          </w:p>
        </w:tc>
        <w:tc>
          <w:tcPr>
            <w:tcW w:w="1394" w:type="dxa"/>
            <w:shd w:val="clear" w:color="auto" w:fill="auto"/>
            <w:vAlign w:val="bottom"/>
          </w:tcPr>
          <w:p w14:paraId="2FDFD4AD" w14:textId="3B360713" w:rsidR="00F95EDF" w:rsidRPr="000E3045" w:rsidRDefault="00F95EDF" w:rsidP="00F95EDF">
            <w:pPr>
              <w:jc w:val="right"/>
              <w:rPr>
                <w:rFonts w:ascii="Arial" w:hAnsi="Arial" w:cs="Arial"/>
                <w:sz w:val="20"/>
                <w:szCs w:val="20"/>
              </w:rPr>
            </w:pPr>
            <w:r w:rsidRPr="000E3045">
              <w:rPr>
                <w:rFonts w:ascii="Arial" w:hAnsi="Arial" w:cs="Arial"/>
                <w:color w:val="000000"/>
                <w:sz w:val="20"/>
                <w:szCs w:val="20"/>
                <w:lang w:eastAsia="en-GB"/>
              </w:rPr>
              <w:t>45,377</w:t>
            </w:r>
          </w:p>
        </w:tc>
        <w:tc>
          <w:tcPr>
            <w:tcW w:w="1394" w:type="dxa"/>
            <w:vAlign w:val="bottom"/>
          </w:tcPr>
          <w:p w14:paraId="38EECE22" w14:textId="30894E99" w:rsidR="00F95EDF" w:rsidRPr="000E3045" w:rsidRDefault="00F95EDF" w:rsidP="00F95EDF">
            <w:pPr>
              <w:jc w:val="right"/>
              <w:rPr>
                <w:rFonts w:ascii="Arial" w:hAnsi="Arial" w:cs="Arial"/>
                <w:sz w:val="20"/>
                <w:szCs w:val="20"/>
              </w:rPr>
            </w:pPr>
            <w:r>
              <w:rPr>
                <w:rFonts w:ascii="Calibri" w:hAnsi="Calibri" w:cs="Calibri"/>
                <w:color w:val="000000"/>
                <w:sz w:val="22"/>
                <w:szCs w:val="22"/>
              </w:rPr>
              <w:t>0.08%</w:t>
            </w:r>
          </w:p>
        </w:tc>
        <w:tc>
          <w:tcPr>
            <w:tcW w:w="1394" w:type="dxa"/>
            <w:shd w:val="clear" w:color="auto" w:fill="auto"/>
            <w:vAlign w:val="bottom"/>
          </w:tcPr>
          <w:p w14:paraId="3C66CDA9" w14:textId="19843269" w:rsidR="00F95EDF" w:rsidRPr="000E3045" w:rsidRDefault="00F95EDF" w:rsidP="00F95EDF">
            <w:pPr>
              <w:jc w:val="right"/>
              <w:rPr>
                <w:rFonts w:ascii="Arial" w:hAnsi="Arial" w:cs="Arial"/>
                <w:sz w:val="20"/>
                <w:szCs w:val="20"/>
              </w:rPr>
            </w:pPr>
            <w:r w:rsidRPr="000E3045">
              <w:rPr>
                <w:rFonts w:ascii="Arial" w:hAnsi="Arial" w:cs="Arial"/>
                <w:color w:val="000000"/>
                <w:sz w:val="20"/>
                <w:szCs w:val="20"/>
                <w:lang w:eastAsia="en-GB"/>
              </w:rPr>
              <w:t>90,618</w:t>
            </w:r>
          </w:p>
        </w:tc>
      </w:tr>
      <w:tr w:rsidR="00F95EDF" w:rsidRPr="000E3045" w14:paraId="7A681D65" w14:textId="77777777" w:rsidTr="00BE7370">
        <w:trPr>
          <w:trHeight w:val="291"/>
        </w:trPr>
        <w:tc>
          <w:tcPr>
            <w:tcW w:w="1394" w:type="dxa"/>
            <w:shd w:val="clear" w:color="auto" w:fill="auto"/>
          </w:tcPr>
          <w:p w14:paraId="71404F16" w14:textId="073C9605" w:rsidR="00F95EDF" w:rsidRPr="000E3045" w:rsidRDefault="00F95EDF" w:rsidP="00F95EDF">
            <w:pPr>
              <w:jc w:val="center"/>
              <w:rPr>
                <w:rFonts w:ascii="Arial" w:hAnsi="Arial" w:cs="Arial"/>
                <w:sz w:val="22"/>
                <w:szCs w:val="22"/>
              </w:rPr>
            </w:pPr>
            <w:r w:rsidRPr="000E3045">
              <w:rPr>
                <w:rFonts w:ascii="Arial" w:hAnsi="Arial" w:cs="Arial"/>
                <w:sz w:val="22"/>
                <w:szCs w:val="22"/>
              </w:rPr>
              <w:t>9</w:t>
            </w:r>
          </w:p>
        </w:tc>
        <w:tc>
          <w:tcPr>
            <w:tcW w:w="1394" w:type="dxa"/>
            <w:shd w:val="clear" w:color="auto" w:fill="auto"/>
            <w:vAlign w:val="bottom"/>
          </w:tcPr>
          <w:p w14:paraId="4B26EBCA" w14:textId="0DAA84F2" w:rsidR="00F95EDF" w:rsidRPr="000E3045" w:rsidRDefault="00F95EDF" w:rsidP="00F95EDF">
            <w:pPr>
              <w:jc w:val="center"/>
              <w:rPr>
                <w:rFonts w:ascii="Arial" w:hAnsi="Arial" w:cs="Arial"/>
                <w:sz w:val="20"/>
                <w:szCs w:val="20"/>
              </w:rPr>
            </w:pPr>
            <w:r w:rsidRPr="000E3045">
              <w:rPr>
                <w:rFonts w:ascii="Arial" w:hAnsi="Arial" w:cs="Arial"/>
                <w:color w:val="000000"/>
                <w:sz w:val="20"/>
                <w:szCs w:val="20"/>
                <w:lang w:eastAsia="en-GB"/>
              </w:rPr>
              <w:t>53,</w:t>
            </w:r>
            <w:r>
              <w:rPr>
                <w:rFonts w:ascii="Arial" w:hAnsi="Arial" w:cs="Arial"/>
                <w:color w:val="000000"/>
                <w:sz w:val="20"/>
                <w:szCs w:val="20"/>
                <w:lang w:eastAsia="en-GB"/>
              </w:rPr>
              <w:t>374,003</w:t>
            </w:r>
          </w:p>
        </w:tc>
        <w:tc>
          <w:tcPr>
            <w:tcW w:w="1394" w:type="dxa"/>
            <w:vAlign w:val="bottom"/>
          </w:tcPr>
          <w:p w14:paraId="2F307455" w14:textId="0405D99D" w:rsidR="00F95EDF" w:rsidRPr="000E3045" w:rsidRDefault="00F95EDF" w:rsidP="00F95EDF">
            <w:pPr>
              <w:jc w:val="right"/>
              <w:rPr>
                <w:rFonts w:ascii="Arial" w:hAnsi="Arial" w:cs="Arial"/>
                <w:sz w:val="20"/>
                <w:szCs w:val="20"/>
              </w:rPr>
            </w:pPr>
            <w:r>
              <w:rPr>
                <w:rFonts w:ascii="Calibri" w:hAnsi="Calibri" w:cs="Calibri"/>
                <w:color w:val="000000"/>
                <w:sz w:val="22"/>
                <w:szCs w:val="22"/>
              </w:rPr>
              <w:t>99.64%</w:t>
            </w:r>
          </w:p>
        </w:tc>
        <w:tc>
          <w:tcPr>
            <w:tcW w:w="1394" w:type="dxa"/>
            <w:shd w:val="clear" w:color="auto" w:fill="auto"/>
            <w:vAlign w:val="bottom"/>
          </w:tcPr>
          <w:p w14:paraId="70EBB372" w14:textId="22BA4370" w:rsidR="00F95EDF" w:rsidRPr="000E3045" w:rsidRDefault="00F95EDF" w:rsidP="00F95EDF">
            <w:pPr>
              <w:jc w:val="right"/>
              <w:rPr>
                <w:rFonts w:ascii="Arial" w:hAnsi="Arial" w:cs="Arial"/>
                <w:sz w:val="20"/>
                <w:szCs w:val="20"/>
              </w:rPr>
            </w:pPr>
            <w:r w:rsidRPr="000E3045">
              <w:rPr>
                <w:rFonts w:ascii="Arial" w:hAnsi="Arial" w:cs="Arial"/>
                <w:color w:val="000000"/>
                <w:sz w:val="20"/>
                <w:szCs w:val="20"/>
                <w:lang w:eastAsia="en-GB"/>
              </w:rPr>
              <w:t>190,595</w:t>
            </w:r>
          </w:p>
        </w:tc>
        <w:tc>
          <w:tcPr>
            <w:tcW w:w="1394" w:type="dxa"/>
            <w:vAlign w:val="bottom"/>
          </w:tcPr>
          <w:p w14:paraId="1D502310" w14:textId="7249F291" w:rsidR="00F95EDF" w:rsidRPr="000E3045" w:rsidRDefault="00F95EDF" w:rsidP="00F95EDF">
            <w:pPr>
              <w:jc w:val="right"/>
              <w:rPr>
                <w:rFonts w:ascii="Arial" w:hAnsi="Arial" w:cs="Arial"/>
                <w:sz w:val="20"/>
                <w:szCs w:val="20"/>
              </w:rPr>
            </w:pPr>
            <w:r>
              <w:rPr>
                <w:rFonts w:ascii="Calibri" w:hAnsi="Calibri" w:cs="Calibri"/>
                <w:color w:val="000000"/>
                <w:sz w:val="22"/>
                <w:szCs w:val="22"/>
              </w:rPr>
              <w:t>0.36%</w:t>
            </w:r>
          </w:p>
        </w:tc>
        <w:tc>
          <w:tcPr>
            <w:tcW w:w="1394" w:type="dxa"/>
            <w:shd w:val="clear" w:color="auto" w:fill="auto"/>
            <w:vAlign w:val="bottom"/>
          </w:tcPr>
          <w:p w14:paraId="265DE006" w14:textId="7F8EA2FC" w:rsidR="00F95EDF" w:rsidRPr="000E3045" w:rsidRDefault="00F95EDF" w:rsidP="00F95EDF">
            <w:pPr>
              <w:jc w:val="right"/>
              <w:rPr>
                <w:rFonts w:ascii="Arial" w:hAnsi="Arial" w:cs="Arial"/>
                <w:sz w:val="20"/>
                <w:szCs w:val="20"/>
              </w:rPr>
            </w:pPr>
            <w:r w:rsidRPr="000E3045">
              <w:rPr>
                <w:rFonts w:ascii="Arial" w:hAnsi="Arial" w:cs="Arial"/>
                <w:color w:val="000000"/>
                <w:sz w:val="20"/>
                <w:szCs w:val="20"/>
                <w:lang w:eastAsia="en-GB"/>
              </w:rPr>
              <w:t>36,877</w:t>
            </w:r>
          </w:p>
        </w:tc>
      </w:tr>
      <w:tr w:rsidR="00F95EDF" w:rsidRPr="000E3045" w14:paraId="50D37AAF" w14:textId="77777777" w:rsidTr="00BE7370">
        <w:trPr>
          <w:trHeight w:val="291"/>
        </w:trPr>
        <w:tc>
          <w:tcPr>
            <w:tcW w:w="1394" w:type="dxa"/>
            <w:shd w:val="clear" w:color="auto" w:fill="auto"/>
          </w:tcPr>
          <w:p w14:paraId="27A974CD" w14:textId="64EC6645" w:rsidR="00F95EDF" w:rsidRPr="000E3045" w:rsidRDefault="00F95EDF" w:rsidP="00F95EDF">
            <w:pPr>
              <w:jc w:val="center"/>
              <w:rPr>
                <w:rFonts w:ascii="Arial" w:hAnsi="Arial" w:cs="Arial"/>
                <w:sz w:val="22"/>
                <w:szCs w:val="22"/>
              </w:rPr>
            </w:pPr>
            <w:r w:rsidRPr="000E3045">
              <w:rPr>
                <w:rFonts w:ascii="Arial" w:hAnsi="Arial" w:cs="Arial"/>
                <w:sz w:val="22"/>
                <w:szCs w:val="22"/>
              </w:rPr>
              <w:t>10</w:t>
            </w:r>
          </w:p>
        </w:tc>
        <w:tc>
          <w:tcPr>
            <w:tcW w:w="1394" w:type="dxa"/>
            <w:shd w:val="clear" w:color="auto" w:fill="auto"/>
            <w:vAlign w:val="bottom"/>
          </w:tcPr>
          <w:p w14:paraId="2AF2A767" w14:textId="37ED6956" w:rsidR="00F95EDF" w:rsidRPr="000E3045" w:rsidRDefault="00F95EDF" w:rsidP="00F95EDF">
            <w:pPr>
              <w:jc w:val="center"/>
              <w:rPr>
                <w:rFonts w:ascii="Arial" w:hAnsi="Arial" w:cs="Arial"/>
                <w:sz w:val="20"/>
                <w:szCs w:val="20"/>
              </w:rPr>
            </w:pPr>
            <w:r w:rsidRPr="000E3045">
              <w:rPr>
                <w:rFonts w:ascii="Arial" w:hAnsi="Arial" w:cs="Arial"/>
                <w:color w:val="000000"/>
                <w:sz w:val="20"/>
                <w:szCs w:val="20"/>
                <w:lang w:eastAsia="en-GB"/>
              </w:rPr>
              <w:t>53,</w:t>
            </w:r>
            <w:r>
              <w:rPr>
                <w:rFonts w:ascii="Arial" w:hAnsi="Arial" w:cs="Arial"/>
                <w:color w:val="000000"/>
                <w:sz w:val="20"/>
                <w:szCs w:val="20"/>
                <w:lang w:eastAsia="en-GB"/>
              </w:rPr>
              <w:t>528,388</w:t>
            </w:r>
          </w:p>
        </w:tc>
        <w:tc>
          <w:tcPr>
            <w:tcW w:w="1394" w:type="dxa"/>
            <w:vAlign w:val="bottom"/>
          </w:tcPr>
          <w:p w14:paraId="3A0CE679" w14:textId="3A023722" w:rsidR="00F95EDF" w:rsidRPr="000E3045" w:rsidRDefault="00F95EDF" w:rsidP="00F95EDF">
            <w:pPr>
              <w:jc w:val="right"/>
              <w:rPr>
                <w:rFonts w:ascii="Arial" w:hAnsi="Arial" w:cs="Arial"/>
                <w:sz w:val="20"/>
                <w:szCs w:val="20"/>
              </w:rPr>
            </w:pPr>
            <w:r>
              <w:rPr>
                <w:rFonts w:ascii="Calibri" w:hAnsi="Calibri" w:cs="Calibri"/>
                <w:color w:val="000000"/>
                <w:sz w:val="22"/>
                <w:szCs w:val="22"/>
              </w:rPr>
              <w:t>99.91%</w:t>
            </w:r>
          </w:p>
        </w:tc>
        <w:tc>
          <w:tcPr>
            <w:tcW w:w="1394" w:type="dxa"/>
            <w:shd w:val="clear" w:color="auto" w:fill="auto"/>
            <w:vAlign w:val="bottom"/>
          </w:tcPr>
          <w:p w14:paraId="1BF27172" w14:textId="5EB9E9DD" w:rsidR="00F95EDF" w:rsidRPr="000E3045" w:rsidRDefault="00F95EDF" w:rsidP="00F95EDF">
            <w:pPr>
              <w:jc w:val="right"/>
              <w:rPr>
                <w:rFonts w:ascii="Arial" w:hAnsi="Arial" w:cs="Arial"/>
                <w:sz w:val="20"/>
                <w:szCs w:val="20"/>
              </w:rPr>
            </w:pPr>
            <w:r w:rsidRPr="000E3045">
              <w:rPr>
                <w:rFonts w:ascii="Arial" w:hAnsi="Arial" w:cs="Arial"/>
                <w:color w:val="000000"/>
                <w:sz w:val="20"/>
                <w:szCs w:val="20"/>
                <w:lang w:eastAsia="en-GB"/>
              </w:rPr>
              <w:t>45,952</w:t>
            </w:r>
          </w:p>
        </w:tc>
        <w:tc>
          <w:tcPr>
            <w:tcW w:w="1394" w:type="dxa"/>
            <w:vAlign w:val="bottom"/>
          </w:tcPr>
          <w:p w14:paraId="3EF6F2D0" w14:textId="01323147" w:rsidR="00F95EDF" w:rsidRPr="000E3045" w:rsidRDefault="00F95EDF" w:rsidP="00F95EDF">
            <w:pPr>
              <w:jc w:val="right"/>
              <w:rPr>
                <w:rFonts w:ascii="Arial" w:hAnsi="Arial" w:cs="Arial"/>
                <w:sz w:val="20"/>
                <w:szCs w:val="20"/>
              </w:rPr>
            </w:pPr>
            <w:r>
              <w:rPr>
                <w:rFonts w:ascii="Calibri" w:hAnsi="Calibri" w:cs="Calibri"/>
                <w:color w:val="000000"/>
                <w:sz w:val="22"/>
                <w:szCs w:val="22"/>
              </w:rPr>
              <w:t>0.09%</w:t>
            </w:r>
          </w:p>
        </w:tc>
        <w:tc>
          <w:tcPr>
            <w:tcW w:w="1394" w:type="dxa"/>
            <w:shd w:val="clear" w:color="auto" w:fill="auto"/>
            <w:vAlign w:val="bottom"/>
          </w:tcPr>
          <w:p w14:paraId="22CDEB95" w14:textId="1E0F8A45" w:rsidR="00F95EDF" w:rsidRPr="000E3045" w:rsidRDefault="00F95EDF" w:rsidP="00F95EDF">
            <w:pPr>
              <w:jc w:val="right"/>
              <w:rPr>
                <w:rFonts w:ascii="Arial" w:hAnsi="Arial" w:cs="Arial"/>
                <w:sz w:val="20"/>
                <w:szCs w:val="20"/>
              </w:rPr>
            </w:pPr>
            <w:r w:rsidRPr="000E3045">
              <w:rPr>
                <w:rFonts w:ascii="Arial" w:hAnsi="Arial" w:cs="Arial"/>
                <w:color w:val="000000"/>
                <w:sz w:val="20"/>
                <w:szCs w:val="20"/>
                <w:lang w:eastAsia="en-GB"/>
              </w:rPr>
              <w:t>27,135</w:t>
            </w:r>
          </w:p>
        </w:tc>
      </w:tr>
      <w:tr w:rsidR="00F95EDF" w:rsidRPr="000E3045" w14:paraId="2A3A9D71" w14:textId="77777777" w:rsidTr="00BE7370">
        <w:trPr>
          <w:trHeight w:val="291"/>
        </w:trPr>
        <w:tc>
          <w:tcPr>
            <w:tcW w:w="1394" w:type="dxa"/>
            <w:shd w:val="clear" w:color="auto" w:fill="auto"/>
          </w:tcPr>
          <w:p w14:paraId="1446937C" w14:textId="6D211D3A" w:rsidR="00F95EDF" w:rsidRPr="000E3045" w:rsidRDefault="00F95EDF" w:rsidP="00F95EDF">
            <w:pPr>
              <w:jc w:val="center"/>
              <w:rPr>
                <w:rFonts w:ascii="Arial" w:hAnsi="Arial" w:cs="Arial"/>
                <w:sz w:val="22"/>
                <w:szCs w:val="22"/>
              </w:rPr>
            </w:pPr>
            <w:r w:rsidRPr="000E3045">
              <w:rPr>
                <w:rFonts w:ascii="Arial" w:hAnsi="Arial" w:cs="Arial"/>
                <w:sz w:val="22"/>
                <w:szCs w:val="22"/>
              </w:rPr>
              <w:t>11</w:t>
            </w:r>
          </w:p>
        </w:tc>
        <w:tc>
          <w:tcPr>
            <w:tcW w:w="1394" w:type="dxa"/>
            <w:shd w:val="clear" w:color="auto" w:fill="auto"/>
            <w:vAlign w:val="bottom"/>
          </w:tcPr>
          <w:p w14:paraId="7294B763" w14:textId="7A17022A" w:rsidR="00F95EDF" w:rsidRPr="000E3045" w:rsidRDefault="00F95EDF" w:rsidP="00F95EDF">
            <w:pPr>
              <w:jc w:val="center"/>
              <w:rPr>
                <w:rFonts w:ascii="Arial" w:hAnsi="Arial" w:cs="Arial"/>
                <w:sz w:val="20"/>
                <w:szCs w:val="20"/>
              </w:rPr>
            </w:pPr>
            <w:r w:rsidRPr="000E3045">
              <w:rPr>
                <w:rFonts w:ascii="Arial" w:hAnsi="Arial" w:cs="Arial"/>
                <w:color w:val="000000"/>
                <w:sz w:val="20"/>
                <w:szCs w:val="20"/>
                <w:lang w:eastAsia="en-GB"/>
              </w:rPr>
              <w:t>53,</w:t>
            </w:r>
            <w:r>
              <w:rPr>
                <w:rFonts w:ascii="Arial" w:hAnsi="Arial" w:cs="Arial"/>
                <w:color w:val="000000"/>
                <w:sz w:val="20"/>
                <w:szCs w:val="20"/>
                <w:lang w:eastAsia="en-GB"/>
              </w:rPr>
              <w:t>374,144</w:t>
            </w:r>
          </w:p>
        </w:tc>
        <w:tc>
          <w:tcPr>
            <w:tcW w:w="1394" w:type="dxa"/>
            <w:vAlign w:val="bottom"/>
          </w:tcPr>
          <w:p w14:paraId="4E4C4BC6" w14:textId="4E8A68C1" w:rsidR="00F95EDF" w:rsidRPr="000E3045" w:rsidRDefault="00F95EDF" w:rsidP="00F95EDF">
            <w:pPr>
              <w:jc w:val="right"/>
              <w:rPr>
                <w:rFonts w:ascii="Arial" w:hAnsi="Arial" w:cs="Arial"/>
                <w:sz w:val="20"/>
                <w:szCs w:val="20"/>
              </w:rPr>
            </w:pPr>
            <w:r>
              <w:rPr>
                <w:rFonts w:ascii="Calibri" w:hAnsi="Calibri" w:cs="Calibri"/>
                <w:color w:val="000000"/>
                <w:sz w:val="22"/>
                <w:szCs w:val="22"/>
              </w:rPr>
              <w:t>99.64%</w:t>
            </w:r>
          </w:p>
        </w:tc>
        <w:tc>
          <w:tcPr>
            <w:tcW w:w="1394" w:type="dxa"/>
            <w:shd w:val="clear" w:color="auto" w:fill="auto"/>
            <w:vAlign w:val="bottom"/>
          </w:tcPr>
          <w:p w14:paraId="6003B9AD" w14:textId="1D4DBCBF" w:rsidR="00F95EDF" w:rsidRPr="000E3045" w:rsidRDefault="00F95EDF" w:rsidP="00F95EDF">
            <w:pPr>
              <w:jc w:val="right"/>
              <w:rPr>
                <w:rFonts w:ascii="Arial" w:hAnsi="Arial" w:cs="Arial"/>
                <w:sz w:val="20"/>
                <w:szCs w:val="20"/>
              </w:rPr>
            </w:pPr>
            <w:r w:rsidRPr="000E3045">
              <w:rPr>
                <w:rFonts w:ascii="Arial" w:hAnsi="Arial" w:cs="Arial"/>
                <w:color w:val="000000"/>
                <w:sz w:val="20"/>
                <w:szCs w:val="20"/>
                <w:lang w:eastAsia="en-GB"/>
              </w:rPr>
              <w:t>194,653</w:t>
            </w:r>
          </w:p>
        </w:tc>
        <w:tc>
          <w:tcPr>
            <w:tcW w:w="1394" w:type="dxa"/>
            <w:vAlign w:val="bottom"/>
          </w:tcPr>
          <w:p w14:paraId="09F71E62" w14:textId="77E8D309" w:rsidR="00F95EDF" w:rsidRPr="000E3045" w:rsidRDefault="00F95EDF" w:rsidP="00F95EDF">
            <w:pPr>
              <w:jc w:val="right"/>
              <w:rPr>
                <w:rFonts w:ascii="Arial" w:hAnsi="Arial" w:cs="Arial"/>
                <w:sz w:val="20"/>
                <w:szCs w:val="20"/>
              </w:rPr>
            </w:pPr>
            <w:r>
              <w:rPr>
                <w:rFonts w:ascii="Calibri" w:hAnsi="Calibri" w:cs="Calibri"/>
                <w:color w:val="000000"/>
                <w:sz w:val="22"/>
                <w:szCs w:val="22"/>
              </w:rPr>
              <w:t>0.36%</w:t>
            </w:r>
          </w:p>
        </w:tc>
        <w:tc>
          <w:tcPr>
            <w:tcW w:w="1394" w:type="dxa"/>
            <w:shd w:val="clear" w:color="auto" w:fill="auto"/>
            <w:vAlign w:val="bottom"/>
          </w:tcPr>
          <w:p w14:paraId="685544BB" w14:textId="5538421F" w:rsidR="00F95EDF" w:rsidRPr="000E3045" w:rsidRDefault="00F95EDF" w:rsidP="00F95EDF">
            <w:pPr>
              <w:jc w:val="right"/>
              <w:rPr>
                <w:rFonts w:ascii="Arial" w:hAnsi="Arial" w:cs="Arial"/>
                <w:sz w:val="20"/>
                <w:szCs w:val="20"/>
              </w:rPr>
            </w:pPr>
            <w:r w:rsidRPr="000E3045">
              <w:rPr>
                <w:rFonts w:ascii="Arial" w:hAnsi="Arial" w:cs="Arial"/>
                <w:color w:val="000000"/>
                <w:sz w:val="20"/>
                <w:szCs w:val="20"/>
                <w:lang w:eastAsia="en-GB"/>
              </w:rPr>
              <w:t>32,678</w:t>
            </w:r>
          </w:p>
        </w:tc>
      </w:tr>
      <w:tr w:rsidR="00F95EDF" w:rsidRPr="000E3045" w14:paraId="350CE77F" w14:textId="77777777" w:rsidTr="00BE7370">
        <w:trPr>
          <w:trHeight w:val="291"/>
        </w:trPr>
        <w:tc>
          <w:tcPr>
            <w:tcW w:w="1394" w:type="dxa"/>
            <w:shd w:val="clear" w:color="auto" w:fill="auto"/>
          </w:tcPr>
          <w:p w14:paraId="32A05897" w14:textId="35558176" w:rsidR="00F95EDF" w:rsidRPr="000E3045" w:rsidRDefault="00F95EDF" w:rsidP="00F95EDF">
            <w:pPr>
              <w:jc w:val="center"/>
              <w:rPr>
                <w:rFonts w:ascii="Arial" w:hAnsi="Arial" w:cs="Arial"/>
                <w:sz w:val="22"/>
                <w:szCs w:val="22"/>
              </w:rPr>
            </w:pPr>
            <w:r w:rsidRPr="000E3045">
              <w:rPr>
                <w:rFonts w:ascii="Arial" w:hAnsi="Arial" w:cs="Arial"/>
                <w:sz w:val="22"/>
                <w:szCs w:val="22"/>
              </w:rPr>
              <w:t>12</w:t>
            </w:r>
          </w:p>
        </w:tc>
        <w:tc>
          <w:tcPr>
            <w:tcW w:w="1394" w:type="dxa"/>
            <w:shd w:val="clear" w:color="auto" w:fill="auto"/>
            <w:vAlign w:val="bottom"/>
          </w:tcPr>
          <w:p w14:paraId="4C7372FE" w14:textId="7574448E" w:rsidR="00F95EDF" w:rsidRPr="000E3045" w:rsidRDefault="00F95EDF" w:rsidP="00F95EDF">
            <w:pPr>
              <w:jc w:val="center"/>
              <w:rPr>
                <w:rFonts w:ascii="Arial" w:hAnsi="Arial" w:cs="Arial"/>
                <w:sz w:val="20"/>
                <w:szCs w:val="20"/>
              </w:rPr>
            </w:pPr>
            <w:r w:rsidRPr="000E3045">
              <w:rPr>
                <w:rFonts w:ascii="Arial" w:hAnsi="Arial" w:cs="Arial"/>
                <w:color w:val="000000"/>
                <w:sz w:val="20"/>
                <w:szCs w:val="20"/>
                <w:lang w:eastAsia="en-GB"/>
              </w:rPr>
              <w:t>53,</w:t>
            </w:r>
            <w:r>
              <w:rPr>
                <w:rFonts w:ascii="Arial" w:hAnsi="Arial" w:cs="Arial"/>
                <w:color w:val="000000"/>
                <w:sz w:val="20"/>
                <w:szCs w:val="20"/>
                <w:lang w:eastAsia="en-GB"/>
              </w:rPr>
              <w:t>201,816</w:t>
            </w:r>
          </w:p>
        </w:tc>
        <w:tc>
          <w:tcPr>
            <w:tcW w:w="1394" w:type="dxa"/>
            <w:vAlign w:val="bottom"/>
          </w:tcPr>
          <w:p w14:paraId="040F67D3" w14:textId="1CD3808B" w:rsidR="00F95EDF" w:rsidRPr="000E3045" w:rsidRDefault="00F95EDF" w:rsidP="00F95EDF">
            <w:pPr>
              <w:jc w:val="right"/>
              <w:rPr>
                <w:rFonts w:ascii="Arial" w:hAnsi="Arial" w:cs="Arial"/>
                <w:sz w:val="20"/>
                <w:szCs w:val="20"/>
              </w:rPr>
            </w:pPr>
            <w:r>
              <w:rPr>
                <w:rFonts w:ascii="Calibri" w:hAnsi="Calibri" w:cs="Calibri"/>
                <w:color w:val="000000"/>
                <w:sz w:val="22"/>
                <w:szCs w:val="22"/>
              </w:rPr>
              <w:t>99.34%</w:t>
            </w:r>
          </w:p>
        </w:tc>
        <w:tc>
          <w:tcPr>
            <w:tcW w:w="1394" w:type="dxa"/>
            <w:shd w:val="clear" w:color="auto" w:fill="auto"/>
            <w:vAlign w:val="bottom"/>
          </w:tcPr>
          <w:p w14:paraId="5E0EAC31" w14:textId="4A4EAFB9" w:rsidR="00F95EDF" w:rsidRPr="000E3045" w:rsidRDefault="00F95EDF" w:rsidP="00F95EDF">
            <w:pPr>
              <w:jc w:val="right"/>
              <w:rPr>
                <w:rFonts w:ascii="Arial" w:hAnsi="Arial" w:cs="Arial"/>
                <w:sz w:val="20"/>
                <w:szCs w:val="20"/>
              </w:rPr>
            </w:pPr>
            <w:r w:rsidRPr="000E3045">
              <w:rPr>
                <w:rFonts w:ascii="Arial" w:hAnsi="Arial" w:cs="Arial"/>
                <w:color w:val="000000"/>
                <w:sz w:val="20"/>
                <w:szCs w:val="20"/>
                <w:lang w:eastAsia="en-GB"/>
              </w:rPr>
              <w:t>352,346</w:t>
            </w:r>
          </w:p>
        </w:tc>
        <w:tc>
          <w:tcPr>
            <w:tcW w:w="1394" w:type="dxa"/>
            <w:vAlign w:val="bottom"/>
          </w:tcPr>
          <w:p w14:paraId="73F0C9E3" w14:textId="0878E430" w:rsidR="00F95EDF" w:rsidRPr="000E3045" w:rsidRDefault="00F95EDF" w:rsidP="00F95EDF">
            <w:pPr>
              <w:jc w:val="right"/>
              <w:rPr>
                <w:rFonts w:ascii="Arial" w:hAnsi="Arial" w:cs="Arial"/>
                <w:sz w:val="20"/>
                <w:szCs w:val="20"/>
              </w:rPr>
            </w:pPr>
            <w:r>
              <w:rPr>
                <w:rFonts w:ascii="Calibri" w:hAnsi="Calibri" w:cs="Calibri"/>
                <w:color w:val="000000"/>
                <w:sz w:val="22"/>
                <w:szCs w:val="22"/>
              </w:rPr>
              <w:t>0.66%</w:t>
            </w:r>
          </w:p>
        </w:tc>
        <w:tc>
          <w:tcPr>
            <w:tcW w:w="1394" w:type="dxa"/>
            <w:shd w:val="clear" w:color="auto" w:fill="auto"/>
            <w:vAlign w:val="bottom"/>
          </w:tcPr>
          <w:p w14:paraId="777DED7E" w14:textId="6A4D7CEB" w:rsidR="00F95EDF" w:rsidRPr="000E3045" w:rsidRDefault="00F95EDF" w:rsidP="00F95EDF">
            <w:pPr>
              <w:jc w:val="right"/>
              <w:rPr>
                <w:rFonts w:ascii="Arial" w:hAnsi="Arial" w:cs="Arial"/>
                <w:sz w:val="20"/>
                <w:szCs w:val="20"/>
              </w:rPr>
            </w:pPr>
            <w:r w:rsidRPr="000E3045">
              <w:rPr>
                <w:rFonts w:ascii="Arial" w:hAnsi="Arial" w:cs="Arial"/>
                <w:color w:val="000000"/>
                <w:sz w:val="20"/>
                <w:szCs w:val="20"/>
                <w:lang w:eastAsia="en-GB"/>
              </w:rPr>
              <w:t>47,313</w:t>
            </w:r>
          </w:p>
        </w:tc>
      </w:tr>
      <w:tr w:rsidR="00F95EDF" w:rsidRPr="000E3045" w14:paraId="1D9ABB27" w14:textId="77777777" w:rsidTr="00BE7370">
        <w:trPr>
          <w:trHeight w:val="291"/>
        </w:trPr>
        <w:tc>
          <w:tcPr>
            <w:tcW w:w="1394" w:type="dxa"/>
            <w:shd w:val="clear" w:color="auto" w:fill="auto"/>
          </w:tcPr>
          <w:p w14:paraId="25D88AF0" w14:textId="32B38ABC" w:rsidR="00F95EDF" w:rsidRPr="000E3045" w:rsidRDefault="00F95EDF" w:rsidP="00F95EDF">
            <w:pPr>
              <w:jc w:val="center"/>
              <w:rPr>
                <w:rFonts w:ascii="Arial" w:hAnsi="Arial" w:cs="Arial"/>
                <w:sz w:val="22"/>
                <w:szCs w:val="22"/>
              </w:rPr>
            </w:pPr>
            <w:r w:rsidRPr="000E3045">
              <w:rPr>
                <w:rFonts w:ascii="Arial" w:hAnsi="Arial" w:cs="Arial"/>
                <w:sz w:val="22"/>
                <w:szCs w:val="22"/>
              </w:rPr>
              <w:t>13</w:t>
            </w:r>
          </w:p>
        </w:tc>
        <w:tc>
          <w:tcPr>
            <w:tcW w:w="1394" w:type="dxa"/>
            <w:shd w:val="clear" w:color="auto" w:fill="auto"/>
            <w:vAlign w:val="bottom"/>
          </w:tcPr>
          <w:p w14:paraId="7F56F040" w14:textId="3FD8EB83" w:rsidR="00F95EDF" w:rsidRPr="000E3045" w:rsidRDefault="00F95EDF" w:rsidP="00F95EDF">
            <w:pPr>
              <w:jc w:val="center"/>
              <w:rPr>
                <w:rFonts w:ascii="Arial" w:hAnsi="Arial" w:cs="Arial"/>
                <w:sz w:val="20"/>
                <w:szCs w:val="20"/>
              </w:rPr>
            </w:pPr>
            <w:r w:rsidRPr="000E3045">
              <w:rPr>
                <w:rFonts w:ascii="Arial" w:hAnsi="Arial" w:cs="Arial"/>
                <w:color w:val="000000"/>
                <w:sz w:val="20"/>
                <w:szCs w:val="20"/>
                <w:lang w:eastAsia="en-GB"/>
              </w:rPr>
              <w:t>53,</w:t>
            </w:r>
            <w:r>
              <w:rPr>
                <w:rFonts w:ascii="Arial" w:hAnsi="Arial" w:cs="Arial"/>
                <w:color w:val="000000"/>
                <w:sz w:val="20"/>
                <w:szCs w:val="20"/>
                <w:lang w:eastAsia="en-GB"/>
              </w:rPr>
              <w:t>384,297</w:t>
            </w:r>
          </w:p>
        </w:tc>
        <w:tc>
          <w:tcPr>
            <w:tcW w:w="1394" w:type="dxa"/>
            <w:vAlign w:val="bottom"/>
          </w:tcPr>
          <w:p w14:paraId="454BCA00" w14:textId="3B3E277F" w:rsidR="00F95EDF" w:rsidRPr="000E3045" w:rsidRDefault="00F95EDF" w:rsidP="00F95EDF">
            <w:pPr>
              <w:jc w:val="right"/>
              <w:rPr>
                <w:rFonts w:ascii="Arial" w:hAnsi="Arial" w:cs="Arial"/>
                <w:sz w:val="20"/>
                <w:szCs w:val="20"/>
              </w:rPr>
            </w:pPr>
            <w:r>
              <w:rPr>
                <w:rFonts w:ascii="Calibri" w:hAnsi="Calibri" w:cs="Calibri"/>
                <w:color w:val="000000"/>
                <w:sz w:val="22"/>
                <w:szCs w:val="22"/>
              </w:rPr>
              <w:t>99.62%</w:t>
            </w:r>
          </w:p>
        </w:tc>
        <w:tc>
          <w:tcPr>
            <w:tcW w:w="1394" w:type="dxa"/>
            <w:shd w:val="clear" w:color="auto" w:fill="auto"/>
            <w:vAlign w:val="bottom"/>
          </w:tcPr>
          <w:p w14:paraId="07913A7E" w14:textId="47B818DC" w:rsidR="00F95EDF" w:rsidRPr="000E3045" w:rsidRDefault="00F95EDF" w:rsidP="00F95EDF">
            <w:pPr>
              <w:jc w:val="right"/>
              <w:rPr>
                <w:rFonts w:ascii="Arial" w:hAnsi="Arial" w:cs="Arial"/>
                <w:sz w:val="20"/>
                <w:szCs w:val="20"/>
              </w:rPr>
            </w:pPr>
            <w:r w:rsidRPr="000E3045">
              <w:rPr>
                <w:rFonts w:ascii="Arial" w:hAnsi="Arial" w:cs="Arial"/>
                <w:color w:val="000000"/>
                <w:sz w:val="20"/>
                <w:szCs w:val="20"/>
                <w:lang w:eastAsia="en-GB"/>
              </w:rPr>
              <w:t>202,338</w:t>
            </w:r>
          </w:p>
        </w:tc>
        <w:tc>
          <w:tcPr>
            <w:tcW w:w="1394" w:type="dxa"/>
            <w:vAlign w:val="bottom"/>
          </w:tcPr>
          <w:p w14:paraId="697DBB1A" w14:textId="6A1BC82F" w:rsidR="00F95EDF" w:rsidRPr="000E3045" w:rsidRDefault="00F95EDF" w:rsidP="00F95EDF">
            <w:pPr>
              <w:jc w:val="right"/>
              <w:rPr>
                <w:rFonts w:ascii="Arial" w:hAnsi="Arial" w:cs="Arial"/>
                <w:sz w:val="20"/>
                <w:szCs w:val="20"/>
              </w:rPr>
            </w:pPr>
            <w:r>
              <w:rPr>
                <w:rFonts w:ascii="Calibri" w:hAnsi="Calibri" w:cs="Calibri"/>
                <w:color w:val="000000"/>
                <w:sz w:val="22"/>
                <w:szCs w:val="22"/>
              </w:rPr>
              <w:t>0.38%</w:t>
            </w:r>
          </w:p>
        </w:tc>
        <w:tc>
          <w:tcPr>
            <w:tcW w:w="1394" w:type="dxa"/>
            <w:shd w:val="clear" w:color="auto" w:fill="auto"/>
            <w:vAlign w:val="bottom"/>
          </w:tcPr>
          <w:p w14:paraId="177FD1A7" w14:textId="39BE4586" w:rsidR="00F95EDF" w:rsidRPr="000E3045" w:rsidRDefault="00F95EDF" w:rsidP="00F95EDF">
            <w:pPr>
              <w:jc w:val="right"/>
              <w:rPr>
                <w:rFonts w:ascii="Arial" w:hAnsi="Arial" w:cs="Arial"/>
                <w:sz w:val="20"/>
                <w:szCs w:val="20"/>
              </w:rPr>
            </w:pPr>
            <w:r w:rsidRPr="000E3045">
              <w:rPr>
                <w:rFonts w:ascii="Arial" w:hAnsi="Arial" w:cs="Arial"/>
                <w:color w:val="000000"/>
                <w:sz w:val="20"/>
                <w:szCs w:val="20"/>
                <w:lang w:eastAsia="en-GB"/>
              </w:rPr>
              <w:t>14,840</w:t>
            </w:r>
          </w:p>
        </w:tc>
      </w:tr>
      <w:tr w:rsidR="00F95EDF" w:rsidRPr="000E3045" w14:paraId="591D347F" w14:textId="77777777" w:rsidTr="00BE7370">
        <w:trPr>
          <w:trHeight w:val="291"/>
        </w:trPr>
        <w:tc>
          <w:tcPr>
            <w:tcW w:w="1394" w:type="dxa"/>
            <w:shd w:val="clear" w:color="auto" w:fill="auto"/>
          </w:tcPr>
          <w:p w14:paraId="23752CAE" w14:textId="08644C9F" w:rsidR="00F95EDF" w:rsidRPr="000E3045" w:rsidRDefault="00F95EDF" w:rsidP="00F95EDF">
            <w:pPr>
              <w:jc w:val="center"/>
              <w:rPr>
                <w:rFonts w:ascii="Arial" w:hAnsi="Arial" w:cs="Arial"/>
                <w:sz w:val="22"/>
                <w:szCs w:val="22"/>
              </w:rPr>
            </w:pPr>
            <w:r w:rsidRPr="000E3045">
              <w:rPr>
                <w:rFonts w:ascii="Arial" w:hAnsi="Arial" w:cs="Arial"/>
                <w:sz w:val="22"/>
                <w:szCs w:val="22"/>
              </w:rPr>
              <w:t>14</w:t>
            </w:r>
          </w:p>
        </w:tc>
        <w:tc>
          <w:tcPr>
            <w:tcW w:w="1394" w:type="dxa"/>
            <w:shd w:val="clear" w:color="auto" w:fill="auto"/>
            <w:vAlign w:val="bottom"/>
          </w:tcPr>
          <w:p w14:paraId="613FCCA7" w14:textId="56222B0C" w:rsidR="00F95EDF" w:rsidRPr="000E3045" w:rsidRDefault="00F95EDF" w:rsidP="00F95EDF">
            <w:pPr>
              <w:jc w:val="center"/>
              <w:rPr>
                <w:rFonts w:ascii="Arial" w:hAnsi="Arial" w:cs="Arial"/>
                <w:sz w:val="20"/>
                <w:szCs w:val="20"/>
              </w:rPr>
            </w:pPr>
            <w:r w:rsidRPr="000E3045">
              <w:rPr>
                <w:rFonts w:ascii="Arial" w:hAnsi="Arial" w:cs="Arial"/>
                <w:color w:val="000000"/>
                <w:sz w:val="20"/>
                <w:szCs w:val="20"/>
                <w:lang w:eastAsia="en-GB"/>
              </w:rPr>
              <w:t>5</w:t>
            </w:r>
            <w:r>
              <w:rPr>
                <w:rFonts w:ascii="Arial" w:hAnsi="Arial" w:cs="Arial"/>
                <w:color w:val="000000"/>
                <w:sz w:val="20"/>
                <w:szCs w:val="20"/>
                <w:lang w:eastAsia="en-GB"/>
              </w:rPr>
              <w:t>3,041,748</w:t>
            </w:r>
          </w:p>
        </w:tc>
        <w:tc>
          <w:tcPr>
            <w:tcW w:w="1394" w:type="dxa"/>
            <w:vAlign w:val="bottom"/>
          </w:tcPr>
          <w:p w14:paraId="679AFA68" w14:textId="2F37F657" w:rsidR="00F95EDF" w:rsidRPr="000E3045" w:rsidRDefault="00F95EDF" w:rsidP="00F95EDF">
            <w:pPr>
              <w:jc w:val="right"/>
              <w:rPr>
                <w:rFonts w:ascii="Arial" w:hAnsi="Arial" w:cs="Arial"/>
                <w:sz w:val="20"/>
                <w:szCs w:val="20"/>
              </w:rPr>
            </w:pPr>
            <w:r>
              <w:rPr>
                <w:rFonts w:ascii="Calibri" w:hAnsi="Calibri" w:cs="Calibri"/>
                <w:color w:val="000000"/>
                <w:sz w:val="22"/>
                <w:szCs w:val="22"/>
              </w:rPr>
              <w:t>99.04%</w:t>
            </w:r>
          </w:p>
        </w:tc>
        <w:tc>
          <w:tcPr>
            <w:tcW w:w="1394" w:type="dxa"/>
            <w:shd w:val="clear" w:color="auto" w:fill="auto"/>
            <w:vAlign w:val="bottom"/>
          </w:tcPr>
          <w:p w14:paraId="3F855C85" w14:textId="7C9E82CA" w:rsidR="00F95EDF" w:rsidRPr="000E3045" w:rsidRDefault="00F95EDF" w:rsidP="00F95EDF">
            <w:pPr>
              <w:jc w:val="right"/>
              <w:rPr>
                <w:rFonts w:ascii="Arial" w:hAnsi="Arial" w:cs="Arial"/>
                <w:sz w:val="20"/>
                <w:szCs w:val="20"/>
              </w:rPr>
            </w:pPr>
            <w:r w:rsidRPr="000E3045">
              <w:rPr>
                <w:rFonts w:ascii="Arial" w:hAnsi="Arial" w:cs="Arial"/>
                <w:color w:val="000000"/>
                <w:sz w:val="20"/>
                <w:szCs w:val="20"/>
                <w:lang w:eastAsia="en-GB"/>
              </w:rPr>
              <w:t>512,705</w:t>
            </w:r>
          </w:p>
        </w:tc>
        <w:tc>
          <w:tcPr>
            <w:tcW w:w="1394" w:type="dxa"/>
            <w:vAlign w:val="bottom"/>
          </w:tcPr>
          <w:p w14:paraId="7A3B3401" w14:textId="7354752A" w:rsidR="00F95EDF" w:rsidRPr="000E3045" w:rsidRDefault="00F95EDF" w:rsidP="00F95EDF">
            <w:pPr>
              <w:jc w:val="right"/>
              <w:rPr>
                <w:rFonts w:ascii="Arial" w:hAnsi="Arial" w:cs="Arial"/>
                <w:sz w:val="20"/>
                <w:szCs w:val="20"/>
              </w:rPr>
            </w:pPr>
            <w:r>
              <w:rPr>
                <w:rFonts w:ascii="Calibri" w:hAnsi="Calibri" w:cs="Calibri"/>
                <w:color w:val="000000"/>
                <w:sz w:val="22"/>
                <w:szCs w:val="22"/>
              </w:rPr>
              <w:t>0.96%</w:t>
            </w:r>
          </w:p>
        </w:tc>
        <w:tc>
          <w:tcPr>
            <w:tcW w:w="1394" w:type="dxa"/>
            <w:shd w:val="clear" w:color="auto" w:fill="auto"/>
            <w:vAlign w:val="bottom"/>
          </w:tcPr>
          <w:p w14:paraId="4C46F476" w14:textId="537DECB6" w:rsidR="00F95EDF" w:rsidRPr="000E3045" w:rsidRDefault="00F95EDF" w:rsidP="00F95EDF">
            <w:pPr>
              <w:jc w:val="right"/>
              <w:rPr>
                <w:rFonts w:ascii="Arial" w:hAnsi="Arial" w:cs="Arial"/>
                <w:sz w:val="20"/>
                <w:szCs w:val="20"/>
              </w:rPr>
            </w:pPr>
            <w:r w:rsidRPr="000E3045">
              <w:rPr>
                <w:rFonts w:ascii="Arial" w:hAnsi="Arial" w:cs="Arial"/>
                <w:color w:val="000000"/>
                <w:sz w:val="20"/>
                <w:szCs w:val="20"/>
                <w:lang w:eastAsia="en-GB"/>
              </w:rPr>
              <w:t>47,022</w:t>
            </w:r>
          </w:p>
        </w:tc>
      </w:tr>
    </w:tbl>
    <w:p w14:paraId="0E2EAFDC" w14:textId="77777777" w:rsidR="00522A6A" w:rsidRPr="000E3045" w:rsidRDefault="00522A6A" w:rsidP="00537E36">
      <w:pPr>
        <w:jc w:val="right"/>
        <w:rPr>
          <w:rFonts w:ascii="Arial" w:hAnsi="Arial" w:cs="Arial"/>
          <w:color w:val="000000"/>
          <w:sz w:val="22"/>
          <w:szCs w:val="22"/>
        </w:rPr>
      </w:pPr>
    </w:p>
    <w:p w14:paraId="301D3FF9" w14:textId="77777777" w:rsidR="00B36E15" w:rsidRPr="000E3045" w:rsidRDefault="00B36E15" w:rsidP="00E92E10">
      <w:pPr>
        <w:rPr>
          <w:rFonts w:ascii="Arial" w:hAnsi="Arial" w:cs="Arial"/>
          <w:sz w:val="22"/>
          <w:szCs w:val="22"/>
        </w:rPr>
      </w:pPr>
    </w:p>
    <w:p w14:paraId="6D2BFE02" w14:textId="71B213A9" w:rsidR="003F738C" w:rsidRPr="000E3045" w:rsidRDefault="00D45713" w:rsidP="00366B31">
      <w:pPr>
        <w:jc w:val="both"/>
        <w:rPr>
          <w:rFonts w:ascii="Arial" w:hAnsi="Arial" w:cs="Arial"/>
          <w:sz w:val="22"/>
          <w:szCs w:val="22"/>
        </w:rPr>
      </w:pPr>
      <w:r w:rsidRPr="000E3045">
        <w:rPr>
          <w:rFonts w:ascii="Arial" w:hAnsi="Arial" w:cs="Arial"/>
          <w:sz w:val="22"/>
          <w:szCs w:val="22"/>
        </w:rPr>
        <w:t xml:space="preserve">At the time of the above meeting, the Company’s issued share capital </w:t>
      </w:r>
      <w:r w:rsidR="00962EA0" w:rsidRPr="000E3045">
        <w:rPr>
          <w:rFonts w:ascii="Arial" w:hAnsi="Arial" w:cs="Arial"/>
          <w:sz w:val="22"/>
          <w:szCs w:val="22"/>
        </w:rPr>
        <w:t>consisted of</w:t>
      </w:r>
      <w:r w:rsidR="000E3045">
        <w:rPr>
          <w:rFonts w:ascii="Arial" w:hAnsi="Arial" w:cs="Arial"/>
          <w:sz w:val="22"/>
          <w:szCs w:val="22"/>
        </w:rPr>
        <w:t xml:space="preserve"> </w:t>
      </w:r>
      <w:r w:rsidR="000E3045" w:rsidRPr="000E3045">
        <w:rPr>
          <w:rFonts w:ascii="Arial" w:hAnsi="Arial" w:cs="Arial"/>
          <w:sz w:val="22"/>
          <w:szCs w:val="22"/>
        </w:rPr>
        <w:t>195,666,734</w:t>
      </w:r>
      <w:r w:rsidR="000E3045">
        <w:rPr>
          <w:rFonts w:ascii="Arial" w:hAnsi="Arial" w:cs="Arial"/>
          <w:sz w:val="22"/>
          <w:szCs w:val="22"/>
        </w:rPr>
        <w:t xml:space="preserve"> </w:t>
      </w:r>
      <w:r w:rsidRPr="000E3045">
        <w:rPr>
          <w:rFonts w:ascii="Arial" w:hAnsi="Arial" w:cs="Arial"/>
          <w:sz w:val="22"/>
          <w:szCs w:val="22"/>
        </w:rPr>
        <w:t xml:space="preserve">ordinary shares. The Company held </w:t>
      </w:r>
      <w:r w:rsidR="000E3045" w:rsidRPr="000E3045">
        <w:rPr>
          <w:rFonts w:ascii="Arial" w:hAnsi="Arial" w:cs="Arial"/>
          <w:sz w:val="22"/>
          <w:szCs w:val="22"/>
        </w:rPr>
        <w:t>23,483,805</w:t>
      </w:r>
      <w:r w:rsidRPr="000E3045">
        <w:rPr>
          <w:rFonts w:ascii="Arial" w:hAnsi="Arial" w:cs="Arial"/>
          <w:sz w:val="22"/>
          <w:szCs w:val="22"/>
        </w:rPr>
        <w:t xml:space="preserve"> shares in </w:t>
      </w:r>
      <w:r w:rsidR="000D48EF" w:rsidRPr="000E3045">
        <w:rPr>
          <w:rFonts w:ascii="Arial" w:hAnsi="Arial" w:cs="Arial"/>
          <w:sz w:val="22"/>
          <w:szCs w:val="22"/>
        </w:rPr>
        <w:t>t</w:t>
      </w:r>
      <w:r w:rsidRPr="000E3045">
        <w:rPr>
          <w:rFonts w:ascii="Arial" w:hAnsi="Arial" w:cs="Arial"/>
          <w:sz w:val="22"/>
          <w:szCs w:val="22"/>
        </w:rPr>
        <w:t>reasury.  Therefore, the total number of ordinary shares with voting rights wa</w:t>
      </w:r>
      <w:r w:rsidR="00830E3C" w:rsidRPr="000E3045">
        <w:rPr>
          <w:rFonts w:ascii="Arial" w:hAnsi="Arial" w:cs="Arial"/>
          <w:sz w:val="22"/>
          <w:szCs w:val="22"/>
        </w:rPr>
        <w:t>s</w:t>
      </w:r>
      <w:r w:rsidR="000E3045">
        <w:rPr>
          <w:rFonts w:ascii="Arial" w:hAnsi="Arial" w:cs="Arial"/>
          <w:sz w:val="22"/>
          <w:szCs w:val="22"/>
        </w:rPr>
        <w:t xml:space="preserve"> </w:t>
      </w:r>
      <w:r w:rsidR="000E3045" w:rsidRPr="000E3045">
        <w:rPr>
          <w:rFonts w:ascii="Arial" w:hAnsi="Arial" w:cs="Arial"/>
          <w:sz w:val="22"/>
          <w:szCs w:val="22"/>
        </w:rPr>
        <w:t>172,182,929</w:t>
      </w:r>
      <w:r w:rsidRPr="000E3045">
        <w:rPr>
          <w:rFonts w:ascii="Arial" w:hAnsi="Arial" w:cs="Arial"/>
          <w:sz w:val="22"/>
          <w:szCs w:val="22"/>
        </w:rPr>
        <w:t>.</w:t>
      </w:r>
      <w:r w:rsidR="003F738C" w:rsidRPr="000E3045">
        <w:rPr>
          <w:rFonts w:ascii="Arial" w:hAnsi="Arial" w:cs="Arial"/>
          <w:sz w:val="22"/>
          <w:szCs w:val="22"/>
        </w:rPr>
        <w:t xml:space="preserve"> Each Ordinary Share held entitles the holder to one vote and there are no restrictions on those voting rights. A "Vote withheld" is not a vote in law and is not counted in the calculation of the % of shares voted "For" or "Against" a resolution.</w:t>
      </w:r>
    </w:p>
    <w:p w14:paraId="4BBC88AA" w14:textId="77777777" w:rsidR="003F738C" w:rsidRPr="000E3045" w:rsidRDefault="003F738C" w:rsidP="00366B31">
      <w:pPr>
        <w:jc w:val="both"/>
        <w:rPr>
          <w:rFonts w:ascii="Arial" w:hAnsi="Arial" w:cs="Arial"/>
          <w:sz w:val="22"/>
          <w:szCs w:val="22"/>
        </w:rPr>
      </w:pPr>
    </w:p>
    <w:p w14:paraId="1AD3B801" w14:textId="11CAD2B8" w:rsidR="003F738C" w:rsidRPr="000E3045" w:rsidRDefault="003F738C" w:rsidP="00366B31">
      <w:pPr>
        <w:jc w:val="both"/>
        <w:rPr>
          <w:rFonts w:ascii="Arial" w:hAnsi="Arial" w:cs="Arial"/>
          <w:sz w:val="22"/>
          <w:szCs w:val="22"/>
        </w:rPr>
      </w:pPr>
      <w:r w:rsidRPr="000E3045">
        <w:rPr>
          <w:rFonts w:ascii="Arial" w:hAnsi="Arial" w:cs="Arial"/>
          <w:sz w:val="22"/>
          <w:szCs w:val="22"/>
        </w:rPr>
        <w:t>In accordance with LR 9.6.2 and LR 9.6.3, copies of the resolutions passed as special business will be submitted to the National Storage Mechanism website and will be available for inspection shortly.</w:t>
      </w:r>
    </w:p>
    <w:p w14:paraId="2B10AD04" w14:textId="39CA366A" w:rsidR="00340D57" w:rsidRPr="000E3045" w:rsidRDefault="00340D57" w:rsidP="003F738C">
      <w:pPr>
        <w:rPr>
          <w:rFonts w:ascii="Arial" w:hAnsi="Arial" w:cs="Arial"/>
          <w:sz w:val="22"/>
          <w:szCs w:val="22"/>
        </w:rPr>
      </w:pPr>
    </w:p>
    <w:p w14:paraId="1D9650AF" w14:textId="77777777" w:rsidR="00340D57" w:rsidRPr="000E3045" w:rsidRDefault="00340D57" w:rsidP="003F738C">
      <w:pPr>
        <w:rPr>
          <w:rFonts w:ascii="Arial" w:hAnsi="Arial" w:cs="Arial"/>
          <w:sz w:val="22"/>
          <w:szCs w:val="22"/>
        </w:rPr>
      </w:pPr>
    </w:p>
    <w:p w14:paraId="73AB63DA" w14:textId="77777777" w:rsidR="003F738C" w:rsidRPr="000E3045" w:rsidRDefault="003F738C" w:rsidP="003F738C">
      <w:pPr>
        <w:rPr>
          <w:rFonts w:ascii="Arial" w:hAnsi="Arial" w:cs="Arial"/>
          <w:sz w:val="22"/>
          <w:szCs w:val="22"/>
        </w:rPr>
      </w:pPr>
    </w:p>
    <w:p w14:paraId="1122A3E6" w14:textId="7A9717CE" w:rsidR="003F738C" w:rsidRPr="000E3045" w:rsidRDefault="00830E3C" w:rsidP="003F738C">
      <w:pPr>
        <w:rPr>
          <w:rFonts w:ascii="Arial" w:hAnsi="Arial" w:cs="Arial"/>
          <w:b/>
          <w:sz w:val="22"/>
          <w:szCs w:val="22"/>
        </w:rPr>
      </w:pPr>
      <w:r w:rsidRPr="000E3045">
        <w:rPr>
          <w:rFonts w:ascii="Arial" w:hAnsi="Arial" w:cs="Arial"/>
          <w:b/>
          <w:sz w:val="22"/>
          <w:szCs w:val="22"/>
        </w:rPr>
        <w:t>2</w:t>
      </w:r>
      <w:r w:rsidR="00452825" w:rsidRPr="000E3045">
        <w:rPr>
          <w:rFonts w:ascii="Arial" w:hAnsi="Arial" w:cs="Arial"/>
          <w:b/>
          <w:sz w:val="22"/>
          <w:szCs w:val="22"/>
        </w:rPr>
        <w:t>2</w:t>
      </w:r>
      <w:r w:rsidRPr="000E3045">
        <w:rPr>
          <w:rFonts w:ascii="Arial" w:hAnsi="Arial" w:cs="Arial"/>
          <w:b/>
          <w:sz w:val="22"/>
          <w:szCs w:val="22"/>
        </w:rPr>
        <w:t xml:space="preserve"> July</w:t>
      </w:r>
      <w:r w:rsidR="003F738C" w:rsidRPr="000E3045">
        <w:rPr>
          <w:rFonts w:ascii="Arial" w:hAnsi="Arial" w:cs="Arial"/>
          <w:b/>
          <w:sz w:val="22"/>
          <w:szCs w:val="22"/>
        </w:rPr>
        <w:t xml:space="preserve"> 20</w:t>
      </w:r>
      <w:r w:rsidR="004A5ACA" w:rsidRPr="000E3045">
        <w:rPr>
          <w:rFonts w:ascii="Arial" w:hAnsi="Arial" w:cs="Arial"/>
          <w:b/>
          <w:sz w:val="22"/>
          <w:szCs w:val="22"/>
        </w:rPr>
        <w:t>2</w:t>
      </w:r>
      <w:r w:rsidR="00452825" w:rsidRPr="000E3045">
        <w:rPr>
          <w:rFonts w:ascii="Arial" w:hAnsi="Arial" w:cs="Arial"/>
          <w:b/>
          <w:sz w:val="22"/>
          <w:szCs w:val="22"/>
        </w:rPr>
        <w:t>1</w:t>
      </w:r>
    </w:p>
    <w:p w14:paraId="78F67236" w14:textId="77777777" w:rsidR="003F738C" w:rsidRPr="000E3045" w:rsidRDefault="003F738C" w:rsidP="003F738C">
      <w:pPr>
        <w:rPr>
          <w:rFonts w:ascii="Arial" w:hAnsi="Arial" w:cs="Arial"/>
          <w:sz w:val="22"/>
          <w:szCs w:val="22"/>
        </w:rPr>
      </w:pPr>
    </w:p>
    <w:p w14:paraId="218882A5" w14:textId="77777777" w:rsidR="003F738C" w:rsidRPr="000E3045" w:rsidRDefault="003F738C" w:rsidP="003F738C">
      <w:pPr>
        <w:rPr>
          <w:rFonts w:ascii="Arial" w:hAnsi="Arial" w:cs="Arial"/>
          <w:sz w:val="22"/>
          <w:szCs w:val="22"/>
        </w:rPr>
      </w:pPr>
      <w:r w:rsidRPr="000E3045">
        <w:rPr>
          <w:rFonts w:ascii="Arial" w:hAnsi="Arial" w:cs="Arial"/>
          <w:sz w:val="22"/>
          <w:szCs w:val="22"/>
        </w:rPr>
        <w:t>Enquiries</w:t>
      </w:r>
    </w:p>
    <w:p w14:paraId="0D08C5B1" w14:textId="77777777" w:rsidR="003F738C" w:rsidRPr="000E3045" w:rsidRDefault="003F738C" w:rsidP="003F738C">
      <w:pPr>
        <w:rPr>
          <w:rFonts w:ascii="Arial" w:hAnsi="Arial" w:cs="Arial"/>
          <w:sz w:val="22"/>
          <w:szCs w:val="22"/>
        </w:rPr>
      </w:pPr>
    </w:p>
    <w:p w14:paraId="2494D14C" w14:textId="77777777" w:rsidR="003F738C" w:rsidRPr="000E3045" w:rsidRDefault="003F738C" w:rsidP="003F738C">
      <w:pPr>
        <w:rPr>
          <w:rFonts w:ascii="Arial" w:hAnsi="Arial" w:cs="Arial"/>
          <w:b/>
          <w:sz w:val="22"/>
          <w:szCs w:val="22"/>
        </w:rPr>
      </w:pPr>
      <w:r w:rsidRPr="000E3045">
        <w:rPr>
          <w:rFonts w:ascii="Arial" w:hAnsi="Arial" w:cs="Arial"/>
          <w:b/>
          <w:sz w:val="22"/>
          <w:szCs w:val="22"/>
        </w:rPr>
        <w:t>PraxisIFM Fund Services (UK) Limited</w:t>
      </w:r>
    </w:p>
    <w:p w14:paraId="7C2E1AB6" w14:textId="43D34AB1" w:rsidR="003F738C" w:rsidRPr="000E3045" w:rsidRDefault="00452825" w:rsidP="003F738C">
      <w:pPr>
        <w:rPr>
          <w:rFonts w:ascii="Arial" w:hAnsi="Arial" w:cs="Arial"/>
          <w:sz w:val="22"/>
          <w:szCs w:val="22"/>
        </w:rPr>
      </w:pPr>
      <w:r w:rsidRPr="000E3045">
        <w:rPr>
          <w:rFonts w:ascii="Arial" w:hAnsi="Arial" w:cs="Arial"/>
          <w:sz w:val="22"/>
          <w:szCs w:val="22"/>
        </w:rPr>
        <w:t>David Rice</w:t>
      </w:r>
      <w:r w:rsidR="003F738C" w:rsidRPr="000E3045">
        <w:rPr>
          <w:rFonts w:ascii="Arial" w:hAnsi="Arial" w:cs="Arial"/>
          <w:sz w:val="22"/>
          <w:szCs w:val="22"/>
        </w:rPr>
        <w:t xml:space="preserve"> / </w:t>
      </w:r>
      <w:r w:rsidRPr="000E3045">
        <w:rPr>
          <w:rFonts w:ascii="Arial" w:hAnsi="Arial" w:cs="Arial"/>
          <w:sz w:val="22"/>
          <w:szCs w:val="22"/>
        </w:rPr>
        <w:t>Lemuel Appiah</w:t>
      </w:r>
      <w:r w:rsidR="003F738C" w:rsidRPr="000E3045">
        <w:rPr>
          <w:rFonts w:ascii="Arial" w:hAnsi="Arial" w:cs="Arial"/>
          <w:sz w:val="22"/>
          <w:szCs w:val="22"/>
        </w:rPr>
        <w:tab/>
        <w:t>020 7653 9690</w:t>
      </w:r>
    </w:p>
    <w:p w14:paraId="006D1D45" w14:textId="773DB28E" w:rsidR="003F738C" w:rsidRPr="009826DC" w:rsidRDefault="003F738C" w:rsidP="009826DC">
      <w:pPr>
        <w:rPr>
          <w:rFonts w:ascii="Arial" w:hAnsi="Arial" w:cs="Arial"/>
          <w:sz w:val="22"/>
          <w:szCs w:val="22"/>
        </w:rPr>
      </w:pPr>
      <w:r w:rsidRPr="000E3045">
        <w:rPr>
          <w:rFonts w:ascii="Arial" w:hAnsi="Arial" w:cs="Arial"/>
          <w:sz w:val="22"/>
          <w:szCs w:val="22"/>
        </w:rPr>
        <w:t>Company Secretar</w:t>
      </w:r>
      <w:r w:rsidR="009826DC">
        <w:rPr>
          <w:rFonts w:ascii="Arial" w:hAnsi="Arial" w:cs="Arial"/>
          <w:sz w:val="22"/>
          <w:szCs w:val="22"/>
        </w:rPr>
        <w:t>y</w:t>
      </w:r>
    </w:p>
    <w:sectPr w:rsidR="003F738C" w:rsidRPr="009826DC">
      <w:type w:val="continuous"/>
      <w:pgSz w:w="11906" w:h="16838" w:code="9"/>
      <w:pgMar w:top="1440" w:right="1797" w:bottom="1077"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1339A" w14:textId="77777777" w:rsidR="00F761E4" w:rsidRDefault="00F761E4" w:rsidP="00A544D4">
      <w:r>
        <w:separator/>
      </w:r>
    </w:p>
  </w:endnote>
  <w:endnote w:type="continuationSeparator" w:id="0">
    <w:p w14:paraId="3EDACF26" w14:textId="77777777" w:rsidR="00F761E4" w:rsidRDefault="00F761E4" w:rsidP="00A54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F1EEA" w14:textId="77777777" w:rsidR="00F761E4" w:rsidRDefault="00F761E4" w:rsidP="00A544D4">
      <w:r>
        <w:separator/>
      </w:r>
    </w:p>
  </w:footnote>
  <w:footnote w:type="continuationSeparator" w:id="0">
    <w:p w14:paraId="162327BE" w14:textId="77777777" w:rsidR="00F761E4" w:rsidRDefault="00F761E4" w:rsidP="00A544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853"/>
    <w:rsid w:val="00063786"/>
    <w:rsid w:val="0007150C"/>
    <w:rsid w:val="00087027"/>
    <w:rsid w:val="000A55EB"/>
    <w:rsid w:val="000B239A"/>
    <w:rsid w:val="000B62FE"/>
    <w:rsid w:val="000C341A"/>
    <w:rsid w:val="000C3BBC"/>
    <w:rsid w:val="000D226B"/>
    <w:rsid w:val="000D48EF"/>
    <w:rsid w:val="000E3045"/>
    <w:rsid w:val="001016CC"/>
    <w:rsid w:val="0014560E"/>
    <w:rsid w:val="001478CB"/>
    <w:rsid w:val="001549F8"/>
    <w:rsid w:val="001A17A8"/>
    <w:rsid w:val="001B1E53"/>
    <w:rsid w:val="0024094A"/>
    <w:rsid w:val="00265B63"/>
    <w:rsid w:val="00277723"/>
    <w:rsid w:val="002A07CB"/>
    <w:rsid w:val="002B6C98"/>
    <w:rsid w:val="002C322B"/>
    <w:rsid w:val="00302ECD"/>
    <w:rsid w:val="0030461A"/>
    <w:rsid w:val="00305FD4"/>
    <w:rsid w:val="00340D57"/>
    <w:rsid w:val="00347E4D"/>
    <w:rsid w:val="003510AC"/>
    <w:rsid w:val="00356015"/>
    <w:rsid w:val="00366B31"/>
    <w:rsid w:val="00380EF1"/>
    <w:rsid w:val="003832A3"/>
    <w:rsid w:val="003A07BB"/>
    <w:rsid w:val="003F4EE4"/>
    <w:rsid w:val="003F738C"/>
    <w:rsid w:val="00400B8B"/>
    <w:rsid w:val="00435102"/>
    <w:rsid w:val="0043570F"/>
    <w:rsid w:val="00441E20"/>
    <w:rsid w:val="00452825"/>
    <w:rsid w:val="00474510"/>
    <w:rsid w:val="004A2853"/>
    <w:rsid w:val="004A5ACA"/>
    <w:rsid w:val="005011BE"/>
    <w:rsid w:val="00516C18"/>
    <w:rsid w:val="005225A6"/>
    <w:rsid w:val="00522A6A"/>
    <w:rsid w:val="00537E36"/>
    <w:rsid w:val="005546A6"/>
    <w:rsid w:val="0056120E"/>
    <w:rsid w:val="00565B1B"/>
    <w:rsid w:val="005861BD"/>
    <w:rsid w:val="00597F8F"/>
    <w:rsid w:val="005A261C"/>
    <w:rsid w:val="005C5B46"/>
    <w:rsid w:val="005C695B"/>
    <w:rsid w:val="005E1238"/>
    <w:rsid w:val="005F1EB7"/>
    <w:rsid w:val="005F3D06"/>
    <w:rsid w:val="005F51D9"/>
    <w:rsid w:val="005F6025"/>
    <w:rsid w:val="0064026A"/>
    <w:rsid w:val="00656886"/>
    <w:rsid w:val="00660C57"/>
    <w:rsid w:val="00677C1A"/>
    <w:rsid w:val="006A4887"/>
    <w:rsid w:val="006A7005"/>
    <w:rsid w:val="006B2422"/>
    <w:rsid w:val="006D207D"/>
    <w:rsid w:val="006D4A12"/>
    <w:rsid w:val="006D71AD"/>
    <w:rsid w:val="006F1A0E"/>
    <w:rsid w:val="00710752"/>
    <w:rsid w:val="007151EC"/>
    <w:rsid w:val="00721C96"/>
    <w:rsid w:val="00733AE0"/>
    <w:rsid w:val="007503B9"/>
    <w:rsid w:val="007D3018"/>
    <w:rsid w:val="007D784A"/>
    <w:rsid w:val="007F590C"/>
    <w:rsid w:val="00830E3C"/>
    <w:rsid w:val="00886DBE"/>
    <w:rsid w:val="008A30DC"/>
    <w:rsid w:val="008D12FC"/>
    <w:rsid w:val="008E0DB1"/>
    <w:rsid w:val="008F59FC"/>
    <w:rsid w:val="009124FB"/>
    <w:rsid w:val="009240FB"/>
    <w:rsid w:val="0092631B"/>
    <w:rsid w:val="00950684"/>
    <w:rsid w:val="00957FFA"/>
    <w:rsid w:val="00962EA0"/>
    <w:rsid w:val="00967B17"/>
    <w:rsid w:val="009826DC"/>
    <w:rsid w:val="00996B35"/>
    <w:rsid w:val="009A35B1"/>
    <w:rsid w:val="009B1B3D"/>
    <w:rsid w:val="009E2566"/>
    <w:rsid w:val="00A32D60"/>
    <w:rsid w:val="00A544D4"/>
    <w:rsid w:val="00A61C1E"/>
    <w:rsid w:val="00AB6965"/>
    <w:rsid w:val="00AE10EB"/>
    <w:rsid w:val="00B046B6"/>
    <w:rsid w:val="00B12AFC"/>
    <w:rsid w:val="00B20178"/>
    <w:rsid w:val="00B36E15"/>
    <w:rsid w:val="00B473AC"/>
    <w:rsid w:val="00B93ED2"/>
    <w:rsid w:val="00B94D15"/>
    <w:rsid w:val="00BB5BF7"/>
    <w:rsid w:val="00BD3D2C"/>
    <w:rsid w:val="00BE3C5E"/>
    <w:rsid w:val="00BE553C"/>
    <w:rsid w:val="00BF5C90"/>
    <w:rsid w:val="00C052FA"/>
    <w:rsid w:val="00C127F4"/>
    <w:rsid w:val="00C239B5"/>
    <w:rsid w:val="00C36E15"/>
    <w:rsid w:val="00C413FA"/>
    <w:rsid w:val="00C5019F"/>
    <w:rsid w:val="00C61B13"/>
    <w:rsid w:val="00C76189"/>
    <w:rsid w:val="00C81EDE"/>
    <w:rsid w:val="00C94DBE"/>
    <w:rsid w:val="00CA25FF"/>
    <w:rsid w:val="00CB28E7"/>
    <w:rsid w:val="00CE2BC4"/>
    <w:rsid w:val="00CE499F"/>
    <w:rsid w:val="00CF5597"/>
    <w:rsid w:val="00CF5FAF"/>
    <w:rsid w:val="00D32AF9"/>
    <w:rsid w:val="00D45713"/>
    <w:rsid w:val="00D66F48"/>
    <w:rsid w:val="00D91B46"/>
    <w:rsid w:val="00DA05AB"/>
    <w:rsid w:val="00DF1E1B"/>
    <w:rsid w:val="00E06C1F"/>
    <w:rsid w:val="00E114AD"/>
    <w:rsid w:val="00E46089"/>
    <w:rsid w:val="00E46511"/>
    <w:rsid w:val="00E653C1"/>
    <w:rsid w:val="00E92E10"/>
    <w:rsid w:val="00ED0026"/>
    <w:rsid w:val="00EF6950"/>
    <w:rsid w:val="00F0211D"/>
    <w:rsid w:val="00F36E6A"/>
    <w:rsid w:val="00F71144"/>
    <w:rsid w:val="00F761E4"/>
    <w:rsid w:val="00F91B9B"/>
    <w:rsid w:val="00F95EDF"/>
    <w:rsid w:val="00FA71BE"/>
    <w:rsid w:val="00FB403A"/>
    <w:rsid w:val="00FB7CB6"/>
    <w:rsid w:val="00FD1C46"/>
    <w:rsid w:val="00FF35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B29D15"/>
  <w15:docId w15:val="{6E733B3E-6023-44F7-9C55-44A71FF30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22A6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rsid w:val="0030461A"/>
  </w:style>
  <w:style w:type="paragraph" w:styleId="Header">
    <w:name w:val="header"/>
    <w:basedOn w:val="Normal"/>
    <w:link w:val="HeaderChar"/>
    <w:rsid w:val="001A17A8"/>
    <w:pPr>
      <w:tabs>
        <w:tab w:val="center" w:pos="4153"/>
        <w:tab w:val="right" w:pos="8306"/>
      </w:tabs>
    </w:pPr>
    <w:rPr>
      <w:szCs w:val="20"/>
    </w:rPr>
  </w:style>
  <w:style w:type="character" w:customStyle="1" w:styleId="HeaderChar">
    <w:name w:val="Header Char"/>
    <w:link w:val="Header"/>
    <w:rsid w:val="001A17A8"/>
    <w:rPr>
      <w:sz w:val="24"/>
      <w:lang w:eastAsia="en-US"/>
    </w:rPr>
  </w:style>
  <w:style w:type="paragraph" w:styleId="Footer">
    <w:name w:val="footer"/>
    <w:basedOn w:val="Normal"/>
    <w:link w:val="FooterChar"/>
    <w:rsid w:val="00A544D4"/>
    <w:pPr>
      <w:tabs>
        <w:tab w:val="center" w:pos="4513"/>
        <w:tab w:val="right" w:pos="9026"/>
      </w:tabs>
    </w:pPr>
  </w:style>
  <w:style w:type="character" w:customStyle="1" w:styleId="FooterChar">
    <w:name w:val="Footer Char"/>
    <w:link w:val="Footer"/>
    <w:rsid w:val="00A544D4"/>
    <w:rPr>
      <w:sz w:val="24"/>
      <w:szCs w:val="24"/>
      <w:lang w:eastAsia="en-US"/>
    </w:rPr>
  </w:style>
  <w:style w:type="character" w:customStyle="1" w:styleId="au">
    <w:name w:val="au"/>
    <w:basedOn w:val="DefaultParagraphFont"/>
    <w:rsid w:val="00E06C1F"/>
  </w:style>
  <w:style w:type="character" w:customStyle="1" w:styleId="as">
    <w:name w:val="as"/>
    <w:basedOn w:val="DefaultParagraphFont"/>
    <w:rsid w:val="00E06C1F"/>
  </w:style>
  <w:style w:type="character" w:styleId="Hyperlink">
    <w:name w:val="Hyperlink"/>
    <w:basedOn w:val="DefaultParagraphFont"/>
    <w:uiPriority w:val="99"/>
    <w:unhideWhenUsed/>
    <w:rsid w:val="00E06C1F"/>
    <w:rPr>
      <w:color w:val="0563C1"/>
      <w:u w:val="single"/>
    </w:rPr>
  </w:style>
  <w:style w:type="paragraph" w:customStyle="1" w:styleId="BodyA">
    <w:name w:val="Body A"/>
    <w:basedOn w:val="Normal"/>
    <w:uiPriority w:val="29"/>
    <w:rsid w:val="00E06C1F"/>
    <w:rPr>
      <w:rFonts w:eastAsiaTheme="minorHAnsi"/>
      <w:color w:val="000000"/>
      <w:lang w:eastAsia="en-GB"/>
    </w:rPr>
  </w:style>
  <w:style w:type="paragraph" w:styleId="BalloonText">
    <w:name w:val="Balloon Text"/>
    <w:basedOn w:val="Normal"/>
    <w:link w:val="BalloonTextChar"/>
    <w:rsid w:val="004A5ACA"/>
    <w:rPr>
      <w:rFonts w:ascii="Segoe UI" w:hAnsi="Segoe UI" w:cs="Segoe UI"/>
      <w:sz w:val="18"/>
      <w:szCs w:val="18"/>
    </w:rPr>
  </w:style>
  <w:style w:type="character" w:customStyle="1" w:styleId="BalloonTextChar">
    <w:name w:val="Balloon Text Char"/>
    <w:basedOn w:val="DefaultParagraphFont"/>
    <w:link w:val="BalloonText"/>
    <w:rsid w:val="004A5ACA"/>
    <w:rPr>
      <w:rFonts w:ascii="Segoe UI" w:hAnsi="Segoe UI" w:cs="Segoe UI"/>
      <w:sz w:val="18"/>
      <w:szCs w:val="18"/>
      <w:lang w:eastAsia="en-US"/>
    </w:rPr>
  </w:style>
  <w:style w:type="character" w:styleId="FollowedHyperlink">
    <w:name w:val="FollowedHyperlink"/>
    <w:basedOn w:val="DefaultParagraphFont"/>
    <w:semiHidden/>
    <w:unhideWhenUsed/>
    <w:rsid w:val="00AE10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27204">
      <w:bodyDiv w:val="1"/>
      <w:marLeft w:val="0"/>
      <w:marRight w:val="0"/>
      <w:marTop w:val="0"/>
      <w:marBottom w:val="0"/>
      <w:divBdr>
        <w:top w:val="none" w:sz="0" w:space="0" w:color="auto"/>
        <w:left w:val="none" w:sz="0" w:space="0" w:color="auto"/>
        <w:bottom w:val="none" w:sz="0" w:space="0" w:color="auto"/>
        <w:right w:val="none" w:sz="0" w:space="0" w:color="auto"/>
      </w:divBdr>
    </w:div>
    <w:div w:id="304893770">
      <w:bodyDiv w:val="1"/>
      <w:marLeft w:val="0"/>
      <w:marRight w:val="0"/>
      <w:marTop w:val="0"/>
      <w:marBottom w:val="0"/>
      <w:divBdr>
        <w:top w:val="none" w:sz="0" w:space="0" w:color="auto"/>
        <w:left w:val="none" w:sz="0" w:space="0" w:color="auto"/>
        <w:bottom w:val="none" w:sz="0" w:space="0" w:color="auto"/>
        <w:right w:val="none" w:sz="0" w:space="0" w:color="auto"/>
      </w:divBdr>
    </w:div>
    <w:div w:id="347606433">
      <w:bodyDiv w:val="1"/>
      <w:marLeft w:val="0"/>
      <w:marRight w:val="0"/>
      <w:marTop w:val="0"/>
      <w:marBottom w:val="0"/>
      <w:divBdr>
        <w:top w:val="none" w:sz="0" w:space="0" w:color="auto"/>
        <w:left w:val="none" w:sz="0" w:space="0" w:color="auto"/>
        <w:bottom w:val="none" w:sz="0" w:space="0" w:color="auto"/>
        <w:right w:val="none" w:sz="0" w:space="0" w:color="auto"/>
      </w:divBdr>
    </w:div>
    <w:div w:id="1309164381">
      <w:bodyDiv w:val="1"/>
      <w:marLeft w:val="0"/>
      <w:marRight w:val="0"/>
      <w:marTop w:val="0"/>
      <w:marBottom w:val="0"/>
      <w:divBdr>
        <w:top w:val="none" w:sz="0" w:space="0" w:color="auto"/>
        <w:left w:val="none" w:sz="0" w:space="0" w:color="auto"/>
        <w:bottom w:val="none" w:sz="0" w:space="0" w:color="auto"/>
        <w:right w:val="none" w:sz="0" w:space="0" w:color="auto"/>
      </w:divBdr>
    </w:div>
    <w:div w:id="1444418940">
      <w:bodyDiv w:val="1"/>
      <w:marLeft w:val="0"/>
      <w:marRight w:val="0"/>
      <w:marTop w:val="0"/>
      <w:marBottom w:val="0"/>
      <w:divBdr>
        <w:top w:val="none" w:sz="0" w:space="0" w:color="auto"/>
        <w:left w:val="none" w:sz="0" w:space="0" w:color="auto"/>
        <w:bottom w:val="none" w:sz="0" w:space="0" w:color="auto"/>
        <w:right w:val="none" w:sz="0" w:space="0" w:color="auto"/>
      </w:divBdr>
    </w:div>
    <w:div w:id="1519927041">
      <w:bodyDiv w:val="1"/>
      <w:marLeft w:val="0"/>
      <w:marRight w:val="0"/>
      <w:marTop w:val="0"/>
      <w:marBottom w:val="0"/>
      <w:divBdr>
        <w:top w:val="none" w:sz="0" w:space="0" w:color="auto"/>
        <w:left w:val="none" w:sz="0" w:space="0" w:color="auto"/>
        <w:bottom w:val="none" w:sz="0" w:space="0" w:color="auto"/>
        <w:right w:val="none" w:sz="0" w:space="0" w:color="auto"/>
      </w:divBdr>
    </w:div>
    <w:div w:id="191713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321</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Result of AGM</vt:lpstr>
    </vt:vector>
  </TitlesOfParts>
  <Company>PAML</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Result of AGM</dc:title>
  <dc:creator>Anthony</dc:creator>
  <cp:lastModifiedBy>David Rice</cp:lastModifiedBy>
  <cp:revision>3</cp:revision>
  <cp:lastPrinted>2015-05-18T16:33:00Z</cp:lastPrinted>
  <dcterms:created xsi:type="dcterms:W3CDTF">2021-07-22T17:07:00Z</dcterms:created>
  <dcterms:modified xsi:type="dcterms:W3CDTF">2021-07-24T09:05:00Z</dcterms:modified>
</cp:coreProperties>
</file>