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1B1B4" w14:textId="77777777" w:rsidR="00806214" w:rsidRPr="00DB3434" w:rsidRDefault="00806214" w:rsidP="003B1AC3">
      <w:pPr>
        <w:shd w:val="clear" w:color="auto" w:fill="FFFFFF"/>
        <w:jc w:val="center"/>
        <w:rPr>
          <w:rFonts w:ascii="Arial" w:hAnsi="Arial" w:cs="Arial"/>
          <w:b/>
          <w:color w:val="000000"/>
          <w:sz w:val="22"/>
          <w:szCs w:val="22"/>
          <w:u w:val="single"/>
        </w:rPr>
      </w:pPr>
      <w:r w:rsidRPr="00DB3434">
        <w:rPr>
          <w:rFonts w:ascii="Arial" w:hAnsi="Arial" w:cs="Arial"/>
          <w:b/>
          <w:color w:val="000000"/>
          <w:sz w:val="22"/>
          <w:szCs w:val="22"/>
          <w:u w:val="single"/>
        </w:rPr>
        <w:t>Experian plc</w:t>
      </w:r>
    </w:p>
    <w:p w14:paraId="0B0B385C" w14:textId="77777777" w:rsidR="00806214" w:rsidRPr="00DB3434" w:rsidRDefault="00806214" w:rsidP="003B1AC3">
      <w:pPr>
        <w:shd w:val="clear" w:color="auto" w:fill="FFFFFF"/>
        <w:jc w:val="center"/>
        <w:rPr>
          <w:rFonts w:ascii="Arial" w:hAnsi="Arial" w:cs="Arial"/>
          <w:b/>
          <w:color w:val="000000"/>
          <w:sz w:val="22"/>
          <w:szCs w:val="22"/>
          <w:u w:val="single"/>
        </w:rPr>
      </w:pPr>
    </w:p>
    <w:p w14:paraId="487DDF8A" w14:textId="38C4E40F" w:rsidR="00806214" w:rsidRPr="00DB3434" w:rsidRDefault="00806214" w:rsidP="00806214">
      <w:pPr>
        <w:shd w:val="clear" w:color="auto" w:fill="FFFFFF"/>
        <w:jc w:val="center"/>
        <w:rPr>
          <w:rFonts w:ascii="Arial" w:hAnsi="Arial" w:cs="Arial"/>
          <w:b/>
          <w:color w:val="000000"/>
          <w:sz w:val="22"/>
          <w:szCs w:val="22"/>
        </w:rPr>
      </w:pPr>
      <w:r w:rsidRPr="00DB3434">
        <w:rPr>
          <w:rFonts w:ascii="Arial" w:hAnsi="Arial" w:cs="Arial"/>
          <w:b/>
          <w:color w:val="000000"/>
          <w:sz w:val="22"/>
          <w:szCs w:val="22"/>
        </w:rPr>
        <w:t xml:space="preserve">Annual General Meeting </w:t>
      </w:r>
      <w:r w:rsidR="003C3223" w:rsidRPr="00DB3434">
        <w:rPr>
          <w:rFonts w:ascii="Arial" w:hAnsi="Arial" w:cs="Arial"/>
          <w:b/>
          <w:color w:val="000000"/>
          <w:sz w:val="22"/>
          <w:szCs w:val="22"/>
        </w:rPr>
        <w:t>20</w:t>
      </w:r>
      <w:r w:rsidR="0086563B">
        <w:rPr>
          <w:rFonts w:ascii="Arial" w:hAnsi="Arial" w:cs="Arial"/>
          <w:b/>
          <w:color w:val="000000"/>
          <w:sz w:val="22"/>
          <w:szCs w:val="22"/>
        </w:rPr>
        <w:t>2</w:t>
      </w:r>
      <w:r w:rsidR="004D6EB8">
        <w:rPr>
          <w:rFonts w:ascii="Arial" w:hAnsi="Arial" w:cs="Arial"/>
          <w:b/>
          <w:color w:val="000000"/>
          <w:sz w:val="22"/>
          <w:szCs w:val="22"/>
        </w:rPr>
        <w:t>6</w:t>
      </w:r>
    </w:p>
    <w:p w14:paraId="1FF57ADD" w14:textId="77777777" w:rsidR="00EC2966" w:rsidRPr="00DB3434" w:rsidRDefault="00EC2966" w:rsidP="00806214">
      <w:pPr>
        <w:shd w:val="clear" w:color="auto" w:fill="FFFFFF"/>
        <w:jc w:val="center"/>
        <w:rPr>
          <w:rFonts w:ascii="Arial" w:hAnsi="Arial" w:cs="Arial"/>
          <w:b/>
          <w:color w:val="000000"/>
          <w:sz w:val="22"/>
          <w:szCs w:val="22"/>
        </w:rPr>
      </w:pPr>
    </w:p>
    <w:p w14:paraId="27773FF0" w14:textId="77777777" w:rsidR="00806214" w:rsidRPr="00DB3434" w:rsidRDefault="00806214" w:rsidP="00806214">
      <w:pPr>
        <w:shd w:val="clear" w:color="auto" w:fill="FFFFFF"/>
        <w:jc w:val="center"/>
        <w:rPr>
          <w:rFonts w:ascii="Arial" w:hAnsi="Arial" w:cs="Arial"/>
          <w:b/>
          <w:color w:val="000000"/>
          <w:sz w:val="22"/>
          <w:szCs w:val="22"/>
        </w:rPr>
      </w:pPr>
      <w:r w:rsidRPr="00DB3434">
        <w:rPr>
          <w:rFonts w:ascii="Arial" w:hAnsi="Arial" w:cs="Arial"/>
          <w:b/>
          <w:color w:val="000000"/>
          <w:sz w:val="22"/>
          <w:szCs w:val="22"/>
        </w:rPr>
        <w:t>Special Business</w:t>
      </w:r>
    </w:p>
    <w:p w14:paraId="24DC90E3" w14:textId="77777777" w:rsidR="00806214" w:rsidRPr="00DB3434" w:rsidRDefault="00806214" w:rsidP="00806214">
      <w:pPr>
        <w:shd w:val="clear" w:color="auto" w:fill="FFFFFF"/>
        <w:jc w:val="both"/>
        <w:rPr>
          <w:rFonts w:ascii="Arial" w:hAnsi="Arial" w:cs="Arial"/>
          <w:color w:val="000000"/>
          <w:sz w:val="22"/>
          <w:szCs w:val="22"/>
        </w:rPr>
      </w:pPr>
    </w:p>
    <w:p w14:paraId="3CAF1EDF" w14:textId="6EAB36DA" w:rsidR="00806214" w:rsidRDefault="00806214" w:rsidP="00320F27">
      <w:pPr>
        <w:shd w:val="clear" w:color="auto" w:fill="FFFFFF"/>
        <w:tabs>
          <w:tab w:val="left" w:pos="567"/>
        </w:tabs>
        <w:jc w:val="both"/>
        <w:rPr>
          <w:rFonts w:ascii="Arial" w:hAnsi="Arial" w:cs="Arial"/>
          <w:color w:val="000000"/>
          <w:sz w:val="22"/>
          <w:szCs w:val="22"/>
        </w:rPr>
      </w:pPr>
      <w:r w:rsidRPr="005A3ADE">
        <w:rPr>
          <w:rFonts w:ascii="Arial" w:hAnsi="Arial" w:cs="Arial"/>
          <w:color w:val="000000"/>
          <w:sz w:val="22"/>
          <w:szCs w:val="22"/>
        </w:rPr>
        <w:t xml:space="preserve">The Annual General Meeting of </w:t>
      </w:r>
      <w:r w:rsidR="00EC2966" w:rsidRPr="005A3ADE">
        <w:rPr>
          <w:rFonts w:ascii="Arial" w:hAnsi="Arial" w:cs="Arial"/>
          <w:color w:val="000000"/>
          <w:sz w:val="22"/>
          <w:szCs w:val="22"/>
        </w:rPr>
        <w:t xml:space="preserve">Experian plc </w:t>
      </w:r>
      <w:r w:rsidR="0012187F" w:rsidRPr="005A3ADE">
        <w:rPr>
          <w:rFonts w:ascii="Arial" w:hAnsi="Arial" w:cs="Arial"/>
          <w:color w:val="000000"/>
          <w:sz w:val="22"/>
          <w:szCs w:val="22"/>
        </w:rPr>
        <w:t xml:space="preserve">was held on </w:t>
      </w:r>
      <w:r w:rsidR="004D6EB8">
        <w:rPr>
          <w:rFonts w:ascii="Arial" w:hAnsi="Arial" w:cs="Arial"/>
          <w:color w:val="000000"/>
          <w:sz w:val="22"/>
          <w:szCs w:val="22"/>
        </w:rPr>
        <w:t>22</w:t>
      </w:r>
      <w:r w:rsidRPr="005A3ADE">
        <w:rPr>
          <w:rFonts w:ascii="Arial" w:hAnsi="Arial" w:cs="Arial"/>
          <w:color w:val="000000"/>
          <w:sz w:val="22"/>
          <w:szCs w:val="22"/>
        </w:rPr>
        <w:t xml:space="preserve"> July 20</w:t>
      </w:r>
      <w:r w:rsidR="0086563B" w:rsidRPr="005A3ADE">
        <w:rPr>
          <w:rFonts w:ascii="Arial" w:hAnsi="Arial" w:cs="Arial"/>
          <w:color w:val="000000"/>
          <w:sz w:val="22"/>
          <w:szCs w:val="22"/>
        </w:rPr>
        <w:t>2</w:t>
      </w:r>
      <w:r w:rsidR="004D6EB8">
        <w:rPr>
          <w:rFonts w:ascii="Arial" w:hAnsi="Arial" w:cs="Arial"/>
          <w:color w:val="000000"/>
          <w:sz w:val="22"/>
          <w:szCs w:val="22"/>
        </w:rPr>
        <w:t>6</w:t>
      </w:r>
      <w:r w:rsidRPr="005A3ADE">
        <w:rPr>
          <w:rFonts w:ascii="Arial" w:hAnsi="Arial" w:cs="Arial"/>
          <w:color w:val="000000"/>
          <w:sz w:val="22"/>
          <w:szCs w:val="22"/>
        </w:rPr>
        <w:t>.  In addition to the resolutions concerning Ordinary Business, the following resolutions were passed:</w:t>
      </w:r>
    </w:p>
    <w:p w14:paraId="53FF66CD" w14:textId="77777777" w:rsidR="004D6EB8" w:rsidRDefault="004D6EB8" w:rsidP="00320F27">
      <w:pPr>
        <w:shd w:val="clear" w:color="auto" w:fill="FFFFFF"/>
        <w:tabs>
          <w:tab w:val="left" w:pos="567"/>
        </w:tabs>
        <w:jc w:val="both"/>
        <w:rPr>
          <w:rFonts w:ascii="Arial" w:hAnsi="Arial" w:cs="Arial"/>
          <w:color w:val="000000"/>
          <w:sz w:val="22"/>
          <w:szCs w:val="22"/>
        </w:rPr>
      </w:pPr>
    </w:p>
    <w:p w14:paraId="010C90DC" w14:textId="045C1725" w:rsidR="004D6EB8" w:rsidRDefault="004D6EB8" w:rsidP="004D6EB8">
      <w:pPr>
        <w:ind w:left="720" w:hanging="720"/>
        <w:rPr>
          <w:rFonts w:ascii="Arial" w:hAnsi="Arial" w:cs="Arial"/>
          <w:sz w:val="22"/>
          <w:szCs w:val="22"/>
        </w:rPr>
      </w:pPr>
      <w:r w:rsidRPr="004D6EB8">
        <w:rPr>
          <w:rFonts w:ascii="Arial" w:hAnsi="Arial" w:cs="Arial"/>
          <w:sz w:val="22"/>
          <w:szCs w:val="22"/>
        </w:rPr>
        <w:t>16.</w:t>
      </w:r>
      <w:r>
        <w:rPr>
          <w:rFonts w:ascii="Arial" w:hAnsi="Arial" w:cs="Arial"/>
          <w:sz w:val="22"/>
          <w:szCs w:val="22"/>
        </w:rPr>
        <w:tab/>
      </w:r>
      <w:r w:rsidRPr="004D6EB8">
        <w:rPr>
          <w:rFonts w:ascii="Arial" w:hAnsi="Arial" w:cs="Arial"/>
          <w:sz w:val="22"/>
          <w:szCs w:val="22"/>
        </w:rPr>
        <w:t>Subject to the passing of resolution 14, and for the period referred to in resolution 14,</w:t>
      </w:r>
      <w:r>
        <w:rPr>
          <w:rFonts w:ascii="Arial" w:hAnsi="Arial" w:cs="Arial"/>
          <w:sz w:val="22"/>
          <w:szCs w:val="22"/>
        </w:rPr>
        <w:t xml:space="preserve"> </w:t>
      </w:r>
      <w:r w:rsidRPr="004D6EB8">
        <w:rPr>
          <w:rFonts w:ascii="Arial" w:hAnsi="Arial" w:cs="Arial"/>
          <w:sz w:val="22"/>
          <w:szCs w:val="22"/>
        </w:rPr>
        <w:t>that:</w:t>
      </w:r>
    </w:p>
    <w:p w14:paraId="237E9143" w14:textId="77777777" w:rsidR="004D6EB8" w:rsidRPr="004D6EB8" w:rsidRDefault="004D6EB8" w:rsidP="004D6EB8">
      <w:pPr>
        <w:ind w:left="720" w:hanging="720"/>
        <w:rPr>
          <w:rFonts w:ascii="Arial" w:hAnsi="Arial" w:cs="Arial"/>
          <w:sz w:val="22"/>
          <w:szCs w:val="22"/>
        </w:rPr>
      </w:pPr>
    </w:p>
    <w:p w14:paraId="1056F92F" w14:textId="71037EF3" w:rsidR="004D6EB8" w:rsidRDefault="004D6EB8" w:rsidP="004D6EB8">
      <w:pPr>
        <w:shd w:val="clear" w:color="auto" w:fill="FFFFFF"/>
        <w:tabs>
          <w:tab w:val="left" w:pos="567"/>
        </w:tabs>
        <w:ind w:left="720" w:hanging="720"/>
        <w:jc w:val="both"/>
        <w:rPr>
          <w:rFonts w:ascii="Arial" w:hAnsi="Arial" w:cs="Arial"/>
          <w:color w:val="000000"/>
          <w:sz w:val="22"/>
          <w:szCs w:val="22"/>
        </w:rPr>
      </w:pPr>
      <w:r w:rsidRPr="004D6EB8">
        <w:rPr>
          <w:rFonts w:ascii="Arial" w:hAnsi="Arial" w:cs="Arial"/>
          <w:color w:val="000000"/>
          <w:sz w:val="22"/>
          <w:szCs w:val="22"/>
        </w:rPr>
        <w:t>(a)</w:t>
      </w:r>
      <w:r>
        <w:rPr>
          <w:rFonts w:ascii="Arial" w:hAnsi="Arial" w:cs="Arial"/>
          <w:color w:val="000000"/>
          <w:sz w:val="22"/>
          <w:szCs w:val="22"/>
        </w:rPr>
        <w:tab/>
      </w:r>
      <w:r>
        <w:rPr>
          <w:rFonts w:ascii="Arial" w:hAnsi="Arial" w:cs="Arial"/>
          <w:color w:val="000000"/>
          <w:sz w:val="22"/>
          <w:szCs w:val="22"/>
        </w:rPr>
        <w:tab/>
      </w:r>
      <w:r w:rsidRPr="004D6EB8">
        <w:rPr>
          <w:rFonts w:ascii="Arial" w:hAnsi="Arial" w:cs="Arial"/>
          <w:color w:val="000000"/>
          <w:sz w:val="22"/>
          <w:szCs w:val="22"/>
        </w:rPr>
        <w:t>the authority conferred on the directors by article 10.3 of the Company’s articles of association</w:t>
      </w:r>
      <w:r>
        <w:rPr>
          <w:rFonts w:ascii="Arial" w:hAnsi="Arial" w:cs="Arial"/>
          <w:color w:val="000000"/>
          <w:sz w:val="22"/>
          <w:szCs w:val="22"/>
        </w:rPr>
        <w:t xml:space="preserve"> </w:t>
      </w:r>
      <w:r w:rsidRPr="004D6EB8">
        <w:rPr>
          <w:rFonts w:ascii="Arial" w:hAnsi="Arial" w:cs="Arial"/>
          <w:color w:val="000000"/>
          <w:sz w:val="22"/>
          <w:szCs w:val="22"/>
        </w:rPr>
        <w:t xml:space="preserve">shall be renewed and for this purpose the </w:t>
      </w:r>
      <w:proofErr w:type="gramStart"/>
      <w:r w:rsidRPr="004D6EB8">
        <w:rPr>
          <w:rFonts w:ascii="Arial" w:hAnsi="Arial" w:cs="Arial"/>
          <w:color w:val="000000"/>
          <w:sz w:val="22"/>
          <w:szCs w:val="22"/>
        </w:rPr>
        <w:t>Non-pre-</w:t>
      </w:r>
      <w:proofErr w:type="gramEnd"/>
      <w:r w:rsidRPr="004D6EB8">
        <w:rPr>
          <w:rFonts w:ascii="Arial" w:hAnsi="Arial" w:cs="Arial"/>
          <w:color w:val="000000"/>
          <w:sz w:val="22"/>
          <w:szCs w:val="22"/>
        </w:rPr>
        <w:t>emptive Amount (as defined in the articles of</w:t>
      </w:r>
      <w:r>
        <w:rPr>
          <w:rFonts w:ascii="Arial" w:hAnsi="Arial" w:cs="Arial"/>
          <w:color w:val="000000"/>
          <w:sz w:val="22"/>
          <w:szCs w:val="22"/>
        </w:rPr>
        <w:t xml:space="preserve"> </w:t>
      </w:r>
      <w:r w:rsidRPr="004D6EB8">
        <w:rPr>
          <w:rFonts w:ascii="Arial" w:hAnsi="Arial" w:cs="Arial"/>
          <w:color w:val="000000"/>
          <w:sz w:val="22"/>
          <w:szCs w:val="22"/>
        </w:rPr>
        <w:t>association of the Company) shall be US$8,973,323; and</w:t>
      </w:r>
    </w:p>
    <w:p w14:paraId="7C21AF4A" w14:textId="77777777" w:rsidR="00392737" w:rsidRPr="004D6EB8" w:rsidRDefault="00392737" w:rsidP="004D6EB8">
      <w:pPr>
        <w:shd w:val="clear" w:color="auto" w:fill="FFFFFF"/>
        <w:tabs>
          <w:tab w:val="left" w:pos="567"/>
        </w:tabs>
        <w:ind w:left="720" w:hanging="720"/>
        <w:jc w:val="both"/>
        <w:rPr>
          <w:rFonts w:ascii="Arial" w:hAnsi="Arial" w:cs="Arial"/>
          <w:color w:val="000000"/>
          <w:sz w:val="22"/>
          <w:szCs w:val="22"/>
        </w:rPr>
      </w:pPr>
    </w:p>
    <w:p w14:paraId="4E885600" w14:textId="70C17C88" w:rsidR="004D6EB8" w:rsidRDefault="004D6EB8" w:rsidP="004D6EB8">
      <w:pPr>
        <w:shd w:val="clear" w:color="auto" w:fill="FFFFFF"/>
        <w:tabs>
          <w:tab w:val="left" w:pos="567"/>
        </w:tabs>
        <w:ind w:left="720" w:hanging="720"/>
        <w:jc w:val="both"/>
        <w:rPr>
          <w:rFonts w:ascii="Arial" w:hAnsi="Arial" w:cs="Arial"/>
          <w:color w:val="000000"/>
          <w:sz w:val="22"/>
          <w:szCs w:val="22"/>
        </w:rPr>
      </w:pPr>
      <w:r w:rsidRPr="004D6EB8">
        <w:rPr>
          <w:rFonts w:ascii="Arial" w:hAnsi="Arial" w:cs="Arial"/>
          <w:color w:val="000000"/>
          <w:sz w:val="22"/>
          <w:szCs w:val="22"/>
        </w:rPr>
        <w:t>(b)</w:t>
      </w:r>
      <w:r>
        <w:rPr>
          <w:rFonts w:ascii="Arial" w:hAnsi="Arial" w:cs="Arial"/>
          <w:color w:val="000000"/>
          <w:sz w:val="22"/>
          <w:szCs w:val="22"/>
        </w:rPr>
        <w:tab/>
      </w:r>
      <w:r>
        <w:rPr>
          <w:rFonts w:ascii="Arial" w:hAnsi="Arial" w:cs="Arial"/>
          <w:color w:val="000000"/>
          <w:sz w:val="22"/>
          <w:szCs w:val="22"/>
        </w:rPr>
        <w:tab/>
      </w:r>
      <w:r w:rsidRPr="004D6EB8">
        <w:rPr>
          <w:rFonts w:ascii="Arial" w:hAnsi="Arial" w:cs="Arial"/>
          <w:color w:val="000000"/>
          <w:sz w:val="22"/>
          <w:szCs w:val="22"/>
        </w:rPr>
        <w:t>in addition to the authority conferred on the directors by article 10.3 of the Company’s articles</w:t>
      </w:r>
      <w:r>
        <w:rPr>
          <w:rFonts w:ascii="Arial" w:hAnsi="Arial" w:cs="Arial"/>
          <w:color w:val="000000"/>
          <w:sz w:val="22"/>
          <w:szCs w:val="22"/>
        </w:rPr>
        <w:t xml:space="preserve"> </w:t>
      </w:r>
      <w:r w:rsidRPr="004D6EB8">
        <w:rPr>
          <w:rFonts w:ascii="Arial" w:hAnsi="Arial" w:cs="Arial"/>
          <w:color w:val="000000"/>
          <w:sz w:val="22"/>
          <w:szCs w:val="22"/>
        </w:rPr>
        <w:t>of association, the directors be authorised to allot equity securities (as defined in the articles of</w:t>
      </w:r>
      <w:r>
        <w:rPr>
          <w:rFonts w:ascii="Arial" w:hAnsi="Arial" w:cs="Arial"/>
          <w:color w:val="000000"/>
          <w:sz w:val="22"/>
          <w:szCs w:val="22"/>
        </w:rPr>
        <w:t xml:space="preserve"> </w:t>
      </w:r>
      <w:r w:rsidRPr="004D6EB8">
        <w:rPr>
          <w:rFonts w:ascii="Arial" w:hAnsi="Arial" w:cs="Arial"/>
          <w:color w:val="000000"/>
          <w:sz w:val="22"/>
          <w:szCs w:val="22"/>
        </w:rPr>
        <w:t>association of the Company) and/or to sell ordinary shares held by the Company as treasury</w:t>
      </w:r>
      <w:r>
        <w:rPr>
          <w:rFonts w:ascii="Arial" w:hAnsi="Arial" w:cs="Arial"/>
          <w:color w:val="000000"/>
          <w:sz w:val="22"/>
          <w:szCs w:val="22"/>
        </w:rPr>
        <w:t xml:space="preserve"> </w:t>
      </w:r>
      <w:r w:rsidRPr="004D6EB8">
        <w:rPr>
          <w:rFonts w:ascii="Arial" w:hAnsi="Arial" w:cs="Arial"/>
          <w:color w:val="000000"/>
          <w:sz w:val="22"/>
          <w:szCs w:val="22"/>
        </w:rPr>
        <w:t>shares wholly for cash pursuant to the authority conferred by resolution 14 as if article 11 of the</w:t>
      </w:r>
      <w:r>
        <w:rPr>
          <w:rFonts w:ascii="Arial" w:hAnsi="Arial" w:cs="Arial"/>
          <w:color w:val="000000"/>
          <w:sz w:val="22"/>
          <w:szCs w:val="22"/>
        </w:rPr>
        <w:t xml:space="preserve"> </w:t>
      </w:r>
      <w:r w:rsidRPr="004D6EB8">
        <w:rPr>
          <w:rFonts w:ascii="Arial" w:hAnsi="Arial" w:cs="Arial"/>
          <w:color w:val="000000"/>
          <w:sz w:val="22"/>
          <w:szCs w:val="22"/>
        </w:rPr>
        <w:t>articles of association of the Company did not apply to any such allotment or sale, provided that</w:t>
      </w:r>
      <w:r>
        <w:rPr>
          <w:rFonts w:ascii="Arial" w:hAnsi="Arial" w:cs="Arial"/>
          <w:color w:val="000000"/>
          <w:sz w:val="22"/>
          <w:szCs w:val="22"/>
        </w:rPr>
        <w:t xml:space="preserve"> </w:t>
      </w:r>
      <w:r w:rsidRPr="004D6EB8">
        <w:rPr>
          <w:rFonts w:ascii="Arial" w:hAnsi="Arial" w:cs="Arial"/>
          <w:color w:val="000000"/>
          <w:sz w:val="22"/>
          <w:szCs w:val="22"/>
        </w:rPr>
        <w:t>such allotments or sales are: (</w:t>
      </w:r>
      <w:proofErr w:type="spellStart"/>
      <w:r w:rsidRPr="004D6EB8">
        <w:rPr>
          <w:rFonts w:ascii="Arial" w:hAnsi="Arial" w:cs="Arial"/>
          <w:color w:val="000000"/>
          <w:sz w:val="22"/>
          <w:szCs w:val="22"/>
        </w:rPr>
        <w:t>i</w:t>
      </w:r>
      <w:proofErr w:type="spellEnd"/>
      <w:r w:rsidRPr="004D6EB8">
        <w:rPr>
          <w:rFonts w:ascii="Arial" w:hAnsi="Arial" w:cs="Arial"/>
          <w:color w:val="000000"/>
          <w:sz w:val="22"/>
          <w:szCs w:val="22"/>
        </w:rPr>
        <w:t>) made otherwise than pursuant to article 10.3 of the Company’s</w:t>
      </w:r>
      <w:r>
        <w:rPr>
          <w:rFonts w:ascii="Arial" w:hAnsi="Arial" w:cs="Arial"/>
          <w:color w:val="000000"/>
          <w:sz w:val="22"/>
          <w:szCs w:val="22"/>
        </w:rPr>
        <w:t xml:space="preserve"> </w:t>
      </w:r>
      <w:r w:rsidRPr="004D6EB8">
        <w:rPr>
          <w:rFonts w:ascii="Arial" w:hAnsi="Arial" w:cs="Arial"/>
          <w:color w:val="000000"/>
          <w:sz w:val="22"/>
          <w:szCs w:val="22"/>
        </w:rPr>
        <w:t>articles of association; and (ii) limited to an aggregate nominal amount equal to 20% of any</w:t>
      </w:r>
      <w:r>
        <w:rPr>
          <w:rFonts w:ascii="Arial" w:hAnsi="Arial" w:cs="Arial"/>
          <w:color w:val="000000"/>
          <w:sz w:val="22"/>
          <w:szCs w:val="22"/>
        </w:rPr>
        <w:t xml:space="preserve"> </w:t>
      </w:r>
      <w:r w:rsidRPr="004D6EB8">
        <w:rPr>
          <w:rFonts w:ascii="Arial" w:hAnsi="Arial" w:cs="Arial"/>
          <w:color w:val="000000"/>
          <w:sz w:val="22"/>
          <w:szCs w:val="22"/>
        </w:rPr>
        <w:t>allotment of equity securities (or sale of treasury shares) made from time to time under article</w:t>
      </w:r>
      <w:r>
        <w:rPr>
          <w:rFonts w:ascii="Arial" w:hAnsi="Arial" w:cs="Arial"/>
          <w:color w:val="000000"/>
          <w:sz w:val="22"/>
          <w:szCs w:val="22"/>
        </w:rPr>
        <w:t xml:space="preserve"> </w:t>
      </w:r>
      <w:r w:rsidRPr="004D6EB8">
        <w:rPr>
          <w:rFonts w:ascii="Arial" w:hAnsi="Arial" w:cs="Arial"/>
          <w:color w:val="000000"/>
          <w:sz w:val="22"/>
          <w:szCs w:val="22"/>
        </w:rPr>
        <w:t>10.3(b) of the Company’s articles of association, such authority to be used only for the purposes</w:t>
      </w:r>
      <w:r>
        <w:rPr>
          <w:rFonts w:ascii="Arial" w:hAnsi="Arial" w:cs="Arial"/>
          <w:color w:val="000000"/>
          <w:sz w:val="22"/>
          <w:szCs w:val="22"/>
        </w:rPr>
        <w:t xml:space="preserve"> </w:t>
      </w:r>
      <w:r w:rsidRPr="004D6EB8">
        <w:rPr>
          <w:rFonts w:ascii="Arial" w:hAnsi="Arial" w:cs="Arial"/>
          <w:color w:val="000000"/>
          <w:sz w:val="22"/>
          <w:szCs w:val="22"/>
        </w:rPr>
        <w:t>of making a follow-on offer which the directors determine to be of a kind contemplated by</w:t>
      </w:r>
      <w:r>
        <w:rPr>
          <w:rFonts w:ascii="Arial" w:hAnsi="Arial" w:cs="Arial"/>
          <w:color w:val="000000"/>
          <w:sz w:val="22"/>
          <w:szCs w:val="22"/>
        </w:rPr>
        <w:t xml:space="preserve"> </w:t>
      </w:r>
      <w:r w:rsidRPr="004D6EB8">
        <w:rPr>
          <w:rFonts w:ascii="Arial" w:hAnsi="Arial" w:cs="Arial"/>
          <w:color w:val="000000"/>
          <w:sz w:val="22"/>
          <w:szCs w:val="22"/>
        </w:rPr>
        <w:t>paragraph 3 of section 2B of the Statement of Principles on Disapplying Pre-Emption Rights most</w:t>
      </w:r>
      <w:r>
        <w:rPr>
          <w:rFonts w:ascii="Arial" w:hAnsi="Arial" w:cs="Arial"/>
          <w:color w:val="000000"/>
          <w:sz w:val="22"/>
          <w:szCs w:val="22"/>
        </w:rPr>
        <w:t xml:space="preserve"> </w:t>
      </w:r>
      <w:r w:rsidRPr="004D6EB8">
        <w:rPr>
          <w:rFonts w:ascii="Arial" w:hAnsi="Arial" w:cs="Arial"/>
          <w:color w:val="000000"/>
          <w:sz w:val="22"/>
          <w:szCs w:val="22"/>
        </w:rPr>
        <w:t>recently published by the UK Pre-Emption Group prior to the date of this notice,</w:t>
      </w:r>
    </w:p>
    <w:p w14:paraId="47A0501F" w14:textId="77777777" w:rsidR="004D6EB8" w:rsidRPr="004D6EB8" w:rsidRDefault="004D6EB8" w:rsidP="004D6EB8">
      <w:pPr>
        <w:shd w:val="clear" w:color="auto" w:fill="FFFFFF"/>
        <w:tabs>
          <w:tab w:val="left" w:pos="567"/>
        </w:tabs>
        <w:jc w:val="both"/>
        <w:rPr>
          <w:rFonts w:ascii="Arial" w:hAnsi="Arial" w:cs="Arial"/>
          <w:color w:val="000000"/>
          <w:sz w:val="22"/>
          <w:szCs w:val="22"/>
        </w:rPr>
      </w:pPr>
    </w:p>
    <w:p w14:paraId="164B7715" w14:textId="12FA2B17" w:rsidR="004D6EB8" w:rsidRDefault="004D6EB8" w:rsidP="004D6EB8">
      <w:pPr>
        <w:shd w:val="clear" w:color="auto" w:fill="FFFFFF"/>
        <w:tabs>
          <w:tab w:val="left" w:pos="567"/>
        </w:tabs>
        <w:ind w:left="720"/>
        <w:jc w:val="both"/>
        <w:rPr>
          <w:rFonts w:ascii="Arial" w:hAnsi="Arial" w:cs="Arial"/>
          <w:color w:val="000000"/>
          <w:sz w:val="22"/>
          <w:szCs w:val="22"/>
        </w:rPr>
      </w:pPr>
      <w:r w:rsidRPr="004D6EB8">
        <w:rPr>
          <w:rFonts w:ascii="Arial" w:hAnsi="Arial" w:cs="Arial"/>
          <w:color w:val="000000"/>
          <w:sz w:val="22"/>
          <w:szCs w:val="22"/>
        </w:rPr>
        <w:t>such authority to expire at the end of the Allotment Period specified in resolution 14 except that</w:t>
      </w:r>
      <w:r>
        <w:rPr>
          <w:rFonts w:ascii="Arial" w:hAnsi="Arial" w:cs="Arial"/>
          <w:color w:val="000000"/>
          <w:sz w:val="22"/>
          <w:szCs w:val="22"/>
        </w:rPr>
        <w:t xml:space="preserve"> </w:t>
      </w:r>
      <w:r w:rsidRPr="004D6EB8">
        <w:rPr>
          <w:rFonts w:ascii="Arial" w:hAnsi="Arial" w:cs="Arial"/>
          <w:color w:val="000000"/>
          <w:sz w:val="22"/>
          <w:szCs w:val="22"/>
        </w:rPr>
        <w:t>the Company may, in each case, before such expiry, make offers and enter into agreements</w:t>
      </w:r>
      <w:r>
        <w:rPr>
          <w:rFonts w:ascii="Arial" w:hAnsi="Arial" w:cs="Arial"/>
          <w:color w:val="000000"/>
          <w:sz w:val="22"/>
          <w:szCs w:val="22"/>
        </w:rPr>
        <w:t xml:space="preserve"> </w:t>
      </w:r>
      <w:r w:rsidRPr="004D6EB8">
        <w:rPr>
          <w:rFonts w:ascii="Arial" w:hAnsi="Arial" w:cs="Arial"/>
          <w:color w:val="000000"/>
          <w:sz w:val="22"/>
          <w:szCs w:val="22"/>
        </w:rPr>
        <w:t>which would or might require equity securities to be allotted (and treasury shares to be sold) after</w:t>
      </w:r>
      <w:r>
        <w:rPr>
          <w:rFonts w:ascii="Arial" w:hAnsi="Arial" w:cs="Arial"/>
          <w:color w:val="000000"/>
          <w:sz w:val="22"/>
          <w:szCs w:val="22"/>
        </w:rPr>
        <w:t xml:space="preserve"> </w:t>
      </w:r>
      <w:r w:rsidRPr="004D6EB8">
        <w:rPr>
          <w:rFonts w:ascii="Arial" w:hAnsi="Arial" w:cs="Arial"/>
          <w:color w:val="000000"/>
          <w:sz w:val="22"/>
          <w:szCs w:val="22"/>
        </w:rPr>
        <w:t>such expiry and the directors may allot equity securities (and sell treasury shares) in pursuance</w:t>
      </w:r>
      <w:r>
        <w:rPr>
          <w:rFonts w:ascii="Arial" w:hAnsi="Arial" w:cs="Arial"/>
          <w:color w:val="000000"/>
          <w:sz w:val="22"/>
          <w:szCs w:val="22"/>
        </w:rPr>
        <w:t xml:space="preserve"> </w:t>
      </w:r>
      <w:r w:rsidRPr="004D6EB8">
        <w:rPr>
          <w:rFonts w:ascii="Arial" w:hAnsi="Arial" w:cs="Arial"/>
          <w:color w:val="000000"/>
          <w:sz w:val="22"/>
          <w:szCs w:val="22"/>
        </w:rPr>
        <w:t>of any such offer or agreement as if the authority conferred hereby had not expired.</w:t>
      </w:r>
    </w:p>
    <w:p w14:paraId="4721F35B" w14:textId="77777777" w:rsidR="004D6EB8" w:rsidRDefault="004D6EB8" w:rsidP="004D6EB8">
      <w:pPr>
        <w:shd w:val="clear" w:color="auto" w:fill="FFFFFF"/>
        <w:tabs>
          <w:tab w:val="left" w:pos="567"/>
        </w:tabs>
        <w:ind w:left="720"/>
        <w:jc w:val="both"/>
        <w:rPr>
          <w:rFonts w:ascii="Arial" w:hAnsi="Arial" w:cs="Arial"/>
          <w:color w:val="000000"/>
          <w:sz w:val="22"/>
          <w:szCs w:val="22"/>
        </w:rPr>
      </w:pPr>
    </w:p>
    <w:p w14:paraId="3B059DBB" w14:textId="268C06D7" w:rsidR="004D6EB8" w:rsidRPr="005A3ADE" w:rsidRDefault="004D6EB8" w:rsidP="004D6EB8">
      <w:pPr>
        <w:pStyle w:val="Default"/>
        <w:ind w:left="709"/>
        <w:rPr>
          <w:rFonts w:ascii="Arial" w:hAnsi="Arial" w:cs="Arial"/>
          <w:sz w:val="22"/>
          <w:szCs w:val="22"/>
        </w:rPr>
      </w:pPr>
      <w:r w:rsidRPr="005A3ADE">
        <w:rPr>
          <w:rFonts w:ascii="Arial" w:hAnsi="Arial" w:cs="Arial"/>
          <w:sz w:val="22"/>
          <w:szCs w:val="22"/>
        </w:rPr>
        <w:t>(Resolution 1</w:t>
      </w:r>
      <w:r>
        <w:rPr>
          <w:rFonts w:ascii="Arial" w:hAnsi="Arial" w:cs="Arial"/>
          <w:sz w:val="22"/>
          <w:szCs w:val="22"/>
        </w:rPr>
        <w:t>4</w:t>
      </w:r>
      <w:r w:rsidRPr="005A3ADE">
        <w:rPr>
          <w:rFonts w:ascii="Arial" w:hAnsi="Arial" w:cs="Arial"/>
          <w:sz w:val="22"/>
          <w:szCs w:val="22"/>
        </w:rPr>
        <w:t xml:space="preserve"> was duly passed).</w:t>
      </w:r>
    </w:p>
    <w:p w14:paraId="1D54030C" w14:textId="77777777" w:rsidR="004D6EB8" w:rsidRDefault="004D6EB8" w:rsidP="004D6EB8">
      <w:pPr>
        <w:shd w:val="clear" w:color="auto" w:fill="FFFFFF"/>
        <w:tabs>
          <w:tab w:val="left" w:pos="567"/>
        </w:tabs>
        <w:ind w:left="720"/>
        <w:jc w:val="both"/>
        <w:rPr>
          <w:rFonts w:ascii="Arial" w:hAnsi="Arial" w:cs="Arial"/>
          <w:color w:val="000000"/>
          <w:sz w:val="22"/>
          <w:szCs w:val="22"/>
        </w:rPr>
      </w:pPr>
    </w:p>
    <w:p w14:paraId="53AA2DCB" w14:textId="77777777" w:rsidR="004D6EB8" w:rsidRPr="004D6EB8" w:rsidRDefault="004D6EB8" w:rsidP="004D6EB8">
      <w:pPr>
        <w:shd w:val="clear" w:color="auto" w:fill="FFFFFF"/>
        <w:tabs>
          <w:tab w:val="left" w:pos="567"/>
        </w:tabs>
        <w:jc w:val="both"/>
        <w:rPr>
          <w:rFonts w:ascii="Arial" w:hAnsi="Arial" w:cs="Arial"/>
          <w:color w:val="000000"/>
          <w:sz w:val="22"/>
          <w:szCs w:val="22"/>
        </w:rPr>
      </w:pPr>
    </w:p>
    <w:p w14:paraId="41C16A0A" w14:textId="2E261486" w:rsidR="004D6EB8" w:rsidRDefault="004D6EB8" w:rsidP="004D6EB8">
      <w:pPr>
        <w:shd w:val="clear" w:color="auto" w:fill="FFFFFF"/>
        <w:tabs>
          <w:tab w:val="left" w:pos="567"/>
        </w:tabs>
        <w:ind w:left="709" w:hanging="709"/>
        <w:jc w:val="both"/>
        <w:rPr>
          <w:rFonts w:ascii="Arial" w:hAnsi="Arial" w:cs="Arial"/>
          <w:color w:val="000000"/>
          <w:sz w:val="22"/>
          <w:szCs w:val="22"/>
        </w:rPr>
      </w:pPr>
      <w:r w:rsidRPr="004D6EB8">
        <w:rPr>
          <w:rFonts w:ascii="Arial" w:hAnsi="Arial" w:cs="Arial"/>
          <w:color w:val="000000"/>
          <w:sz w:val="22"/>
          <w:szCs w:val="22"/>
        </w:rPr>
        <w:t xml:space="preserve">17. </w:t>
      </w:r>
      <w:r>
        <w:rPr>
          <w:rFonts w:ascii="Arial" w:hAnsi="Arial" w:cs="Arial"/>
          <w:color w:val="000000"/>
          <w:sz w:val="22"/>
          <w:szCs w:val="22"/>
        </w:rPr>
        <w:tab/>
      </w:r>
      <w:r>
        <w:rPr>
          <w:rFonts w:ascii="Arial" w:hAnsi="Arial" w:cs="Arial"/>
          <w:color w:val="000000"/>
          <w:sz w:val="22"/>
          <w:szCs w:val="22"/>
        </w:rPr>
        <w:tab/>
      </w:r>
      <w:r w:rsidRPr="004D6EB8">
        <w:rPr>
          <w:rFonts w:ascii="Arial" w:hAnsi="Arial" w:cs="Arial"/>
          <w:color w:val="000000"/>
          <w:sz w:val="22"/>
          <w:szCs w:val="22"/>
        </w:rPr>
        <w:t>Subject to the passing of resolution 14, that the directors be authorised, in addition to any</w:t>
      </w:r>
      <w:r>
        <w:rPr>
          <w:rFonts w:ascii="Arial" w:hAnsi="Arial" w:cs="Arial"/>
          <w:color w:val="000000"/>
          <w:sz w:val="22"/>
          <w:szCs w:val="22"/>
        </w:rPr>
        <w:t xml:space="preserve"> </w:t>
      </w:r>
      <w:r w:rsidRPr="004D6EB8">
        <w:rPr>
          <w:rFonts w:ascii="Arial" w:hAnsi="Arial" w:cs="Arial"/>
          <w:color w:val="000000"/>
          <w:sz w:val="22"/>
          <w:szCs w:val="22"/>
        </w:rPr>
        <w:t>authority granted under resolution 16 to allot equity securities (as defined in the articles of</w:t>
      </w:r>
      <w:r>
        <w:rPr>
          <w:rFonts w:ascii="Arial" w:hAnsi="Arial" w:cs="Arial"/>
          <w:color w:val="000000"/>
          <w:sz w:val="22"/>
          <w:szCs w:val="22"/>
        </w:rPr>
        <w:t xml:space="preserve"> </w:t>
      </w:r>
      <w:r w:rsidRPr="004D6EB8">
        <w:rPr>
          <w:rFonts w:ascii="Arial" w:hAnsi="Arial" w:cs="Arial"/>
          <w:color w:val="000000"/>
          <w:sz w:val="22"/>
          <w:szCs w:val="22"/>
        </w:rPr>
        <w:t>association of the Company) wholly for cash pursuant to the authority conferred by resolution 14</w:t>
      </w:r>
      <w:r>
        <w:rPr>
          <w:rFonts w:ascii="Arial" w:hAnsi="Arial" w:cs="Arial"/>
          <w:color w:val="000000"/>
          <w:sz w:val="22"/>
          <w:szCs w:val="22"/>
        </w:rPr>
        <w:t xml:space="preserve"> </w:t>
      </w:r>
      <w:r w:rsidRPr="004D6EB8">
        <w:rPr>
          <w:rFonts w:ascii="Arial" w:hAnsi="Arial" w:cs="Arial"/>
          <w:color w:val="000000"/>
          <w:sz w:val="22"/>
          <w:szCs w:val="22"/>
        </w:rPr>
        <w:t>and/or to sell ordinary shares held by the Company as treasury shares for cash as if article 11 of</w:t>
      </w:r>
      <w:r>
        <w:rPr>
          <w:rFonts w:ascii="Arial" w:hAnsi="Arial" w:cs="Arial"/>
          <w:color w:val="000000"/>
          <w:sz w:val="22"/>
          <w:szCs w:val="22"/>
        </w:rPr>
        <w:t xml:space="preserve"> </w:t>
      </w:r>
      <w:r w:rsidRPr="004D6EB8">
        <w:rPr>
          <w:rFonts w:ascii="Arial" w:hAnsi="Arial" w:cs="Arial"/>
          <w:color w:val="000000"/>
          <w:sz w:val="22"/>
          <w:szCs w:val="22"/>
        </w:rPr>
        <w:t>the articles of association of the Company did not apply to any such allotment or sale, such</w:t>
      </w:r>
      <w:r>
        <w:rPr>
          <w:rFonts w:ascii="Arial" w:hAnsi="Arial" w:cs="Arial"/>
          <w:color w:val="000000"/>
          <w:sz w:val="22"/>
          <w:szCs w:val="22"/>
        </w:rPr>
        <w:t xml:space="preserve"> </w:t>
      </w:r>
      <w:r w:rsidRPr="004D6EB8">
        <w:rPr>
          <w:rFonts w:ascii="Arial" w:hAnsi="Arial" w:cs="Arial"/>
          <w:color w:val="000000"/>
          <w:sz w:val="22"/>
          <w:szCs w:val="22"/>
        </w:rPr>
        <w:t>authority to be limited to allotment of equity securities or sale of treasury shares up to an</w:t>
      </w:r>
      <w:r>
        <w:rPr>
          <w:rFonts w:ascii="Arial" w:hAnsi="Arial" w:cs="Arial"/>
          <w:color w:val="000000"/>
          <w:sz w:val="22"/>
          <w:szCs w:val="22"/>
        </w:rPr>
        <w:t xml:space="preserve"> </w:t>
      </w:r>
      <w:r w:rsidRPr="004D6EB8">
        <w:rPr>
          <w:rFonts w:ascii="Arial" w:hAnsi="Arial" w:cs="Arial"/>
          <w:color w:val="000000"/>
          <w:sz w:val="22"/>
          <w:szCs w:val="22"/>
        </w:rPr>
        <w:t>aggregate nominal amount of US$8,973,323 such authority to be:</w:t>
      </w:r>
    </w:p>
    <w:p w14:paraId="1CD0189B" w14:textId="77777777" w:rsidR="004D6EB8" w:rsidRPr="004D6EB8" w:rsidRDefault="004D6EB8" w:rsidP="004D6EB8">
      <w:pPr>
        <w:shd w:val="clear" w:color="auto" w:fill="FFFFFF"/>
        <w:tabs>
          <w:tab w:val="left" w:pos="567"/>
        </w:tabs>
        <w:ind w:left="709" w:hanging="709"/>
        <w:jc w:val="both"/>
        <w:rPr>
          <w:rFonts w:ascii="Arial" w:hAnsi="Arial" w:cs="Arial"/>
          <w:color w:val="000000"/>
          <w:sz w:val="22"/>
          <w:szCs w:val="22"/>
        </w:rPr>
      </w:pPr>
    </w:p>
    <w:p w14:paraId="253074C5" w14:textId="06BEABBC" w:rsidR="004D6EB8" w:rsidRPr="000378FC" w:rsidRDefault="004D6EB8" w:rsidP="000378FC">
      <w:pPr>
        <w:pStyle w:val="ListParagraph"/>
        <w:numPr>
          <w:ilvl w:val="0"/>
          <w:numId w:val="12"/>
        </w:numPr>
        <w:shd w:val="clear" w:color="auto" w:fill="FFFFFF"/>
        <w:ind w:left="709" w:hanging="709"/>
        <w:jc w:val="both"/>
        <w:rPr>
          <w:rFonts w:ascii="Arial" w:hAnsi="Arial" w:cs="Arial"/>
          <w:color w:val="000000"/>
          <w:sz w:val="22"/>
          <w:szCs w:val="22"/>
        </w:rPr>
      </w:pPr>
      <w:r w:rsidRPr="004D6EB8">
        <w:rPr>
          <w:rFonts w:ascii="Arial" w:hAnsi="Arial" w:cs="Arial"/>
          <w:color w:val="000000"/>
          <w:sz w:val="22"/>
          <w:szCs w:val="22"/>
        </w:rPr>
        <w:t>used only for the purposes of financing (or refinancing, if the authority is to be used within</w:t>
      </w:r>
      <w:r w:rsidR="000378FC">
        <w:rPr>
          <w:rFonts w:ascii="Arial" w:hAnsi="Arial" w:cs="Arial"/>
          <w:color w:val="000000"/>
          <w:sz w:val="22"/>
          <w:szCs w:val="22"/>
        </w:rPr>
        <w:t xml:space="preserve"> </w:t>
      </w:r>
      <w:r w:rsidRPr="000378FC">
        <w:rPr>
          <w:rFonts w:ascii="Arial" w:hAnsi="Arial" w:cs="Arial"/>
          <w:color w:val="000000"/>
          <w:sz w:val="22"/>
          <w:szCs w:val="22"/>
        </w:rPr>
        <w:t>twelve months after the original transaction) a transaction which the directors determine to be</w:t>
      </w:r>
      <w:r w:rsidR="000378FC">
        <w:rPr>
          <w:rFonts w:ascii="Arial" w:hAnsi="Arial" w:cs="Arial"/>
          <w:color w:val="000000"/>
          <w:sz w:val="22"/>
          <w:szCs w:val="22"/>
        </w:rPr>
        <w:t xml:space="preserve"> </w:t>
      </w:r>
      <w:r w:rsidRPr="000378FC">
        <w:rPr>
          <w:rFonts w:ascii="Arial" w:hAnsi="Arial" w:cs="Arial"/>
          <w:color w:val="000000"/>
          <w:sz w:val="22"/>
          <w:szCs w:val="22"/>
        </w:rPr>
        <w:t>either an acquisition or a specified capital investment of a kind contemplated by the Statement of Principles on Disapplying Pre-Emption Rights most recently published by the UK Pre-Emption Group prior to the date of this notice; and</w:t>
      </w:r>
    </w:p>
    <w:p w14:paraId="293445BC" w14:textId="77777777" w:rsidR="000378FC" w:rsidRDefault="004D6EB8" w:rsidP="000378FC">
      <w:pPr>
        <w:pStyle w:val="ListParagraph"/>
        <w:numPr>
          <w:ilvl w:val="0"/>
          <w:numId w:val="12"/>
        </w:numPr>
        <w:shd w:val="clear" w:color="auto" w:fill="FFFFFF"/>
        <w:ind w:left="709" w:hanging="709"/>
        <w:jc w:val="both"/>
        <w:rPr>
          <w:rFonts w:ascii="Arial" w:hAnsi="Arial" w:cs="Arial"/>
          <w:color w:val="000000"/>
          <w:sz w:val="22"/>
          <w:szCs w:val="22"/>
        </w:rPr>
      </w:pPr>
      <w:r w:rsidRPr="000378FC">
        <w:rPr>
          <w:rFonts w:ascii="Arial" w:hAnsi="Arial" w:cs="Arial"/>
          <w:color w:val="000000"/>
          <w:sz w:val="22"/>
          <w:szCs w:val="22"/>
        </w:rPr>
        <w:lastRenderedPageBreak/>
        <w:t>otherwise than under paragraph (a) of this resolution 17, allotments of up to an aggregate</w:t>
      </w:r>
      <w:r w:rsidR="000378FC">
        <w:rPr>
          <w:rFonts w:ascii="Arial" w:hAnsi="Arial" w:cs="Arial"/>
          <w:color w:val="000000"/>
          <w:sz w:val="22"/>
          <w:szCs w:val="22"/>
        </w:rPr>
        <w:t xml:space="preserve"> </w:t>
      </w:r>
      <w:r w:rsidRPr="000378FC">
        <w:rPr>
          <w:rFonts w:ascii="Arial" w:hAnsi="Arial" w:cs="Arial"/>
          <w:color w:val="000000"/>
          <w:sz w:val="22"/>
          <w:szCs w:val="22"/>
        </w:rPr>
        <w:t>nominal amount equal to 20% of any allotment (or sale of treasury shares) made from time to</w:t>
      </w:r>
      <w:r w:rsidR="000378FC">
        <w:rPr>
          <w:rFonts w:ascii="Arial" w:hAnsi="Arial" w:cs="Arial"/>
          <w:color w:val="000000"/>
          <w:sz w:val="22"/>
          <w:szCs w:val="22"/>
        </w:rPr>
        <w:t xml:space="preserve"> </w:t>
      </w:r>
      <w:r w:rsidRPr="000378FC">
        <w:rPr>
          <w:rFonts w:ascii="Arial" w:hAnsi="Arial" w:cs="Arial"/>
          <w:color w:val="000000"/>
          <w:sz w:val="22"/>
          <w:szCs w:val="22"/>
        </w:rPr>
        <w:t xml:space="preserve">time under paragraph (a) of this resolution 17, such authority to be used only for the purposes of making a follow-on offer which the directors determine to be of a kind contemplated by paragraph 3 of section 2B of the Statement of Principles on Disapplying Pre-Emption Rights most recently published by the UK Pre-Emption Group prior to the date of this notice, </w:t>
      </w:r>
    </w:p>
    <w:p w14:paraId="29B1422F" w14:textId="77777777" w:rsidR="000378FC" w:rsidRDefault="000378FC" w:rsidP="000378FC">
      <w:pPr>
        <w:shd w:val="clear" w:color="auto" w:fill="FFFFFF"/>
        <w:ind w:left="720"/>
        <w:jc w:val="both"/>
        <w:rPr>
          <w:rFonts w:ascii="Arial" w:hAnsi="Arial" w:cs="Arial"/>
          <w:color w:val="000000"/>
          <w:sz w:val="22"/>
          <w:szCs w:val="22"/>
        </w:rPr>
      </w:pPr>
    </w:p>
    <w:p w14:paraId="115EE158" w14:textId="2F09E55F" w:rsidR="004D6EB8" w:rsidRDefault="004D6EB8" w:rsidP="000378FC">
      <w:pPr>
        <w:shd w:val="clear" w:color="auto" w:fill="FFFFFF"/>
        <w:ind w:left="720"/>
        <w:jc w:val="both"/>
        <w:rPr>
          <w:rFonts w:ascii="Arial" w:hAnsi="Arial" w:cs="Arial"/>
          <w:color w:val="000000"/>
          <w:sz w:val="22"/>
          <w:szCs w:val="22"/>
        </w:rPr>
      </w:pPr>
      <w:r w:rsidRPr="000378FC">
        <w:rPr>
          <w:rFonts w:ascii="Arial" w:hAnsi="Arial" w:cs="Arial"/>
          <w:color w:val="000000"/>
          <w:sz w:val="22"/>
          <w:szCs w:val="22"/>
        </w:rPr>
        <w:t>such authority to expire at the end of the Allotment Period specified in resolution 14 except that the Company may, in each case, before such expiry, make offers and enter into agreements which would or might require equity securities to be allotted (and treasury shares to be sold) after such expiry and the directors may allot equity securities (and sell treasury shares) in pursuance of any such offer or agreement as if the authority conferred hereby had not expired.</w:t>
      </w:r>
    </w:p>
    <w:p w14:paraId="49FE525E" w14:textId="77777777" w:rsidR="000378FC" w:rsidRDefault="000378FC" w:rsidP="000378FC">
      <w:pPr>
        <w:shd w:val="clear" w:color="auto" w:fill="FFFFFF"/>
        <w:ind w:left="720"/>
        <w:jc w:val="both"/>
        <w:rPr>
          <w:rFonts w:ascii="Arial" w:hAnsi="Arial" w:cs="Arial"/>
          <w:color w:val="000000"/>
          <w:sz w:val="22"/>
          <w:szCs w:val="22"/>
        </w:rPr>
      </w:pPr>
    </w:p>
    <w:p w14:paraId="65465560" w14:textId="77777777" w:rsidR="000378FC" w:rsidRPr="005A3ADE" w:rsidRDefault="000378FC" w:rsidP="000378FC">
      <w:pPr>
        <w:pStyle w:val="Default"/>
        <w:ind w:left="709"/>
        <w:rPr>
          <w:rFonts w:ascii="Arial" w:hAnsi="Arial" w:cs="Arial"/>
          <w:sz w:val="22"/>
          <w:szCs w:val="22"/>
        </w:rPr>
      </w:pPr>
      <w:r w:rsidRPr="005A3ADE">
        <w:rPr>
          <w:rFonts w:ascii="Arial" w:hAnsi="Arial" w:cs="Arial"/>
          <w:sz w:val="22"/>
          <w:szCs w:val="22"/>
        </w:rPr>
        <w:t>(Resolution 1</w:t>
      </w:r>
      <w:r>
        <w:rPr>
          <w:rFonts w:ascii="Arial" w:hAnsi="Arial" w:cs="Arial"/>
          <w:sz w:val="22"/>
          <w:szCs w:val="22"/>
        </w:rPr>
        <w:t>4</w:t>
      </w:r>
      <w:r w:rsidRPr="005A3ADE">
        <w:rPr>
          <w:rFonts w:ascii="Arial" w:hAnsi="Arial" w:cs="Arial"/>
          <w:sz w:val="22"/>
          <w:szCs w:val="22"/>
        </w:rPr>
        <w:t xml:space="preserve"> was duly passed).</w:t>
      </w:r>
    </w:p>
    <w:p w14:paraId="7C7D12C7" w14:textId="77777777" w:rsidR="000378FC" w:rsidRPr="000378FC" w:rsidRDefault="000378FC" w:rsidP="000378FC">
      <w:pPr>
        <w:shd w:val="clear" w:color="auto" w:fill="FFFFFF"/>
        <w:ind w:left="720"/>
        <w:jc w:val="both"/>
        <w:rPr>
          <w:rFonts w:ascii="Arial" w:hAnsi="Arial" w:cs="Arial"/>
          <w:color w:val="000000"/>
          <w:sz w:val="22"/>
          <w:szCs w:val="22"/>
        </w:rPr>
      </w:pPr>
    </w:p>
    <w:p w14:paraId="249E3D6D" w14:textId="5562A3E4" w:rsidR="00705A60" w:rsidRPr="005A3ADE" w:rsidRDefault="00705A60" w:rsidP="000378FC">
      <w:pPr>
        <w:pStyle w:val="Pa0"/>
        <w:spacing w:after="100"/>
        <w:rPr>
          <w:rFonts w:ascii="Arial" w:hAnsi="Arial" w:cs="Arial"/>
          <w:color w:val="000000"/>
          <w:sz w:val="22"/>
          <w:szCs w:val="22"/>
        </w:rPr>
      </w:pPr>
    </w:p>
    <w:sectPr w:rsidR="00705A60" w:rsidRPr="005A3ADE" w:rsidSect="009A689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thic720 BT">
    <w:altName w:val="Calibri"/>
    <w:charset w:val="00"/>
    <w:family w:val="swiss"/>
    <w:pitch w:val="variable"/>
    <w:sig w:usb0="800000AF" w:usb1="1000204A" w:usb2="00000000" w:usb3="00000000" w:csb0="00000011" w:csb1="00000000"/>
  </w:font>
  <w:font w:name="DIN Next W1G Light">
    <w:panose1 w:val="020B0303020203050203"/>
    <w:charset w:val="00"/>
    <w:family w:val="swiss"/>
    <w:notTrueType/>
    <w:pitch w:val="variable"/>
    <w:sig w:usb0="A00002A7" w:usb1="00000041" w:usb2="00000000" w:usb3="00000000" w:csb0="0000009F" w:csb1="00000000"/>
  </w:font>
  <w:font w:name="DIN Next W1G Medium">
    <w:panose1 w:val="020B0603020203050203"/>
    <w:charset w:val="00"/>
    <w:family w:val="swiss"/>
    <w:notTrueType/>
    <w:pitch w:val="variable"/>
    <w:sig w:usb0="A00002A7" w:usb1="00000041"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0251C8"/>
    <w:multiLevelType w:val="hybridMultilevel"/>
    <w:tmpl w:val="BCB389E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BBB9F7"/>
    <w:multiLevelType w:val="hybridMultilevel"/>
    <w:tmpl w:val="FE2B4A2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2A79B9"/>
    <w:multiLevelType w:val="hybridMultilevel"/>
    <w:tmpl w:val="909ACFE6"/>
    <w:lvl w:ilvl="0" w:tplc="15B40B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533FA9"/>
    <w:multiLevelType w:val="hybridMultilevel"/>
    <w:tmpl w:val="0B18FFDC"/>
    <w:lvl w:ilvl="0" w:tplc="15B40B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381137"/>
    <w:multiLevelType w:val="hybridMultilevel"/>
    <w:tmpl w:val="E480A908"/>
    <w:lvl w:ilvl="0" w:tplc="41DAA2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2265FBF"/>
    <w:multiLevelType w:val="hybridMultilevel"/>
    <w:tmpl w:val="F43AF556"/>
    <w:lvl w:ilvl="0" w:tplc="15B40B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3D4104"/>
    <w:multiLevelType w:val="hybridMultilevel"/>
    <w:tmpl w:val="DBC0F3C8"/>
    <w:lvl w:ilvl="0" w:tplc="E3143AB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622532"/>
    <w:multiLevelType w:val="hybridMultilevel"/>
    <w:tmpl w:val="909ACF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4F6DEB"/>
    <w:multiLevelType w:val="hybridMultilevel"/>
    <w:tmpl w:val="63148ED4"/>
    <w:lvl w:ilvl="0" w:tplc="2D58FBC6">
      <w:start w:val="1"/>
      <w:numFmt w:val="lowerLetter"/>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9" w15:restartNumberingAfterBreak="0">
    <w:nsid w:val="59636B19"/>
    <w:multiLevelType w:val="hybridMultilevel"/>
    <w:tmpl w:val="69987AC4"/>
    <w:lvl w:ilvl="0" w:tplc="15B40B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B400F4"/>
    <w:multiLevelType w:val="hybridMultilevel"/>
    <w:tmpl w:val="88F6DAAA"/>
    <w:lvl w:ilvl="0" w:tplc="E22AEF58">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77221F0F"/>
    <w:multiLevelType w:val="hybridMultilevel"/>
    <w:tmpl w:val="A5DEDADE"/>
    <w:lvl w:ilvl="0" w:tplc="15B40B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9810221">
    <w:abstractNumId w:val="4"/>
  </w:num>
  <w:num w:numId="2" w16cid:durableId="928585627">
    <w:abstractNumId w:val="1"/>
  </w:num>
  <w:num w:numId="3" w16cid:durableId="357245280">
    <w:abstractNumId w:val="0"/>
  </w:num>
  <w:num w:numId="4" w16cid:durableId="1625186386">
    <w:abstractNumId w:val="8"/>
  </w:num>
  <w:num w:numId="5" w16cid:durableId="475613849">
    <w:abstractNumId w:val="2"/>
  </w:num>
  <w:num w:numId="6" w16cid:durableId="400296026">
    <w:abstractNumId w:val="7"/>
  </w:num>
  <w:num w:numId="7" w16cid:durableId="558059916">
    <w:abstractNumId w:val="9"/>
  </w:num>
  <w:num w:numId="8" w16cid:durableId="380902586">
    <w:abstractNumId w:val="11"/>
  </w:num>
  <w:num w:numId="9" w16cid:durableId="661470228">
    <w:abstractNumId w:val="5"/>
  </w:num>
  <w:num w:numId="10" w16cid:durableId="868955819">
    <w:abstractNumId w:val="3"/>
  </w:num>
  <w:num w:numId="11" w16cid:durableId="1300914378">
    <w:abstractNumId w:val="6"/>
  </w:num>
  <w:num w:numId="12" w16cid:durableId="12076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54E"/>
    <w:rsid w:val="0000349D"/>
    <w:rsid w:val="00011B95"/>
    <w:rsid w:val="000134F2"/>
    <w:rsid w:val="0002522F"/>
    <w:rsid w:val="000309D2"/>
    <w:rsid w:val="000378FC"/>
    <w:rsid w:val="0005099D"/>
    <w:rsid w:val="00060449"/>
    <w:rsid w:val="00060985"/>
    <w:rsid w:val="00061DBA"/>
    <w:rsid w:val="00062928"/>
    <w:rsid w:val="0006455E"/>
    <w:rsid w:val="00074F00"/>
    <w:rsid w:val="000871E7"/>
    <w:rsid w:val="00090A48"/>
    <w:rsid w:val="00096062"/>
    <w:rsid w:val="00096B73"/>
    <w:rsid w:val="000B72C4"/>
    <w:rsid w:val="000C22A3"/>
    <w:rsid w:val="000C31DF"/>
    <w:rsid w:val="000C74FB"/>
    <w:rsid w:val="000D12FE"/>
    <w:rsid w:val="000D4D0A"/>
    <w:rsid w:val="000F04D9"/>
    <w:rsid w:val="000F2059"/>
    <w:rsid w:val="00104C21"/>
    <w:rsid w:val="0012187F"/>
    <w:rsid w:val="001220D4"/>
    <w:rsid w:val="001261A7"/>
    <w:rsid w:val="001344A9"/>
    <w:rsid w:val="00135438"/>
    <w:rsid w:val="00136E0B"/>
    <w:rsid w:val="00147819"/>
    <w:rsid w:val="0015315F"/>
    <w:rsid w:val="001567AA"/>
    <w:rsid w:val="001633BC"/>
    <w:rsid w:val="00173683"/>
    <w:rsid w:val="00173ADC"/>
    <w:rsid w:val="001937D5"/>
    <w:rsid w:val="00197280"/>
    <w:rsid w:val="001A1452"/>
    <w:rsid w:val="001A27FF"/>
    <w:rsid w:val="001A287E"/>
    <w:rsid w:val="001A522A"/>
    <w:rsid w:val="001A57E6"/>
    <w:rsid w:val="001A5A7A"/>
    <w:rsid w:val="001C57B9"/>
    <w:rsid w:val="001D0F53"/>
    <w:rsid w:val="001E2C05"/>
    <w:rsid w:val="001E33E8"/>
    <w:rsid w:val="001E4148"/>
    <w:rsid w:val="00203DFC"/>
    <w:rsid w:val="002144EC"/>
    <w:rsid w:val="00220431"/>
    <w:rsid w:val="00221709"/>
    <w:rsid w:val="0022612F"/>
    <w:rsid w:val="002266D1"/>
    <w:rsid w:val="00231A54"/>
    <w:rsid w:val="00232CD4"/>
    <w:rsid w:val="00242D7F"/>
    <w:rsid w:val="0025155D"/>
    <w:rsid w:val="002634BD"/>
    <w:rsid w:val="0027161A"/>
    <w:rsid w:val="002721BC"/>
    <w:rsid w:val="00272F85"/>
    <w:rsid w:val="002904D6"/>
    <w:rsid w:val="00291DA0"/>
    <w:rsid w:val="002937AD"/>
    <w:rsid w:val="0029568C"/>
    <w:rsid w:val="002B0287"/>
    <w:rsid w:val="002B399E"/>
    <w:rsid w:val="002E53B1"/>
    <w:rsid w:val="002F23F9"/>
    <w:rsid w:val="002F323C"/>
    <w:rsid w:val="002F34F6"/>
    <w:rsid w:val="002F7C1E"/>
    <w:rsid w:val="00320F27"/>
    <w:rsid w:val="00321AAB"/>
    <w:rsid w:val="0032738C"/>
    <w:rsid w:val="00332340"/>
    <w:rsid w:val="00336E76"/>
    <w:rsid w:val="003373D4"/>
    <w:rsid w:val="003477AC"/>
    <w:rsid w:val="00352A4E"/>
    <w:rsid w:val="00356679"/>
    <w:rsid w:val="00371056"/>
    <w:rsid w:val="00381A3C"/>
    <w:rsid w:val="00383C1A"/>
    <w:rsid w:val="003869C7"/>
    <w:rsid w:val="00392737"/>
    <w:rsid w:val="003B0722"/>
    <w:rsid w:val="003B1AC3"/>
    <w:rsid w:val="003B596F"/>
    <w:rsid w:val="003C0653"/>
    <w:rsid w:val="003C218F"/>
    <w:rsid w:val="003C3223"/>
    <w:rsid w:val="003C6208"/>
    <w:rsid w:val="003D5A9D"/>
    <w:rsid w:val="003D6DA2"/>
    <w:rsid w:val="003E53F2"/>
    <w:rsid w:val="004035CA"/>
    <w:rsid w:val="00406081"/>
    <w:rsid w:val="00406E69"/>
    <w:rsid w:val="004147CD"/>
    <w:rsid w:val="00424D26"/>
    <w:rsid w:val="0043047C"/>
    <w:rsid w:val="00440FCD"/>
    <w:rsid w:val="00443BF5"/>
    <w:rsid w:val="00444C2F"/>
    <w:rsid w:val="004477AC"/>
    <w:rsid w:val="00455F31"/>
    <w:rsid w:val="00464723"/>
    <w:rsid w:val="00467E52"/>
    <w:rsid w:val="00477BDC"/>
    <w:rsid w:val="00483A81"/>
    <w:rsid w:val="00491320"/>
    <w:rsid w:val="004A7CBB"/>
    <w:rsid w:val="004B2C5B"/>
    <w:rsid w:val="004B7F22"/>
    <w:rsid w:val="004C65D6"/>
    <w:rsid w:val="004C674F"/>
    <w:rsid w:val="004C73FB"/>
    <w:rsid w:val="004C7E2D"/>
    <w:rsid w:val="004D1D1A"/>
    <w:rsid w:val="004D2D8C"/>
    <w:rsid w:val="004D6EB8"/>
    <w:rsid w:val="004D72EB"/>
    <w:rsid w:val="004E00AF"/>
    <w:rsid w:val="004E045D"/>
    <w:rsid w:val="004F4C90"/>
    <w:rsid w:val="00503AD2"/>
    <w:rsid w:val="005043FE"/>
    <w:rsid w:val="00504785"/>
    <w:rsid w:val="00506BBB"/>
    <w:rsid w:val="00515E40"/>
    <w:rsid w:val="005242F0"/>
    <w:rsid w:val="00530375"/>
    <w:rsid w:val="00535711"/>
    <w:rsid w:val="00545D93"/>
    <w:rsid w:val="0055113F"/>
    <w:rsid w:val="00557E47"/>
    <w:rsid w:val="005635D6"/>
    <w:rsid w:val="00572F0E"/>
    <w:rsid w:val="00575455"/>
    <w:rsid w:val="0058129E"/>
    <w:rsid w:val="00583456"/>
    <w:rsid w:val="00585C63"/>
    <w:rsid w:val="00586FB8"/>
    <w:rsid w:val="005A33F0"/>
    <w:rsid w:val="005A3ADE"/>
    <w:rsid w:val="005A734C"/>
    <w:rsid w:val="005B5591"/>
    <w:rsid w:val="005C14B5"/>
    <w:rsid w:val="005C5826"/>
    <w:rsid w:val="005E6B2E"/>
    <w:rsid w:val="005F1217"/>
    <w:rsid w:val="005F7562"/>
    <w:rsid w:val="00603EBD"/>
    <w:rsid w:val="006070E0"/>
    <w:rsid w:val="006169BC"/>
    <w:rsid w:val="00620836"/>
    <w:rsid w:val="00627FA3"/>
    <w:rsid w:val="0063017C"/>
    <w:rsid w:val="00642DAB"/>
    <w:rsid w:val="006436C0"/>
    <w:rsid w:val="0066437C"/>
    <w:rsid w:val="006646DE"/>
    <w:rsid w:val="00667306"/>
    <w:rsid w:val="006718C6"/>
    <w:rsid w:val="006A11A8"/>
    <w:rsid w:val="006A754E"/>
    <w:rsid w:val="006C4F46"/>
    <w:rsid w:val="006E7F90"/>
    <w:rsid w:val="006F3CC7"/>
    <w:rsid w:val="006F3EE6"/>
    <w:rsid w:val="00701AB6"/>
    <w:rsid w:val="007029CE"/>
    <w:rsid w:val="00705A60"/>
    <w:rsid w:val="0072363E"/>
    <w:rsid w:val="00731717"/>
    <w:rsid w:val="00733D14"/>
    <w:rsid w:val="00734B17"/>
    <w:rsid w:val="007416F5"/>
    <w:rsid w:val="00753A1B"/>
    <w:rsid w:val="007658DB"/>
    <w:rsid w:val="007848D8"/>
    <w:rsid w:val="00787E7F"/>
    <w:rsid w:val="007A5590"/>
    <w:rsid w:val="007B5916"/>
    <w:rsid w:val="007C1EE8"/>
    <w:rsid w:val="007C6DAF"/>
    <w:rsid w:val="007D767F"/>
    <w:rsid w:val="00806214"/>
    <w:rsid w:val="00814463"/>
    <w:rsid w:val="008221CD"/>
    <w:rsid w:val="00823774"/>
    <w:rsid w:val="0082654A"/>
    <w:rsid w:val="00855550"/>
    <w:rsid w:val="0086563B"/>
    <w:rsid w:val="00866095"/>
    <w:rsid w:val="00884296"/>
    <w:rsid w:val="00894621"/>
    <w:rsid w:val="00895785"/>
    <w:rsid w:val="008B61C4"/>
    <w:rsid w:val="008C1FD0"/>
    <w:rsid w:val="008C2860"/>
    <w:rsid w:val="008C7699"/>
    <w:rsid w:val="008E10B7"/>
    <w:rsid w:val="008E1604"/>
    <w:rsid w:val="008E7A2F"/>
    <w:rsid w:val="008F3065"/>
    <w:rsid w:val="008F475D"/>
    <w:rsid w:val="00914988"/>
    <w:rsid w:val="00940000"/>
    <w:rsid w:val="009502EF"/>
    <w:rsid w:val="00961F6C"/>
    <w:rsid w:val="00965742"/>
    <w:rsid w:val="009725B4"/>
    <w:rsid w:val="009805E9"/>
    <w:rsid w:val="009A09F4"/>
    <w:rsid w:val="009A23AA"/>
    <w:rsid w:val="009A6895"/>
    <w:rsid w:val="009C2EDB"/>
    <w:rsid w:val="009D0AB8"/>
    <w:rsid w:val="009D64EA"/>
    <w:rsid w:val="009D6724"/>
    <w:rsid w:val="009F6B9F"/>
    <w:rsid w:val="00A00ED6"/>
    <w:rsid w:val="00A02904"/>
    <w:rsid w:val="00A12A6E"/>
    <w:rsid w:val="00A1307B"/>
    <w:rsid w:val="00A17029"/>
    <w:rsid w:val="00A17FF5"/>
    <w:rsid w:val="00A23BDE"/>
    <w:rsid w:val="00A25AB5"/>
    <w:rsid w:val="00A321F1"/>
    <w:rsid w:val="00A34558"/>
    <w:rsid w:val="00A40A17"/>
    <w:rsid w:val="00A417EB"/>
    <w:rsid w:val="00A42936"/>
    <w:rsid w:val="00A4757B"/>
    <w:rsid w:val="00A640E7"/>
    <w:rsid w:val="00A6436B"/>
    <w:rsid w:val="00A94700"/>
    <w:rsid w:val="00AA2BEF"/>
    <w:rsid w:val="00AA676F"/>
    <w:rsid w:val="00AC10A7"/>
    <w:rsid w:val="00AC3D11"/>
    <w:rsid w:val="00AD05B8"/>
    <w:rsid w:val="00AD1176"/>
    <w:rsid w:val="00AE0991"/>
    <w:rsid w:val="00B0500B"/>
    <w:rsid w:val="00B0722C"/>
    <w:rsid w:val="00B11D0A"/>
    <w:rsid w:val="00B167A9"/>
    <w:rsid w:val="00B501B1"/>
    <w:rsid w:val="00B6099C"/>
    <w:rsid w:val="00B61A57"/>
    <w:rsid w:val="00B65C0C"/>
    <w:rsid w:val="00B6603C"/>
    <w:rsid w:val="00B7522F"/>
    <w:rsid w:val="00B80EA0"/>
    <w:rsid w:val="00B95A11"/>
    <w:rsid w:val="00BA294C"/>
    <w:rsid w:val="00BA5CC7"/>
    <w:rsid w:val="00BB0136"/>
    <w:rsid w:val="00BB0407"/>
    <w:rsid w:val="00BC5F7D"/>
    <w:rsid w:val="00BC7380"/>
    <w:rsid w:val="00BD0205"/>
    <w:rsid w:val="00BD26D2"/>
    <w:rsid w:val="00BD4437"/>
    <w:rsid w:val="00BE6D14"/>
    <w:rsid w:val="00BE6E79"/>
    <w:rsid w:val="00BE7453"/>
    <w:rsid w:val="00BE7505"/>
    <w:rsid w:val="00BF1C56"/>
    <w:rsid w:val="00BF228B"/>
    <w:rsid w:val="00BF75C5"/>
    <w:rsid w:val="00C06721"/>
    <w:rsid w:val="00C06867"/>
    <w:rsid w:val="00C13EAE"/>
    <w:rsid w:val="00C16FFD"/>
    <w:rsid w:val="00C3272A"/>
    <w:rsid w:val="00C406E6"/>
    <w:rsid w:val="00C4476D"/>
    <w:rsid w:val="00C46436"/>
    <w:rsid w:val="00C46CCE"/>
    <w:rsid w:val="00C561D9"/>
    <w:rsid w:val="00C56C8B"/>
    <w:rsid w:val="00C66404"/>
    <w:rsid w:val="00C74EAF"/>
    <w:rsid w:val="00C75EF2"/>
    <w:rsid w:val="00C776A5"/>
    <w:rsid w:val="00C81622"/>
    <w:rsid w:val="00C83839"/>
    <w:rsid w:val="00C843E6"/>
    <w:rsid w:val="00C846D1"/>
    <w:rsid w:val="00C85E09"/>
    <w:rsid w:val="00C85F8C"/>
    <w:rsid w:val="00C93E50"/>
    <w:rsid w:val="00CA6E35"/>
    <w:rsid w:val="00CB6C43"/>
    <w:rsid w:val="00CE0CF2"/>
    <w:rsid w:val="00CE40F4"/>
    <w:rsid w:val="00CF1CF9"/>
    <w:rsid w:val="00D02B7A"/>
    <w:rsid w:val="00D03188"/>
    <w:rsid w:val="00D07C53"/>
    <w:rsid w:val="00D224F3"/>
    <w:rsid w:val="00D26C6B"/>
    <w:rsid w:val="00D30741"/>
    <w:rsid w:val="00D36BD4"/>
    <w:rsid w:val="00D40122"/>
    <w:rsid w:val="00D5209B"/>
    <w:rsid w:val="00D53CB1"/>
    <w:rsid w:val="00D57A30"/>
    <w:rsid w:val="00D746CB"/>
    <w:rsid w:val="00D74955"/>
    <w:rsid w:val="00DA0462"/>
    <w:rsid w:val="00DA25A6"/>
    <w:rsid w:val="00DA3071"/>
    <w:rsid w:val="00DA71D1"/>
    <w:rsid w:val="00DB03C2"/>
    <w:rsid w:val="00DB3434"/>
    <w:rsid w:val="00DC2933"/>
    <w:rsid w:val="00DC622F"/>
    <w:rsid w:val="00DD3E5B"/>
    <w:rsid w:val="00DD7357"/>
    <w:rsid w:val="00DE0ABA"/>
    <w:rsid w:val="00DE67A5"/>
    <w:rsid w:val="00DE751B"/>
    <w:rsid w:val="00DF65C4"/>
    <w:rsid w:val="00E0045C"/>
    <w:rsid w:val="00E11B67"/>
    <w:rsid w:val="00E138B9"/>
    <w:rsid w:val="00E166BB"/>
    <w:rsid w:val="00E16931"/>
    <w:rsid w:val="00E16AB5"/>
    <w:rsid w:val="00E2508C"/>
    <w:rsid w:val="00E35168"/>
    <w:rsid w:val="00E36E09"/>
    <w:rsid w:val="00E44F71"/>
    <w:rsid w:val="00E45366"/>
    <w:rsid w:val="00E465DA"/>
    <w:rsid w:val="00E559DA"/>
    <w:rsid w:val="00E60FCF"/>
    <w:rsid w:val="00E67838"/>
    <w:rsid w:val="00E77561"/>
    <w:rsid w:val="00E806AB"/>
    <w:rsid w:val="00E8086E"/>
    <w:rsid w:val="00E84D6F"/>
    <w:rsid w:val="00E857C0"/>
    <w:rsid w:val="00E86305"/>
    <w:rsid w:val="00E96D80"/>
    <w:rsid w:val="00EA2CE5"/>
    <w:rsid w:val="00EA71E9"/>
    <w:rsid w:val="00EB10E6"/>
    <w:rsid w:val="00EB4CA0"/>
    <w:rsid w:val="00EC0669"/>
    <w:rsid w:val="00EC2966"/>
    <w:rsid w:val="00EC3471"/>
    <w:rsid w:val="00EC4EFF"/>
    <w:rsid w:val="00EC5AF6"/>
    <w:rsid w:val="00ED14F3"/>
    <w:rsid w:val="00ED668D"/>
    <w:rsid w:val="00EE00B0"/>
    <w:rsid w:val="00EE053C"/>
    <w:rsid w:val="00EE4CDB"/>
    <w:rsid w:val="00EF3111"/>
    <w:rsid w:val="00F00E04"/>
    <w:rsid w:val="00F01B7C"/>
    <w:rsid w:val="00F14921"/>
    <w:rsid w:val="00F1657D"/>
    <w:rsid w:val="00F26471"/>
    <w:rsid w:val="00F3413F"/>
    <w:rsid w:val="00F342F9"/>
    <w:rsid w:val="00F51FF3"/>
    <w:rsid w:val="00F70C4D"/>
    <w:rsid w:val="00F738F8"/>
    <w:rsid w:val="00F80CC4"/>
    <w:rsid w:val="00F80FBD"/>
    <w:rsid w:val="00F8635F"/>
    <w:rsid w:val="00F93CEF"/>
    <w:rsid w:val="00F955C2"/>
    <w:rsid w:val="00F96352"/>
    <w:rsid w:val="00FB421E"/>
    <w:rsid w:val="00FB4FAD"/>
    <w:rsid w:val="00FC2153"/>
    <w:rsid w:val="00FC47CD"/>
    <w:rsid w:val="00FC72EF"/>
    <w:rsid w:val="00FD1C8C"/>
    <w:rsid w:val="00FD4AD1"/>
    <w:rsid w:val="00FD57D7"/>
    <w:rsid w:val="00FE48A4"/>
    <w:rsid w:val="00FE534E"/>
    <w:rsid w:val="00FE6CDC"/>
    <w:rsid w:val="00FF1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B7D49"/>
  <w15:docId w15:val="{6193B7B6-5A1C-436F-B762-4EA4CFF5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657D"/>
    <w:pPr>
      <w:autoSpaceDE w:val="0"/>
      <w:autoSpaceDN w:val="0"/>
      <w:adjustRightInd w:val="0"/>
    </w:pPr>
    <w:rPr>
      <w:rFonts w:ascii="Gothic720 BT" w:hAnsi="Gothic720 BT" w:cs="Gothic720 BT"/>
      <w:color w:val="000000"/>
      <w:sz w:val="24"/>
      <w:szCs w:val="24"/>
    </w:rPr>
  </w:style>
  <w:style w:type="paragraph" w:customStyle="1" w:styleId="Pa15">
    <w:name w:val="Pa15"/>
    <w:basedOn w:val="Default"/>
    <w:next w:val="Default"/>
    <w:uiPriority w:val="99"/>
    <w:rsid w:val="00F1657D"/>
    <w:pPr>
      <w:spacing w:line="181" w:lineRule="atLeast"/>
    </w:pPr>
    <w:rPr>
      <w:rFonts w:cs="Times New Roman"/>
      <w:color w:val="auto"/>
    </w:rPr>
  </w:style>
  <w:style w:type="paragraph" w:customStyle="1" w:styleId="Pa16">
    <w:name w:val="Pa16"/>
    <w:basedOn w:val="Default"/>
    <w:next w:val="Default"/>
    <w:uiPriority w:val="99"/>
    <w:rsid w:val="00F1657D"/>
    <w:pPr>
      <w:spacing w:line="181" w:lineRule="atLeast"/>
    </w:pPr>
    <w:rPr>
      <w:rFonts w:cs="Times New Roman"/>
      <w:color w:val="auto"/>
    </w:rPr>
  </w:style>
  <w:style w:type="paragraph" w:styleId="ListParagraph">
    <w:name w:val="List Paragraph"/>
    <w:basedOn w:val="Normal"/>
    <w:uiPriority w:val="34"/>
    <w:qFormat/>
    <w:rsid w:val="00DB3434"/>
    <w:pPr>
      <w:ind w:left="720"/>
      <w:contextualSpacing/>
    </w:pPr>
  </w:style>
  <w:style w:type="character" w:styleId="Strong">
    <w:name w:val="Strong"/>
    <w:basedOn w:val="DefaultParagraphFont"/>
    <w:qFormat/>
    <w:rsid w:val="00E806AB"/>
    <w:rPr>
      <w:b/>
      <w:bCs/>
    </w:rPr>
  </w:style>
  <w:style w:type="paragraph" w:customStyle="1" w:styleId="Pa0">
    <w:name w:val="Pa0"/>
    <w:basedOn w:val="Default"/>
    <w:next w:val="Default"/>
    <w:uiPriority w:val="99"/>
    <w:rsid w:val="00705A60"/>
    <w:pPr>
      <w:spacing w:line="171" w:lineRule="atLeast"/>
    </w:pPr>
    <w:rPr>
      <w:rFonts w:ascii="DIN Next W1G Light" w:hAnsi="DIN Next W1G Light" w:cs="Times New Roman"/>
      <w:color w:val="auto"/>
    </w:rPr>
  </w:style>
  <w:style w:type="paragraph" w:customStyle="1" w:styleId="Pa6">
    <w:name w:val="Pa6"/>
    <w:basedOn w:val="Default"/>
    <w:next w:val="Default"/>
    <w:uiPriority w:val="99"/>
    <w:rsid w:val="00705A60"/>
    <w:pPr>
      <w:spacing w:line="361" w:lineRule="atLeast"/>
    </w:pPr>
    <w:rPr>
      <w:rFonts w:ascii="DIN Next W1G Medium" w:hAnsi="DIN Next W1G Medium"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842587">
      <w:bodyDiv w:val="1"/>
      <w:marLeft w:val="0"/>
      <w:marRight w:val="0"/>
      <w:marTop w:val="0"/>
      <w:marBottom w:val="0"/>
      <w:divBdr>
        <w:top w:val="none" w:sz="0" w:space="0" w:color="auto"/>
        <w:left w:val="none" w:sz="0" w:space="0" w:color="auto"/>
        <w:bottom w:val="none" w:sz="0" w:space="0" w:color="auto"/>
        <w:right w:val="none" w:sz="0" w:space="0" w:color="auto"/>
      </w:divBdr>
      <w:divsChild>
        <w:div w:id="1837189611">
          <w:marLeft w:val="4350"/>
          <w:marRight w:val="0"/>
          <w:marTop w:val="825"/>
          <w:marBottom w:val="0"/>
          <w:divBdr>
            <w:top w:val="none" w:sz="0" w:space="0" w:color="auto"/>
            <w:left w:val="single" w:sz="6" w:space="15" w:color="000000"/>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736</Words>
  <Characters>3630</Characters>
  <Application>Microsoft Office Word</Application>
  <DocSecurity>0</DocSecurity>
  <Lines>72</Lines>
  <Paragraphs>16</Paragraphs>
  <ScaleCrop>false</ScaleCrop>
  <HeadingPairs>
    <vt:vector size="2" baseType="variant">
      <vt:variant>
        <vt:lpstr>Title</vt:lpstr>
      </vt:variant>
      <vt:variant>
        <vt:i4>1</vt:i4>
      </vt:variant>
    </vt:vector>
  </HeadingPairs>
  <TitlesOfParts>
    <vt:vector size="1" baseType="lpstr">
      <vt:lpstr>Copy of all resolutions passed by Experian Group Limited (other than resolutions concerning ordinary business) at its Annual General Meeting held on 18 July 2007</vt:lpstr>
    </vt:vector>
  </TitlesOfParts>
  <Company>Experian Ltd</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all resolutions passed by Experian Group Limited (other than resolutions concerning ordinary business) at its Annual General Meeting held on 18 July 2007</dc:title>
  <dc:creator>Ronan Hanna</dc:creator>
  <cp:lastModifiedBy>Sugrue, Siobhan</cp:lastModifiedBy>
  <cp:revision>3</cp:revision>
  <cp:lastPrinted>2013-07-17T13:45:00Z</cp:lastPrinted>
  <dcterms:created xsi:type="dcterms:W3CDTF">2026-06-15T07:41:00Z</dcterms:created>
  <dcterms:modified xsi:type="dcterms:W3CDTF">2026-07-15T13:45:00Z</dcterms:modified>
</cp:coreProperties>
</file>