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Look w:val="04A0" w:firstRow="1" w:lastRow="0" w:firstColumn="1" w:lastColumn="0" w:noHBand="0" w:noVBand="1"/>
      </w:tblPr>
      <w:tblGrid>
        <w:gridCol w:w="10065"/>
      </w:tblGrid>
      <w:tr w:rsidR="00BA7BB7" w:rsidRPr="00DE6E92" w14:paraId="33E55C7E" w14:textId="77777777" w:rsidTr="004803CF">
        <w:tc>
          <w:tcPr>
            <w:tcW w:w="10065" w:type="dxa"/>
            <w:tcBorders>
              <w:top w:val="nil"/>
              <w:left w:val="nil"/>
              <w:bottom w:val="nil"/>
              <w:right w:val="nil"/>
            </w:tcBorders>
            <w:shd w:val="clear" w:color="auto" w:fill="auto"/>
            <w:hideMark/>
          </w:tcPr>
          <w:p w14:paraId="4BB714D5" w14:textId="77777777" w:rsidR="004803CF" w:rsidRDefault="00B146FE" w:rsidP="004803CF">
            <w:pPr>
              <w:jc w:val="center"/>
              <w:rPr>
                <w:rFonts w:ascii="Arial" w:hAnsi="Arial" w:cs="Arial"/>
                <w:b/>
                <w:sz w:val="20"/>
                <w:szCs w:val="20"/>
              </w:rPr>
            </w:pPr>
            <w:r>
              <w:rPr>
                <w:rFonts w:ascii="Arial" w:hAnsi="Arial" w:cs="Arial"/>
                <w:b/>
                <w:sz w:val="20"/>
                <w:szCs w:val="20"/>
              </w:rPr>
              <w:t>FIDELITY</w:t>
            </w:r>
            <w:r w:rsidR="008E1C90" w:rsidRPr="00DC43B8">
              <w:rPr>
                <w:rFonts w:ascii="Arial" w:hAnsi="Arial" w:cs="Arial"/>
                <w:b/>
                <w:sz w:val="20"/>
                <w:szCs w:val="20"/>
              </w:rPr>
              <w:t xml:space="preserve"> EMERGING MA</w:t>
            </w:r>
            <w:r w:rsidR="004F1396">
              <w:rPr>
                <w:rFonts w:ascii="Arial" w:hAnsi="Arial" w:cs="Arial"/>
                <w:b/>
                <w:sz w:val="20"/>
                <w:szCs w:val="20"/>
              </w:rPr>
              <w:t>RKE</w:t>
            </w:r>
            <w:r>
              <w:rPr>
                <w:rFonts w:ascii="Arial" w:hAnsi="Arial" w:cs="Arial"/>
                <w:b/>
                <w:sz w:val="20"/>
                <w:szCs w:val="20"/>
              </w:rPr>
              <w:t xml:space="preserve">TS </w:t>
            </w:r>
            <w:r w:rsidR="004F1396">
              <w:rPr>
                <w:rFonts w:ascii="Arial" w:hAnsi="Arial" w:cs="Arial"/>
                <w:b/>
                <w:sz w:val="20"/>
                <w:szCs w:val="20"/>
              </w:rPr>
              <w:t xml:space="preserve">LIMITED </w:t>
            </w:r>
          </w:p>
          <w:p w14:paraId="525C2431" w14:textId="298E3230" w:rsidR="00BA7BB7" w:rsidRPr="00DC43B8" w:rsidRDefault="004F1396" w:rsidP="004803CF">
            <w:pPr>
              <w:jc w:val="center"/>
              <w:rPr>
                <w:rFonts w:ascii="Arial" w:hAnsi="Arial" w:cs="Arial"/>
                <w:b/>
                <w:sz w:val="20"/>
                <w:szCs w:val="20"/>
              </w:rPr>
            </w:pPr>
            <w:r>
              <w:rPr>
                <w:rFonts w:ascii="Arial" w:hAnsi="Arial" w:cs="Arial"/>
                <w:b/>
                <w:sz w:val="20"/>
                <w:szCs w:val="20"/>
              </w:rPr>
              <w:t>(the ‘</w:t>
            </w:r>
            <w:r w:rsidR="00B146FE">
              <w:rPr>
                <w:rFonts w:ascii="Arial" w:hAnsi="Arial" w:cs="Arial"/>
                <w:b/>
                <w:sz w:val="20"/>
                <w:szCs w:val="20"/>
              </w:rPr>
              <w:t>Company</w:t>
            </w:r>
            <w:r w:rsidR="008E1C90" w:rsidRPr="00DC43B8">
              <w:rPr>
                <w:rFonts w:ascii="Arial" w:hAnsi="Arial" w:cs="Arial"/>
                <w:b/>
                <w:sz w:val="20"/>
                <w:szCs w:val="20"/>
              </w:rPr>
              <w:t>’</w:t>
            </w:r>
            <w:r w:rsidR="004803CF">
              <w:rPr>
                <w:rFonts w:ascii="Arial" w:hAnsi="Arial" w:cs="Arial"/>
                <w:b/>
                <w:sz w:val="20"/>
                <w:szCs w:val="20"/>
              </w:rPr>
              <w:t xml:space="preserve"> or ‘Fund’</w:t>
            </w:r>
            <w:r w:rsidR="008E1C90" w:rsidRPr="00DC43B8">
              <w:rPr>
                <w:rFonts w:ascii="Arial" w:hAnsi="Arial" w:cs="Arial"/>
                <w:b/>
                <w:sz w:val="20"/>
                <w:szCs w:val="20"/>
              </w:rPr>
              <w:t>)</w:t>
            </w:r>
          </w:p>
        </w:tc>
      </w:tr>
    </w:tbl>
    <w:p w14:paraId="011A2ECF" w14:textId="77777777" w:rsidR="00BA7BB7" w:rsidRPr="00DE6E92" w:rsidRDefault="00BA7BB7" w:rsidP="00DE6E92">
      <w:pPr>
        <w:spacing w:after="0" w:line="240" w:lineRule="auto"/>
        <w:rPr>
          <w:rFonts w:ascii="Arial" w:hAnsi="Arial" w:cs="Arial"/>
          <w:sz w:val="20"/>
          <w:szCs w:val="20"/>
        </w:rPr>
      </w:pPr>
    </w:p>
    <w:tbl>
      <w:tblPr>
        <w:tblStyle w:val="TableGrid"/>
        <w:tblW w:w="10065" w:type="dxa"/>
        <w:tblLook w:val="04A0" w:firstRow="1" w:lastRow="0" w:firstColumn="1" w:lastColumn="0" w:noHBand="0" w:noVBand="1"/>
      </w:tblPr>
      <w:tblGrid>
        <w:gridCol w:w="10065"/>
      </w:tblGrid>
      <w:tr w:rsidR="00BA7BB7" w:rsidRPr="00DE6E92" w14:paraId="04C76097" w14:textId="77777777" w:rsidTr="004803CF">
        <w:tc>
          <w:tcPr>
            <w:tcW w:w="10065" w:type="dxa"/>
            <w:tcBorders>
              <w:top w:val="single" w:sz="4" w:space="0" w:color="auto"/>
              <w:left w:val="nil"/>
              <w:bottom w:val="single" w:sz="4" w:space="0" w:color="auto"/>
              <w:right w:val="nil"/>
            </w:tcBorders>
          </w:tcPr>
          <w:p w14:paraId="6482774A" w14:textId="77777777" w:rsidR="00BA7BB7" w:rsidRPr="00DE6E92" w:rsidRDefault="00BA7BB7" w:rsidP="004803CF">
            <w:pPr>
              <w:jc w:val="center"/>
              <w:rPr>
                <w:rFonts w:ascii="Arial" w:hAnsi="Arial" w:cs="Arial"/>
                <w:sz w:val="20"/>
                <w:szCs w:val="20"/>
              </w:rPr>
            </w:pPr>
          </w:p>
          <w:p w14:paraId="326F7E97" w14:textId="7E570933" w:rsidR="00A65EF8" w:rsidRPr="000829E1" w:rsidRDefault="009A4356" w:rsidP="004803CF">
            <w:pPr>
              <w:jc w:val="center"/>
              <w:rPr>
                <w:rFonts w:ascii="Arial" w:hAnsi="Arial" w:cs="Arial"/>
                <w:b/>
                <w:sz w:val="20"/>
                <w:szCs w:val="20"/>
              </w:rPr>
            </w:pPr>
            <w:r>
              <w:rPr>
                <w:rFonts w:ascii="Arial" w:hAnsi="Arial" w:cs="Arial"/>
                <w:b/>
                <w:sz w:val="20"/>
                <w:szCs w:val="20"/>
              </w:rPr>
              <w:t>E</w:t>
            </w:r>
            <w:r w:rsidR="00A65EF8">
              <w:rPr>
                <w:rFonts w:ascii="Arial" w:hAnsi="Arial" w:cs="Arial"/>
                <w:b/>
                <w:sz w:val="20"/>
                <w:szCs w:val="20"/>
              </w:rPr>
              <w:t>xtract from the Minutes of the thirty-third</w:t>
            </w:r>
            <w:r w:rsidR="00A65EF8" w:rsidRPr="000829E1">
              <w:rPr>
                <w:rFonts w:ascii="Arial" w:hAnsi="Arial" w:cs="Arial"/>
                <w:b/>
                <w:sz w:val="20"/>
                <w:szCs w:val="20"/>
              </w:rPr>
              <w:t xml:space="preserve"> Annual General Meeting of the shareholders of the </w:t>
            </w:r>
            <w:r w:rsidR="00A65EF8">
              <w:rPr>
                <w:rFonts w:ascii="Arial" w:hAnsi="Arial" w:cs="Arial"/>
                <w:b/>
                <w:sz w:val="20"/>
                <w:szCs w:val="20"/>
              </w:rPr>
              <w:t>Company</w:t>
            </w:r>
            <w:r w:rsidR="00A65EF8" w:rsidRPr="000829E1">
              <w:rPr>
                <w:rFonts w:ascii="Arial" w:hAnsi="Arial" w:cs="Arial"/>
                <w:b/>
                <w:sz w:val="20"/>
                <w:szCs w:val="20"/>
              </w:rPr>
              <w:t xml:space="preserve"> </w:t>
            </w:r>
            <w:r>
              <w:rPr>
                <w:rFonts w:ascii="Arial" w:hAnsi="Arial" w:cs="Arial"/>
                <w:b/>
                <w:sz w:val="20"/>
                <w:szCs w:val="20"/>
              </w:rPr>
              <w:t>h</w:t>
            </w:r>
            <w:r w:rsidR="00A65EF8" w:rsidRPr="000829E1">
              <w:rPr>
                <w:rFonts w:ascii="Arial" w:hAnsi="Arial" w:cs="Arial"/>
                <w:b/>
                <w:sz w:val="20"/>
                <w:szCs w:val="20"/>
              </w:rPr>
              <w:t xml:space="preserve">eld at the </w:t>
            </w:r>
            <w:r w:rsidR="00A65EF8">
              <w:rPr>
                <w:rFonts w:ascii="Arial" w:hAnsi="Arial" w:cs="Arial"/>
                <w:b/>
                <w:sz w:val="20"/>
                <w:szCs w:val="20"/>
              </w:rPr>
              <w:t>Company</w:t>
            </w:r>
            <w:r w:rsidR="00A65EF8" w:rsidRPr="000829E1">
              <w:rPr>
                <w:rFonts w:ascii="Arial" w:hAnsi="Arial" w:cs="Arial"/>
                <w:b/>
                <w:sz w:val="20"/>
                <w:szCs w:val="20"/>
              </w:rPr>
              <w:t>’s registered office</w:t>
            </w:r>
            <w:r w:rsidR="00A65EF8">
              <w:rPr>
                <w:rFonts w:ascii="Arial" w:hAnsi="Arial" w:cs="Arial"/>
                <w:b/>
                <w:sz w:val="20"/>
                <w:szCs w:val="20"/>
              </w:rPr>
              <w:t xml:space="preserve">, </w:t>
            </w:r>
            <w:r w:rsidR="00A65EF8" w:rsidRPr="000829E1">
              <w:rPr>
                <w:rFonts w:ascii="Arial" w:hAnsi="Arial" w:cs="Arial"/>
                <w:b/>
                <w:sz w:val="20"/>
                <w:szCs w:val="20"/>
              </w:rPr>
              <w:t>1</w:t>
            </w:r>
            <w:r w:rsidR="00A65EF8" w:rsidRPr="000829E1">
              <w:rPr>
                <w:rFonts w:ascii="Arial" w:hAnsi="Arial" w:cs="Arial"/>
                <w:b/>
                <w:sz w:val="20"/>
                <w:szCs w:val="20"/>
                <w:vertAlign w:val="superscript"/>
              </w:rPr>
              <w:t>st</w:t>
            </w:r>
            <w:r w:rsidR="00A65EF8" w:rsidRPr="000829E1">
              <w:rPr>
                <w:rFonts w:ascii="Arial" w:hAnsi="Arial" w:cs="Arial"/>
                <w:b/>
                <w:sz w:val="20"/>
                <w:szCs w:val="20"/>
              </w:rPr>
              <w:t xml:space="preserve"> Floor, Les Echelons Court, Les Echelons, South Esplanade, St Peter Port, Guernsey GY1 6JB, Channel Islands on </w:t>
            </w:r>
            <w:r w:rsidR="00A65EF8">
              <w:rPr>
                <w:rFonts w:ascii="Arial" w:hAnsi="Arial" w:cs="Arial"/>
                <w:b/>
                <w:sz w:val="20"/>
                <w:szCs w:val="20"/>
              </w:rPr>
              <w:t>Monday, 12</w:t>
            </w:r>
            <w:r w:rsidR="00A65EF8" w:rsidRPr="005F76DE">
              <w:rPr>
                <w:rFonts w:ascii="Arial" w:hAnsi="Arial" w:cs="Arial"/>
                <w:b/>
                <w:sz w:val="20"/>
                <w:szCs w:val="20"/>
                <w:vertAlign w:val="superscript"/>
              </w:rPr>
              <w:t>th</w:t>
            </w:r>
            <w:r w:rsidR="00A65EF8">
              <w:rPr>
                <w:rFonts w:ascii="Arial" w:hAnsi="Arial" w:cs="Arial"/>
                <w:b/>
                <w:sz w:val="20"/>
                <w:szCs w:val="20"/>
              </w:rPr>
              <w:t xml:space="preserve"> December 2022</w:t>
            </w:r>
            <w:r w:rsidR="00A65EF8" w:rsidRPr="000829E1">
              <w:rPr>
                <w:rFonts w:ascii="Arial" w:hAnsi="Arial" w:cs="Arial"/>
                <w:b/>
                <w:sz w:val="20"/>
                <w:szCs w:val="20"/>
              </w:rPr>
              <w:t xml:space="preserve"> at 1</w:t>
            </w:r>
            <w:r w:rsidR="00A65EF8">
              <w:rPr>
                <w:rFonts w:ascii="Arial" w:hAnsi="Arial" w:cs="Arial"/>
                <w:b/>
                <w:sz w:val="20"/>
                <w:szCs w:val="20"/>
              </w:rPr>
              <w:t>1:00</w:t>
            </w:r>
            <w:r w:rsidR="00A65EF8" w:rsidRPr="000829E1">
              <w:rPr>
                <w:rFonts w:ascii="Arial" w:hAnsi="Arial" w:cs="Arial"/>
                <w:b/>
                <w:sz w:val="20"/>
                <w:szCs w:val="20"/>
              </w:rPr>
              <w:t xml:space="preserve"> a.m.</w:t>
            </w:r>
          </w:p>
          <w:p w14:paraId="09A7C89A" w14:textId="77777777" w:rsidR="00BA7BB7" w:rsidRPr="00DE6E92" w:rsidRDefault="00BA7BB7" w:rsidP="00DE6E92">
            <w:pPr>
              <w:rPr>
                <w:rFonts w:ascii="Arial" w:hAnsi="Arial" w:cs="Arial"/>
                <w:sz w:val="20"/>
                <w:szCs w:val="20"/>
              </w:rPr>
            </w:pPr>
          </w:p>
        </w:tc>
      </w:tr>
    </w:tbl>
    <w:p w14:paraId="6FD12D83" w14:textId="77777777" w:rsidR="00F05D17" w:rsidRDefault="00F05D17" w:rsidP="00EA19C8">
      <w:pPr>
        <w:spacing w:after="0" w:line="240" w:lineRule="auto"/>
        <w:rPr>
          <w:rFonts w:ascii="Arial" w:hAnsi="Arial" w:cs="Arial"/>
          <w:sz w:val="20"/>
          <w:szCs w:val="20"/>
        </w:rPr>
      </w:pPr>
    </w:p>
    <w:p w14:paraId="46CBDE52" w14:textId="77777777" w:rsidR="00D80F25" w:rsidRPr="00DE6E92" w:rsidRDefault="00D80F25" w:rsidP="00EA19C8">
      <w:pPr>
        <w:spacing w:after="0" w:line="240" w:lineRule="auto"/>
        <w:rPr>
          <w:rFonts w:ascii="Arial" w:hAnsi="Arial" w:cs="Arial"/>
          <w:sz w:val="20"/>
          <w:szCs w:val="20"/>
        </w:rPr>
      </w:pPr>
    </w:p>
    <w:tbl>
      <w:tblPr>
        <w:tblStyle w:val="TableGrid"/>
        <w:tblW w:w="10105" w:type="dxa"/>
        <w:tblInd w:w="-142" w:type="dxa"/>
        <w:tblLook w:val="04A0" w:firstRow="1" w:lastRow="0" w:firstColumn="1" w:lastColumn="0" w:noHBand="0" w:noVBand="1"/>
      </w:tblPr>
      <w:tblGrid>
        <w:gridCol w:w="10105"/>
      </w:tblGrid>
      <w:tr w:rsidR="002E2F47" w:rsidRPr="00BB3D2E" w14:paraId="681706AD" w14:textId="77777777" w:rsidTr="004803CF">
        <w:trPr>
          <w:trHeight w:val="3381"/>
        </w:trPr>
        <w:tc>
          <w:tcPr>
            <w:tcW w:w="10105" w:type="dxa"/>
            <w:tcBorders>
              <w:top w:val="nil"/>
              <w:left w:val="nil"/>
              <w:bottom w:val="nil"/>
              <w:right w:val="nil"/>
            </w:tcBorders>
          </w:tcPr>
          <w:tbl>
            <w:tblPr>
              <w:tblStyle w:val="TableGrid"/>
              <w:tblW w:w="9669" w:type="dxa"/>
              <w:tblLook w:val="04A0" w:firstRow="1" w:lastRow="0" w:firstColumn="1" w:lastColumn="0" w:noHBand="0" w:noVBand="1"/>
            </w:tblPr>
            <w:tblGrid>
              <w:gridCol w:w="9855"/>
            </w:tblGrid>
            <w:tr w:rsidR="00A65EF8" w:rsidRPr="00885A9C" w14:paraId="6802BA42" w14:textId="77777777" w:rsidTr="004803CF">
              <w:trPr>
                <w:trHeight w:val="71"/>
              </w:trPr>
              <w:tc>
                <w:tcPr>
                  <w:tcW w:w="9669" w:type="dxa"/>
                  <w:tcBorders>
                    <w:top w:val="nil"/>
                    <w:left w:val="nil"/>
                    <w:bottom w:val="nil"/>
                    <w:right w:val="nil"/>
                  </w:tcBorders>
                </w:tcPr>
                <w:p w14:paraId="6F0D304C" w14:textId="77777777" w:rsidR="00A65EF8" w:rsidRPr="00885A9C" w:rsidRDefault="00A65EF8" w:rsidP="00A65EF8">
                  <w:pPr>
                    <w:rPr>
                      <w:rFonts w:ascii="Arial" w:hAnsi="Arial" w:cs="Arial"/>
                      <w:b/>
                      <w:sz w:val="20"/>
                      <w:szCs w:val="20"/>
                    </w:rPr>
                  </w:pPr>
                  <w:r w:rsidRPr="00885A9C">
                    <w:rPr>
                      <w:rFonts w:ascii="Arial" w:hAnsi="Arial" w:cs="Arial"/>
                      <w:b/>
                      <w:sz w:val="20"/>
                      <w:szCs w:val="20"/>
                    </w:rPr>
                    <w:t xml:space="preserve">Resolution </w:t>
                  </w:r>
                  <w:r>
                    <w:rPr>
                      <w:rFonts w:ascii="Arial" w:hAnsi="Arial" w:cs="Arial"/>
                      <w:b/>
                      <w:sz w:val="20"/>
                      <w:szCs w:val="20"/>
                    </w:rPr>
                    <w:t xml:space="preserve">12 </w:t>
                  </w:r>
                  <w:r w:rsidRPr="002F7816">
                    <w:rPr>
                      <w:rFonts w:ascii="Arial" w:hAnsi="Arial" w:cs="Arial"/>
                      <w:sz w:val="20"/>
                      <w:szCs w:val="20"/>
                    </w:rPr>
                    <w:t>(special resolution)</w:t>
                  </w:r>
                </w:p>
              </w:tc>
            </w:tr>
            <w:tr w:rsidR="00A65EF8" w:rsidRPr="00885A9C" w14:paraId="4AD81E36" w14:textId="77777777" w:rsidTr="004803CF">
              <w:trPr>
                <w:trHeight w:val="62"/>
              </w:trPr>
              <w:tc>
                <w:tcPr>
                  <w:tcW w:w="9669" w:type="dxa"/>
                  <w:tcBorders>
                    <w:top w:val="nil"/>
                    <w:left w:val="nil"/>
                    <w:bottom w:val="nil"/>
                    <w:right w:val="nil"/>
                  </w:tcBorders>
                </w:tcPr>
                <w:p w14:paraId="4BB0707C" w14:textId="77777777" w:rsidR="00A65EF8" w:rsidRPr="00885A9C" w:rsidRDefault="00A65EF8" w:rsidP="00A65EF8">
                  <w:pPr>
                    <w:rPr>
                      <w:rFonts w:ascii="Arial" w:hAnsi="Arial" w:cs="Arial"/>
                      <w:b/>
                      <w:sz w:val="20"/>
                      <w:szCs w:val="20"/>
                    </w:rPr>
                  </w:pPr>
                </w:p>
              </w:tc>
            </w:tr>
            <w:tr w:rsidR="00A65EF8" w:rsidRPr="00B04044" w14:paraId="3D939D15" w14:textId="77777777" w:rsidTr="004803CF">
              <w:trPr>
                <w:trHeight w:val="3246"/>
              </w:trPr>
              <w:tc>
                <w:tcPr>
                  <w:tcW w:w="9669" w:type="dxa"/>
                  <w:tcBorders>
                    <w:top w:val="nil"/>
                    <w:left w:val="nil"/>
                    <w:bottom w:val="nil"/>
                    <w:right w:val="nil"/>
                  </w:tcBorders>
                </w:tcPr>
                <w:p w14:paraId="600BDD4D" w14:textId="58A7B7D1" w:rsidR="00A65EF8" w:rsidRPr="00DD59AF" w:rsidRDefault="00A65EF8" w:rsidP="00A65EF8">
                  <w:pPr>
                    <w:jc w:val="both"/>
                    <w:rPr>
                      <w:rFonts w:ascii="Arial" w:hAnsi="Arial" w:cs="Arial"/>
                      <w:b/>
                      <w:sz w:val="20"/>
                      <w:szCs w:val="20"/>
                    </w:rPr>
                  </w:pPr>
                  <w:r>
                    <w:rPr>
                      <w:rFonts w:ascii="Arial" w:hAnsi="Arial" w:cs="Arial"/>
                      <w:b/>
                      <w:sz w:val="20"/>
                      <w:szCs w:val="20"/>
                    </w:rPr>
                    <w:t xml:space="preserve">IT WAS FURTHER RESOLVED </w:t>
                  </w:r>
                  <w:r w:rsidR="004803CF">
                    <w:rPr>
                      <w:rFonts w:ascii="Arial" w:hAnsi="Arial" w:cs="Arial"/>
                      <w:b/>
                      <w:sz w:val="20"/>
                      <w:szCs w:val="20"/>
                    </w:rPr>
                    <w:t xml:space="preserve">THAT, </w:t>
                  </w:r>
                  <w:r w:rsidRPr="000829E1">
                    <w:rPr>
                      <w:rFonts w:ascii="Arial" w:hAnsi="Arial" w:cs="Arial"/>
                      <w:sz w:val="20"/>
                      <w:szCs w:val="20"/>
                      <w:lang w:val="en-US"/>
                    </w:rPr>
                    <w:t xml:space="preserve">in substitution for the </w:t>
                  </w:r>
                  <w:r>
                    <w:rPr>
                      <w:rFonts w:ascii="Arial" w:hAnsi="Arial" w:cs="Arial"/>
                      <w:sz w:val="20"/>
                      <w:szCs w:val="20"/>
                      <w:lang w:val="en-US"/>
                    </w:rPr>
                    <w:t>Company</w:t>
                  </w:r>
                  <w:r w:rsidRPr="000829E1">
                    <w:rPr>
                      <w:rFonts w:ascii="Arial" w:hAnsi="Arial" w:cs="Arial"/>
                      <w:sz w:val="20"/>
                      <w:szCs w:val="20"/>
                      <w:lang w:val="en-US"/>
                    </w:rPr>
                    <w:t xml:space="preserve">’s existing authority to make market purchases of Participating Preference Shares, the </w:t>
                  </w:r>
                  <w:r>
                    <w:rPr>
                      <w:rFonts w:ascii="Arial" w:hAnsi="Arial" w:cs="Arial"/>
                      <w:sz w:val="20"/>
                      <w:szCs w:val="20"/>
                      <w:lang w:val="en-US"/>
                    </w:rPr>
                    <w:t>Company</w:t>
                  </w:r>
                  <w:r w:rsidRPr="000829E1">
                    <w:rPr>
                      <w:rFonts w:ascii="Arial" w:hAnsi="Arial" w:cs="Arial"/>
                      <w:sz w:val="20"/>
                      <w:szCs w:val="20"/>
                      <w:lang w:val="en-US"/>
                    </w:rPr>
                    <w:t xml:space="preserve"> is hereby authorised to make market purchases of Participating Preference Shares provided that:</w:t>
                  </w:r>
                </w:p>
                <w:p w14:paraId="4235AB17" w14:textId="77777777" w:rsidR="00A65EF8" w:rsidRPr="000829E1" w:rsidRDefault="00A65EF8" w:rsidP="00A65EF8">
                  <w:pPr>
                    <w:autoSpaceDE w:val="0"/>
                    <w:autoSpaceDN w:val="0"/>
                    <w:adjustRightInd w:val="0"/>
                    <w:jc w:val="both"/>
                    <w:rPr>
                      <w:rFonts w:ascii="Arial" w:hAnsi="Arial" w:cs="Arial"/>
                      <w:sz w:val="20"/>
                      <w:szCs w:val="20"/>
                      <w:lang w:val="en-US"/>
                    </w:rPr>
                  </w:pPr>
                </w:p>
                <w:p w14:paraId="1FF15C36" w14:textId="77777777" w:rsidR="00A65EF8" w:rsidRPr="000829E1" w:rsidRDefault="00A65EF8" w:rsidP="00A65EF8">
                  <w:pPr>
                    <w:pStyle w:val="ListParagraph"/>
                    <w:numPr>
                      <w:ilvl w:val="0"/>
                      <w:numId w:val="14"/>
                    </w:numPr>
                    <w:autoSpaceDE w:val="0"/>
                    <w:autoSpaceDN w:val="0"/>
                    <w:adjustRightInd w:val="0"/>
                    <w:ind w:left="432" w:hanging="450"/>
                    <w:jc w:val="both"/>
                    <w:rPr>
                      <w:rFonts w:ascii="Arial" w:hAnsi="Arial" w:cs="Arial"/>
                      <w:sz w:val="20"/>
                      <w:szCs w:val="20"/>
                      <w:lang w:val="en-US"/>
                    </w:rPr>
                  </w:pPr>
                  <w:r w:rsidRPr="000829E1">
                    <w:rPr>
                      <w:rFonts w:ascii="Arial" w:hAnsi="Arial" w:cs="Arial"/>
                      <w:sz w:val="20"/>
                      <w:szCs w:val="20"/>
                      <w:lang w:val="en-US"/>
                    </w:rPr>
                    <w:t>the maximum number of Participating Preference Shares hereby authorised</w:t>
                  </w:r>
                  <w:r>
                    <w:rPr>
                      <w:rFonts w:ascii="Arial" w:hAnsi="Arial" w:cs="Arial"/>
                      <w:sz w:val="20"/>
                      <w:szCs w:val="20"/>
                      <w:lang w:val="en-US"/>
                    </w:rPr>
                    <w:t xml:space="preserve"> to be purchased shall be 13,655,899;</w:t>
                  </w:r>
                </w:p>
                <w:p w14:paraId="096B48B4" w14:textId="77777777" w:rsidR="00A65EF8" w:rsidRPr="000829E1" w:rsidRDefault="00A65EF8" w:rsidP="00A65EF8">
                  <w:pPr>
                    <w:pStyle w:val="ListParagraph"/>
                    <w:autoSpaceDE w:val="0"/>
                    <w:autoSpaceDN w:val="0"/>
                    <w:adjustRightInd w:val="0"/>
                    <w:ind w:left="432" w:hanging="450"/>
                    <w:jc w:val="both"/>
                    <w:rPr>
                      <w:rFonts w:ascii="Arial" w:hAnsi="Arial" w:cs="Arial"/>
                      <w:sz w:val="20"/>
                      <w:szCs w:val="20"/>
                      <w:lang w:val="en-US"/>
                    </w:rPr>
                  </w:pPr>
                </w:p>
                <w:p w14:paraId="73D0E6FF" w14:textId="77777777" w:rsidR="00A65EF8" w:rsidRPr="000829E1" w:rsidRDefault="00A65EF8" w:rsidP="00A65EF8">
                  <w:pPr>
                    <w:pStyle w:val="ListParagraph"/>
                    <w:numPr>
                      <w:ilvl w:val="0"/>
                      <w:numId w:val="14"/>
                    </w:numPr>
                    <w:autoSpaceDE w:val="0"/>
                    <w:autoSpaceDN w:val="0"/>
                    <w:adjustRightInd w:val="0"/>
                    <w:ind w:left="432" w:hanging="450"/>
                    <w:jc w:val="both"/>
                    <w:rPr>
                      <w:rFonts w:ascii="Arial" w:hAnsi="Arial" w:cs="Arial"/>
                      <w:sz w:val="20"/>
                      <w:szCs w:val="20"/>
                      <w:lang w:val="en-US"/>
                    </w:rPr>
                  </w:pPr>
                  <w:r w:rsidRPr="000829E1">
                    <w:rPr>
                      <w:rFonts w:ascii="Arial" w:hAnsi="Arial" w:cs="Arial"/>
                      <w:sz w:val="20"/>
                      <w:szCs w:val="20"/>
                      <w:lang w:val="en-US"/>
                    </w:rPr>
                    <w:t>the maximum price which may be paid for a Participating Preference Share is an amount equal to 105% of the average of the middle market quotations for a Participating Preference Share taken from the London Stock Exchange Daily Official List for the five business days immediately preceding the day on which the Participating Preference Share is purchased;</w:t>
                  </w:r>
                </w:p>
                <w:p w14:paraId="303ABB06" w14:textId="77777777" w:rsidR="00A65EF8" w:rsidRPr="000829E1" w:rsidRDefault="00A65EF8" w:rsidP="00A65EF8">
                  <w:pPr>
                    <w:pStyle w:val="ListParagraph"/>
                    <w:ind w:left="432" w:hanging="450"/>
                    <w:jc w:val="both"/>
                    <w:rPr>
                      <w:rFonts w:ascii="Arial" w:hAnsi="Arial" w:cs="Arial"/>
                      <w:sz w:val="20"/>
                      <w:szCs w:val="20"/>
                      <w:lang w:val="en-US"/>
                    </w:rPr>
                  </w:pPr>
                </w:p>
                <w:p w14:paraId="5825AEB8" w14:textId="0786A88F" w:rsidR="00A65EF8" w:rsidRDefault="00A65EF8" w:rsidP="00A65EF8">
                  <w:pPr>
                    <w:pStyle w:val="ListParagraph"/>
                    <w:numPr>
                      <w:ilvl w:val="0"/>
                      <w:numId w:val="14"/>
                    </w:numPr>
                    <w:autoSpaceDE w:val="0"/>
                    <w:autoSpaceDN w:val="0"/>
                    <w:adjustRightInd w:val="0"/>
                    <w:ind w:left="432" w:hanging="450"/>
                    <w:jc w:val="both"/>
                    <w:rPr>
                      <w:rFonts w:ascii="Arial" w:hAnsi="Arial" w:cs="Arial"/>
                      <w:sz w:val="20"/>
                      <w:szCs w:val="20"/>
                      <w:lang w:val="en-US"/>
                    </w:rPr>
                  </w:pPr>
                  <w:r w:rsidRPr="000829E1">
                    <w:rPr>
                      <w:rFonts w:ascii="Arial" w:hAnsi="Arial" w:cs="Arial"/>
                      <w:sz w:val="20"/>
                      <w:szCs w:val="20"/>
                      <w:lang w:val="en-US"/>
                    </w:rPr>
                    <w:t>the authority hereby conferred shall expire at the conclusion of the Annual General Meeting o</w:t>
                  </w:r>
                  <w:r>
                    <w:rPr>
                      <w:rFonts w:ascii="Arial" w:hAnsi="Arial" w:cs="Arial"/>
                      <w:sz w:val="20"/>
                      <w:szCs w:val="20"/>
                      <w:lang w:val="en-US"/>
                    </w:rPr>
                    <w:t>f the Company to be held in 2023</w:t>
                  </w:r>
                  <w:r w:rsidRPr="000829E1">
                    <w:rPr>
                      <w:rFonts w:ascii="Arial" w:hAnsi="Arial" w:cs="Arial"/>
                      <w:sz w:val="20"/>
                      <w:szCs w:val="20"/>
                      <w:lang w:val="en-US"/>
                    </w:rPr>
                    <w:t xml:space="preserve"> unless such authority is renewed prior to such time; and</w:t>
                  </w:r>
                </w:p>
                <w:p w14:paraId="38ACA502" w14:textId="77777777" w:rsidR="00A65EF8" w:rsidRPr="00B146FE" w:rsidRDefault="00A65EF8" w:rsidP="00A65EF8">
                  <w:pPr>
                    <w:pStyle w:val="ListParagraph"/>
                    <w:rPr>
                      <w:rFonts w:ascii="Arial" w:hAnsi="Arial" w:cs="Arial"/>
                      <w:sz w:val="20"/>
                      <w:szCs w:val="20"/>
                      <w:lang w:val="en-US"/>
                    </w:rPr>
                  </w:pPr>
                </w:p>
                <w:p w14:paraId="5243013C" w14:textId="77777777" w:rsidR="00A65EF8" w:rsidRPr="00B146FE" w:rsidRDefault="00A65EF8" w:rsidP="00A65EF8">
                  <w:pPr>
                    <w:pStyle w:val="ListParagraph"/>
                    <w:numPr>
                      <w:ilvl w:val="0"/>
                      <w:numId w:val="14"/>
                    </w:numPr>
                    <w:autoSpaceDE w:val="0"/>
                    <w:autoSpaceDN w:val="0"/>
                    <w:adjustRightInd w:val="0"/>
                    <w:ind w:left="432" w:hanging="450"/>
                    <w:jc w:val="both"/>
                    <w:rPr>
                      <w:rFonts w:ascii="Arial" w:hAnsi="Arial" w:cs="Arial"/>
                      <w:sz w:val="20"/>
                      <w:szCs w:val="20"/>
                      <w:lang w:val="en-US"/>
                    </w:rPr>
                  </w:pPr>
                  <w:r w:rsidRPr="00B146FE">
                    <w:rPr>
                      <w:rFonts w:ascii="Arial" w:hAnsi="Arial" w:cs="Arial"/>
                      <w:sz w:val="20"/>
                      <w:szCs w:val="20"/>
                      <w:lang w:val="en-US"/>
                    </w:rPr>
                    <w:t xml:space="preserve">the </w:t>
                  </w:r>
                  <w:r>
                    <w:rPr>
                      <w:rFonts w:ascii="Arial" w:hAnsi="Arial" w:cs="Arial"/>
                      <w:sz w:val="20"/>
                      <w:szCs w:val="20"/>
                      <w:lang w:val="en-US"/>
                    </w:rPr>
                    <w:t>Company</w:t>
                  </w:r>
                  <w:r w:rsidRPr="00B146FE">
                    <w:rPr>
                      <w:rFonts w:ascii="Arial" w:hAnsi="Arial" w:cs="Arial"/>
                      <w:sz w:val="20"/>
                      <w:szCs w:val="20"/>
                      <w:lang w:val="en-US"/>
                    </w:rPr>
                    <w:t xml:space="preserve"> may make a contract to purchase Participating Preference Shares under the authority hereby conferred prior to the expiry of such authority which will or may be executed wholly or partly after the expiration of such authority and may make a purchase of Participating Preference Shares pursuant to any such contract.</w:t>
                  </w:r>
                </w:p>
                <w:p w14:paraId="47FB99BC" w14:textId="77777777" w:rsidR="00A65EF8" w:rsidRDefault="00A65EF8" w:rsidP="00525327">
                  <w:pPr>
                    <w:autoSpaceDE w:val="0"/>
                    <w:autoSpaceDN w:val="0"/>
                    <w:adjustRightInd w:val="0"/>
                    <w:jc w:val="both"/>
                    <w:rPr>
                      <w:rFonts w:ascii="Arial" w:hAnsi="Arial" w:cs="Arial"/>
                      <w:sz w:val="20"/>
                      <w:szCs w:val="20"/>
                      <w:lang w:val="en-US"/>
                    </w:rPr>
                  </w:pPr>
                </w:p>
                <w:tbl>
                  <w:tblPr>
                    <w:tblStyle w:val="TableGrid"/>
                    <w:tblpPr w:leftFromText="180" w:rightFromText="180" w:vertAnchor="text" w:tblpY="1"/>
                    <w:tblOverlap w:val="never"/>
                    <w:tblW w:w="9639" w:type="dxa"/>
                    <w:tblLook w:val="04A0" w:firstRow="1" w:lastRow="0" w:firstColumn="1" w:lastColumn="0" w:noHBand="0" w:noVBand="1"/>
                  </w:tblPr>
                  <w:tblGrid>
                    <w:gridCol w:w="9639"/>
                  </w:tblGrid>
                  <w:tr w:rsidR="00525327" w:rsidRPr="000829E1" w14:paraId="334350C2" w14:textId="77777777" w:rsidTr="004803CF">
                    <w:trPr>
                      <w:trHeight w:val="1106"/>
                    </w:trPr>
                    <w:tc>
                      <w:tcPr>
                        <w:tcW w:w="9639" w:type="dxa"/>
                        <w:tcBorders>
                          <w:top w:val="nil"/>
                          <w:left w:val="nil"/>
                          <w:bottom w:val="nil"/>
                          <w:right w:val="nil"/>
                        </w:tcBorders>
                      </w:tcPr>
                      <w:p w14:paraId="5AF5BD85" w14:textId="77777777" w:rsidR="00525327" w:rsidRDefault="00525327" w:rsidP="00525327">
                        <w:pPr>
                          <w:rPr>
                            <w:rFonts w:ascii="Arial" w:hAnsi="Arial" w:cs="Arial"/>
                            <w:b/>
                            <w:bCs/>
                            <w:sz w:val="20"/>
                            <w:szCs w:val="20"/>
                          </w:rPr>
                        </w:pPr>
                      </w:p>
                      <w:p w14:paraId="2074708F" w14:textId="77777777" w:rsidR="00525327" w:rsidRDefault="00525327" w:rsidP="00525327">
                        <w:pPr>
                          <w:rPr>
                            <w:rFonts w:ascii="Arial" w:hAnsi="Arial" w:cs="Arial"/>
                            <w:sz w:val="20"/>
                            <w:szCs w:val="20"/>
                          </w:rPr>
                        </w:pPr>
                        <w:r w:rsidRPr="004D6668">
                          <w:rPr>
                            <w:rFonts w:ascii="Arial" w:hAnsi="Arial" w:cs="Arial"/>
                            <w:b/>
                            <w:bCs/>
                            <w:sz w:val="20"/>
                            <w:szCs w:val="20"/>
                          </w:rPr>
                          <w:t>Resolution 13</w:t>
                        </w:r>
                        <w:r>
                          <w:rPr>
                            <w:rFonts w:ascii="Arial" w:hAnsi="Arial" w:cs="Arial"/>
                            <w:sz w:val="20"/>
                            <w:szCs w:val="20"/>
                          </w:rPr>
                          <w:t xml:space="preserve"> (special resolution)</w:t>
                        </w:r>
                      </w:p>
                      <w:p w14:paraId="2E0EDE3D" w14:textId="77777777" w:rsidR="00525327" w:rsidRDefault="00525327" w:rsidP="00525327">
                        <w:pPr>
                          <w:rPr>
                            <w:rFonts w:ascii="Arial" w:hAnsi="Arial" w:cs="Arial"/>
                            <w:sz w:val="20"/>
                            <w:szCs w:val="20"/>
                          </w:rPr>
                        </w:pPr>
                      </w:p>
                      <w:p w14:paraId="71AD0A32" w14:textId="38727850" w:rsidR="004803CF" w:rsidRPr="004803CF" w:rsidRDefault="00525327" w:rsidP="004803CF">
                        <w:pPr>
                          <w:jc w:val="both"/>
                          <w:rPr>
                            <w:rFonts w:ascii="Arial" w:hAnsi="Arial" w:cs="Arial"/>
                            <w:sz w:val="20"/>
                            <w:szCs w:val="20"/>
                          </w:rPr>
                        </w:pPr>
                        <w:r w:rsidRPr="007E1609">
                          <w:rPr>
                            <w:rFonts w:ascii="Arial" w:hAnsi="Arial" w:cs="Arial"/>
                            <w:b/>
                            <w:bCs/>
                            <w:sz w:val="20"/>
                            <w:szCs w:val="20"/>
                          </w:rPr>
                          <w:t>IT WAS RESOLVED</w:t>
                        </w:r>
                        <w:r>
                          <w:rPr>
                            <w:rFonts w:ascii="Arial" w:hAnsi="Arial" w:cs="Arial"/>
                            <w:sz w:val="20"/>
                            <w:szCs w:val="20"/>
                          </w:rPr>
                          <w:t xml:space="preserve"> </w:t>
                        </w:r>
                        <w:r w:rsidR="004803CF" w:rsidRPr="004803CF">
                          <w:rPr>
                            <w:rFonts w:ascii="Arial" w:hAnsi="Arial" w:cs="Arial"/>
                            <w:b/>
                            <w:bCs/>
                            <w:sz w:val="20"/>
                            <w:szCs w:val="20"/>
                          </w:rPr>
                          <w:t>THAT</w:t>
                        </w:r>
                        <w:r w:rsidR="004803CF" w:rsidRPr="004803CF">
                          <w:rPr>
                            <w:rFonts w:ascii="Arial" w:hAnsi="Arial" w:cs="Arial"/>
                            <w:sz w:val="20"/>
                            <w:szCs w:val="20"/>
                          </w:rPr>
                          <w:t>, in accordance with Article 9(4) of the articles of incorporation of the Company (the “Articles”), the Directors be empowered to allot and issue (or sell from treasury) 9,110,006 Participating Preference Shares (being 10 per cent. of the such Shares in issue of each class as at the latest practicable date prior to the date of this notice (excluding shares held</w:t>
                        </w:r>
                      </w:p>
                      <w:p w14:paraId="166D1D39" w14:textId="3543ABDC" w:rsidR="004803CF" w:rsidRDefault="004803CF" w:rsidP="004803CF">
                        <w:pPr>
                          <w:jc w:val="both"/>
                          <w:rPr>
                            <w:rFonts w:ascii="Arial" w:hAnsi="Arial" w:cs="Arial"/>
                            <w:sz w:val="20"/>
                            <w:szCs w:val="20"/>
                          </w:rPr>
                        </w:pPr>
                        <w:r w:rsidRPr="004803CF">
                          <w:rPr>
                            <w:rFonts w:ascii="Arial" w:hAnsi="Arial" w:cs="Arial"/>
                            <w:sz w:val="20"/>
                            <w:szCs w:val="20"/>
                          </w:rPr>
                          <w:t>in treasury)) for cash as if Article 9.4 of the Articles did not apply to the allotment and issue (or sale from treasury) for the period expiring on the date falling fifteen months after the date of passing of this Resolution 14 or the conclusion of the next annual general meeting of the Company, whichever is the earlier, save that the Company may before such expiry make offers or agreements which would or might require shares</w:t>
                        </w:r>
                      </w:p>
                      <w:p w14:paraId="0024F616" w14:textId="77777777" w:rsidR="004803CF" w:rsidRPr="004803CF" w:rsidRDefault="004803CF" w:rsidP="004803CF">
                        <w:pPr>
                          <w:rPr>
                            <w:rFonts w:ascii="Arial" w:hAnsi="Arial" w:cs="Arial"/>
                            <w:sz w:val="20"/>
                            <w:szCs w:val="20"/>
                          </w:rPr>
                        </w:pPr>
                      </w:p>
                      <w:p w14:paraId="4D4AC353" w14:textId="77777777" w:rsidR="00525327" w:rsidRDefault="00525327" w:rsidP="00525327">
                        <w:pPr>
                          <w:rPr>
                            <w:rFonts w:ascii="Arial" w:hAnsi="Arial" w:cs="Arial"/>
                            <w:sz w:val="20"/>
                            <w:szCs w:val="20"/>
                          </w:rPr>
                        </w:pPr>
                      </w:p>
                      <w:p w14:paraId="48342483" w14:textId="77777777" w:rsidR="00525327" w:rsidRDefault="00525327" w:rsidP="00525327">
                        <w:pPr>
                          <w:rPr>
                            <w:rFonts w:ascii="Arial" w:hAnsi="Arial" w:cs="Arial"/>
                            <w:sz w:val="20"/>
                            <w:szCs w:val="20"/>
                          </w:rPr>
                        </w:pPr>
                      </w:p>
                      <w:p w14:paraId="3270FA69" w14:textId="26A09B1B" w:rsidR="00525327" w:rsidRPr="000829E1" w:rsidRDefault="00525327" w:rsidP="004803CF">
                        <w:pPr>
                          <w:rPr>
                            <w:rFonts w:ascii="Arial" w:hAnsi="Arial" w:cs="Arial"/>
                            <w:sz w:val="20"/>
                            <w:szCs w:val="20"/>
                          </w:rPr>
                        </w:pPr>
                        <w:r w:rsidRPr="004D6668">
                          <w:rPr>
                            <w:rFonts w:ascii="Arial" w:hAnsi="Arial" w:cs="Arial"/>
                            <w:b/>
                            <w:bCs/>
                            <w:sz w:val="20"/>
                            <w:szCs w:val="20"/>
                          </w:rPr>
                          <w:t>Resolution 14</w:t>
                        </w:r>
                        <w:r>
                          <w:rPr>
                            <w:rFonts w:ascii="Arial" w:hAnsi="Arial" w:cs="Arial"/>
                            <w:sz w:val="20"/>
                            <w:szCs w:val="20"/>
                          </w:rPr>
                          <w:t xml:space="preserve"> (special resolution) </w:t>
                        </w:r>
                      </w:p>
                    </w:tc>
                  </w:tr>
                  <w:tr w:rsidR="00525327" w:rsidRPr="00BD63DD" w14:paraId="78FE61F3" w14:textId="77777777" w:rsidTr="004803CF">
                    <w:trPr>
                      <w:trHeight w:val="755"/>
                    </w:trPr>
                    <w:tc>
                      <w:tcPr>
                        <w:tcW w:w="9639" w:type="dxa"/>
                        <w:tcBorders>
                          <w:top w:val="nil"/>
                          <w:left w:val="nil"/>
                          <w:bottom w:val="nil"/>
                          <w:right w:val="nil"/>
                        </w:tcBorders>
                      </w:tcPr>
                      <w:p w14:paraId="401BF0E0" w14:textId="77777777" w:rsidR="00525327" w:rsidRDefault="00525327" w:rsidP="00525327">
                        <w:pPr>
                          <w:jc w:val="both"/>
                          <w:rPr>
                            <w:rFonts w:ascii="Arial" w:hAnsi="Arial" w:cs="Arial"/>
                            <w:b/>
                            <w:sz w:val="20"/>
                            <w:szCs w:val="20"/>
                          </w:rPr>
                        </w:pPr>
                      </w:p>
                      <w:p w14:paraId="70C7C60A" w14:textId="77777777" w:rsidR="00525327" w:rsidRDefault="00525327" w:rsidP="00525327">
                        <w:pPr>
                          <w:autoSpaceDE w:val="0"/>
                          <w:autoSpaceDN w:val="0"/>
                          <w:adjustRightInd w:val="0"/>
                          <w:jc w:val="both"/>
                          <w:rPr>
                            <w:rFonts w:ascii="Arial" w:hAnsi="Arial" w:cs="Arial"/>
                            <w:bCs/>
                            <w:sz w:val="20"/>
                            <w:szCs w:val="20"/>
                          </w:rPr>
                        </w:pPr>
                        <w:r>
                          <w:rPr>
                            <w:rFonts w:ascii="Arial" w:hAnsi="Arial" w:cs="Arial"/>
                            <w:b/>
                            <w:sz w:val="20"/>
                            <w:szCs w:val="20"/>
                          </w:rPr>
                          <w:t>IT WAS RESOLVED</w:t>
                        </w:r>
                        <w:r w:rsidR="004803CF">
                          <w:rPr>
                            <w:rFonts w:ascii="Arial" w:hAnsi="Arial" w:cs="Arial"/>
                            <w:b/>
                            <w:sz w:val="20"/>
                            <w:szCs w:val="20"/>
                          </w:rPr>
                          <w:t xml:space="preserve"> THAT,</w:t>
                        </w:r>
                        <w:r>
                          <w:rPr>
                            <w:rFonts w:ascii="Arial" w:hAnsi="Arial" w:cs="Arial"/>
                            <w:b/>
                            <w:sz w:val="20"/>
                            <w:szCs w:val="20"/>
                          </w:rPr>
                          <w:t xml:space="preserve"> </w:t>
                        </w:r>
                        <w:r w:rsidR="004803CF" w:rsidRPr="004803CF">
                          <w:rPr>
                            <w:rFonts w:ascii="Arial" w:hAnsi="Arial" w:cs="Arial"/>
                            <w:bCs/>
                            <w:sz w:val="20"/>
                            <w:szCs w:val="20"/>
                          </w:rPr>
                          <w:t>t</w:t>
                        </w:r>
                        <w:r w:rsidR="004803CF" w:rsidRPr="004803CF">
                          <w:rPr>
                            <w:rFonts w:ascii="Arial" w:hAnsi="Arial" w:cs="Arial"/>
                            <w:bCs/>
                            <w:sz w:val="20"/>
                            <w:szCs w:val="20"/>
                          </w:rPr>
                          <w:t>he Articles of the Company be amended as follows:</w:t>
                        </w:r>
                      </w:p>
                      <w:p w14:paraId="591D2162" w14:textId="77777777" w:rsidR="004803CF" w:rsidRDefault="004803CF" w:rsidP="00525327">
                        <w:pPr>
                          <w:autoSpaceDE w:val="0"/>
                          <w:autoSpaceDN w:val="0"/>
                          <w:adjustRightInd w:val="0"/>
                          <w:jc w:val="both"/>
                          <w:rPr>
                            <w:rFonts w:ascii="Arial" w:hAnsi="Arial" w:cs="Arial"/>
                            <w:bCs/>
                            <w:sz w:val="20"/>
                            <w:szCs w:val="20"/>
                            <w:lang w:val="en-US"/>
                          </w:rPr>
                        </w:pPr>
                      </w:p>
                      <w:p w14:paraId="6FB4B37F" w14:textId="77777777" w:rsidR="004803CF" w:rsidRDefault="004803CF" w:rsidP="00ED6217">
                        <w:pPr>
                          <w:pStyle w:val="ListParagraph"/>
                          <w:numPr>
                            <w:ilvl w:val="0"/>
                            <w:numId w:val="15"/>
                          </w:numPr>
                          <w:autoSpaceDE w:val="0"/>
                          <w:autoSpaceDN w:val="0"/>
                          <w:adjustRightInd w:val="0"/>
                          <w:jc w:val="both"/>
                          <w:rPr>
                            <w:rFonts w:ascii="Arial" w:hAnsi="Arial" w:cs="Arial"/>
                            <w:sz w:val="20"/>
                            <w:szCs w:val="20"/>
                            <w:lang w:val="en-US"/>
                          </w:rPr>
                        </w:pPr>
                        <w:r w:rsidRPr="004803CF">
                          <w:rPr>
                            <w:rFonts w:ascii="Arial" w:hAnsi="Arial" w:cs="Arial"/>
                            <w:sz w:val="20"/>
                            <w:szCs w:val="20"/>
                            <w:lang w:val="en-US"/>
                          </w:rPr>
                          <w:t>the words “a majority of Directors shall not be resident in the United Kingdom” shall be deleted from Article 87;</w:t>
                        </w:r>
                      </w:p>
                      <w:p w14:paraId="6E355A4C" w14:textId="77777777" w:rsidR="004803CF" w:rsidRDefault="004803CF" w:rsidP="00753215">
                        <w:pPr>
                          <w:pStyle w:val="ListParagraph"/>
                          <w:numPr>
                            <w:ilvl w:val="0"/>
                            <w:numId w:val="15"/>
                          </w:numPr>
                          <w:autoSpaceDE w:val="0"/>
                          <w:autoSpaceDN w:val="0"/>
                          <w:adjustRightInd w:val="0"/>
                          <w:jc w:val="both"/>
                          <w:rPr>
                            <w:rFonts w:ascii="Arial" w:hAnsi="Arial" w:cs="Arial"/>
                            <w:sz w:val="20"/>
                            <w:szCs w:val="20"/>
                            <w:lang w:val="en-US"/>
                          </w:rPr>
                        </w:pPr>
                        <w:r w:rsidRPr="004803CF">
                          <w:rPr>
                            <w:rFonts w:ascii="Arial" w:hAnsi="Arial" w:cs="Arial"/>
                            <w:sz w:val="20"/>
                            <w:szCs w:val="20"/>
                            <w:lang w:val="en-US"/>
                          </w:rPr>
                          <w:t>t</w:t>
                        </w:r>
                        <w:r w:rsidRPr="004803CF">
                          <w:rPr>
                            <w:rFonts w:ascii="Arial" w:hAnsi="Arial" w:cs="Arial"/>
                            <w:sz w:val="20"/>
                            <w:szCs w:val="20"/>
                            <w:lang w:val="en-US"/>
                          </w:rPr>
                          <w:t>he words “provided that a majority of those Directors participating in the call are resident outside the United Kingdom” shall be deleted from Article 109(2);</w:t>
                        </w:r>
                      </w:p>
                      <w:p w14:paraId="0550E9A9" w14:textId="77777777" w:rsidR="004803CF" w:rsidRDefault="004803CF" w:rsidP="004803CF">
                        <w:pPr>
                          <w:pStyle w:val="ListParagraph"/>
                          <w:numPr>
                            <w:ilvl w:val="0"/>
                            <w:numId w:val="15"/>
                          </w:numPr>
                          <w:autoSpaceDE w:val="0"/>
                          <w:autoSpaceDN w:val="0"/>
                          <w:adjustRightInd w:val="0"/>
                          <w:jc w:val="both"/>
                          <w:rPr>
                            <w:rFonts w:ascii="Arial" w:hAnsi="Arial" w:cs="Arial"/>
                            <w:sz w:val="20"/>
                            <w:szCs w:val="20"/>
                            <w:lang w:val="en-US"/>
                          </w:rPr>
                        </w:pPr>
                        <w:r>
                          <w:rPr>
                            <w:rFonts w:ascii="Arial" w:hAnsi="Arial" w:cs="Arial"/>
                            <w:sz w:val="20"/>
                            <w:szCs w:val="20"/>
                            <w:lang w:val="en-US"/>
                          </w:rPr>
                          <w:t>t</w:t>
                        </w:r>
                        <w:r w:rsidRPr="004803CF">
                          <w:rPr>
                            <w:rFonts w:ascii="Arial" w:hAnsi="Arial" w:cs="Arial"/>
                            <w:sz w:val="20"/>
                            <w:szCs w:val="20"/>
                            <w:lang w:val="en-US"/>
                          </w:rPr>
                          <w:t>he words “PROVIDED THAT such resolution shall not be valid if a majority of the signatories is resident in and/or has given his signature in the United Kingdom” shall be deleted from Article 113; and</w:t>
                        </w:r>
                      </w:p>
                      <w:p w14:paraId="66662DF8" w14:textId="786CE9C4" w:rsidR="004803CF" w:rsidRPr="00BD63DD" w:rsidRDefault="004803CF" w:rsidP="004803CF">
                        <w:pPr>
                          <w:pStyle w:val="ListParagraph"/>
                          <w:numPr>
                            <w:ilvl w:val="0"/>
                            <w:numId w:val="15"/>
                          </w:numPr>
                          <w:autoSpaceDE w:val="0"/>
                          <w:autoSpaceDN w:val="0"/>
                          <w:adjustRightInd w:val="0"/>
                          <w:jc w:val="both"/>
                          <w:rPr>
                            <w:rFonts w:ascii="Arial" w:hAnsi="Arial" w:cs="Arial"/>
                            <w:sz w:val="20"/>
                            <w:szCs w:val="20"/>
                            <w:lang w:val="en-US"/>
                          </w:rPr>
                        </w:pPr>
                        <w:r w:rsidRPr="004803CF">
                          <w:rPr>
                            <w:rFonts w:ascii="Arial" w:hAnsi="Arial" w:cs="Arial"/>
                            <w:sz w:val="20"/>
                            <w:szCs w:val="20"/>
                            <w:lang w:val="en-US"/>
                          </w:rPr>
                          <w:t>Article 96(f) and Article 111(ii) shall be deleted.</w:t>
                        </w:r>
                      </w:p>
                    </w:tc>
                  </w:tr>
                </w:tbl>
                <w:p w14:paraId="011FD74F" w14:textId="2EE5FBDA" w:rsidR="00525327" w:rsidRPr="00525327" w:rsidRDefault="00525327" w:rsidP="00525327">
                  <w:pPr>
                    <w:autoSpaceDE w:val="0"/>
                    <w:autoSpaceDN w:val="0"/>
                    <w:adjustRightInd w:val="0"/>
                    <w:jc w:val="both"/>
                    <w:rPr>
                      <w:rFonts w:ascii="Arial" w:hAnsi="Arial" w:cs="Arial"/>
                      <w:sz w:val="20"/>
                      <w:szCs w:val="20"/>
                      <w:lang w:val="en-US"/>
                    </w:rPr>
                  </w:pPr>
                </w:p>
              </w:tc>
            </w:tr>
          </w:tbl>
          <w:p w14:paraId="161CC0A4" w14:textId="10AA445C" w:rsidR="002E2F47" w:rsidRPr="00885A9C" w:rsidRDefault="002E2F47" w:rsidP="00CC5E50">
            <w:pPr>
              <w:rPr>
                <w:rFonts w:ascii="Arial" w:hAnsi="Arial" w:cs="Arial"/>
                <w:b/>
                <w:sz w:val="20"/>
                <w:szCs w:val="20"/>
              </w:rPr>
            </w:pPr>
          </w:p>
        </w:tc>
      </w:tr>
      <w:tr w:rsidR="002E2F47" w:rsidRPr="00BB3D2E" w14:paraId="72305B69" w14:textId="77777777" w:rsidTr="004803CF">
        <w:trPr>
          <w:trHeight w:val="62"/>
        </w:trPr>
        <w:tc>
          <w:tcPr>
            <w:tcW w:w="10105" w:type="dxa"/>
            <w:tcBorders>
              <w:top w:val="nil"/>
              <w:left w:val="nil"/>
              <w:bottom w:val="nil"/>
              <w:right w:val="nil"/>
            </w:tcBorders>
          </w:tcPr>
          <w:p w14:paraId="56681667" w14:textId="77777777" w:rsidR="002E2F47" w:rsidRPr="00885A9C" w:rsidRDefault="002E2F47" w:rsidP="00CC5E50">
            <w:pPr>
              <w:rPr>
                <w:rFonts w:ascii="Arial" w:hAnsi="Arial" w:cs="Arial"/>
                <w:b/>
                <w:sz w:val="20"/>
                <w:szCs w:val="20"/>
              </w:rPr>
            </w:pPr>
          </w:p>
        </w:tc>
      </w:tr>
      <w:tr w:rsidR="002E2F47" w:rsidRPr="00BB3D2E" w14:paraId="531689E9" w14:textId="77777777" w:rsidTr="004803CF">
        <w:trPr>
          <w:trHeight w:val="71"/>
        </w:trPr>
        <w:tc>
          <w:tcPr>
            <w:tcW w:w="10105" w:type="dxa"/>
            <w:tcBorders>
              <w:top w:val="nil"/>
              <w:left w:val="nil"/>
              <w:bottom w:val="nil"/>
              <w:right w:val="nil"/>
            </w:tcBorders>
          </w:tcPr>
          <w:p w14:paraId="26422873" w14:textId="77777777" w:rsidR="00A85E3D" w:rsidRPr="00B04044" w:rsidRDefault="00A85E3D" w:rsidP="00A85E3D">
            <w:pPr>
              <w:pStyle w:val="ListParagraph"/>
              <w:autoSpaceDE w:val="0"/>
              <w:autoSpaceDN w:val="0"/>
              <w:adjustRightInd w:val="0"/>
              <w:ind w:left="432"/>
              <w:jc w:val="both"/>
              <w:rPr>
                <w:rFonts w:ascii="Arial" w:hAnsi="Arial" w:cs="Arial"/>
                <w:sz w:val="20"/>
                <w:szCs w:val="20"/>
                <w:lang w:val="en-US"/>
              </w:rPr>
            </w:pPr>
          </w:p>
        </w:tc>
      </w:tr>
      <w:tr w:rsidR="004803CF" w:rsidRPr="00BB3D2E" w14:paraId="33F5369F" w14:textId="77777777" w:rsidTr="004803CF">
        <w:trPr>
          <w:trHeight w:val="71"/>
        </w:trPr>
        <w:tc>
          <w:tcPr>
            <w:tcW w:w="10105" w:type="dxa"/>
            <w:tcBorders>
              <w:top w:val="nil"/>
              <w:left w:val="nil"/>
              <w:bottom w:val="nil"/>
              <w:right w:val="nil"/>
            </w:tcBorders>
          </w:tcPr>
          <w:p w14:paraId="4FA2CF3D" w14:textId="77777777" w:rsidR="004803CF" w:rsidRPr="00B04044" w:rsidRDefault="004803CF" w:rsidP="00A85E3D">
            <w:pPr>
              <w:pStyle w:val="ListParagraph"/>
              <w:autoSpaceDE w:val="0"/>
              <w:autoSpaceDN w:val="0"/>
              <w:adjustRightInd w:val="0"/>
              <w:ind w:left="432"/>
              <w:jc w:val="both"/>
              <w:rPr>
                <w:rFonts w:ascii="Arial" w:hAnsi="Arial" w:cs="Arial"/>
                <w:sz w:val="20"/>
                <w:szCs w:val="20"/>
                <w:lang w:val="en-US"/>
              </w:rPr>
            </w:pPr>
          </w:p>
        </w:tc>
      </w:tr>
      <w:tr w:rsidR="002E2F47" w:rsidRPr="00BB3D2E" w14:paraId="5DBE9B24" w14:textId="77777777" w:rsidTr="004803CF">
        <w:trPr>
          <w:trHeight w:val="71"/>
        </w:trPr>
        <w:tc>
          <w:tcPr>
            <w:tcW w:w="10105" w:type="dxa"/>
            <w:tcBorders>
              <w:top w:val="nil"/>
              <w:left w:val="nil"/>
              <w:bottom w:val="nil"/>
              <w:right w:val="nil"/>
            </w:tcBorders>
          </w:tcPr>
          <w:p w14:paraId="24BF6627" w14:textId="0F65BCD5" w:rsidR="002E2F47" w:rsidRPr="002E2F47" w:rsidRDefault="004F1396" w:rsidP="00CC5E50">
            <w:pPr>
              <w:rPr>
                <w:rFonts w:ascii="Arial" w:hAnsi="Arial" w:cs="Arial"/>
                <w:sz w:val="20"/>
                <w:szCs w:val="20"/>
              </w:rPr>
            </w:pPr>
            <w:r>
              <w:rPr>
                <w:rFonts w:ascii="Arial" w:hAnsi="Arial" w:cs="Arial"/>
                <w:sz w:val="20"/>
                <w:szCs w:val="20"/>
              </w:rPr>
              <w:t>J.P. Morgan Administration Services (Guernsey) Limited</w:t>
            </w:r>
          </w:p>
        </w:tc>
      </w:tr>
      <w:tr w:rsidR="002E2F47" w:rsidRPr="00BB3D2E" w14:paraId="2085463D" w14:textId="77777777" w:rsidTr="004803CF">
        <w:trPr>
          <w:trHeight w:val="62"/>
        </w:trPr>
        <w:tc>
          <w:tcPr>
            <w:tcW w:w="10105" w:type="dxa"/>
            <w:tcBorders>
              <w:top w:val="nil"/>
              <w:left w:val="nil"/>
              <w:bottom w:val="nil"/>
              <w:right w:val="nil"/>
            </w:tcBorders>
          </w:tcPr>
          <w:p w14:paraId="74529E06" w14:textId="10A5D64A" w:rsidR="002E2F47" w:rsidRPr="007764AB" w:rsidRDefault="004F1396" w:rsidP="00CC5E50">
            <w:pPr>
              <w:rPr>
                <w:rFonts w:ascii="Arial" w:hAnsi="Arial" w:cs="Arial"/>
                <w:sz w:val="20"/>
                <w:szCs w:val="20"/>
              </w:rPr>
            </w:pPr>
            <w:r>
              <w:rPr>
                <w:rFonts w:ascii="Arial" w:hAnsi="Arial" w:cs="Arial"/>
                <w:sz w:val="20"/>
                <w:szCs w:val="20"/>
              </w:rPr>
              <w:lastRenderedPageBreak/>
              <w:t xml:space="preserve">Company Secretary to the </w:t>
            </w:r>
            <w:r w:rsidR="00B146FE">
              <w:rPr>
                <w:rFonts w:ascii="Arial" w:hAnsi="Arial" w:cs="Arial"/>
                <w:sz w:val="20"/>
                <w:szCs w:val="20"/>
              </w:rPr>
              <w:t>Company</w:t>
            </w:r>
          </w:p>
        </w:tc>
      </w:tr>
      <w:tr w:rsidR="004F1396" w:rsidRPr="00BB3D2E" w14:paraId="5C74D4A7" w14:textId="77777777" w:rsidTr="004803CF">
        <w:trPr>
          <w:trHeight w:val="71"/>
        </w:trPr>
        <w:tc>
          <w:tcPr>
            <w:tcW w:w="10105" w:type="dxa"/>
            <w:tcBorders>
              <w:top w:val="nil"/>
              <w:left w:val="nil"/>
              <w:bottom w:val="nil"/>
              <w:right w:val="nil"/>
            </w:tcBorders>
          </w:tcPr>
          <w:p w14:paraId="33E467F4" w14:textId="77777777" w:rsidR="004F1396" w:rsidRDefault="004F1396" w:rsidP="00CC5E50">
            <w:pPr>
              <w:rPr>
                <w:rFonts w:ascii="Arial" w:hAnsi="Arial" w:cs="Arial"/>
                <w:sz w:val="20"/>
                <w:szCs w:val="20"/>
              </w:rPr>
            </w:pPr>
          </w:p>
        </w:tc>
      </w:tr>
      <w:tr w:rsidR="004F1396" w:rsidRPr="00BB3D2E" w14:paraId="1FEA6CA7" w14:textId="77777777" w:rsidTr="004803CF">
        <w:trPr>
          <w:trHeight w:val="71"/>
        </w:trPr>
        <w:tc>
          <w:tcPr>
            <w:tcW w:w="10105" w:type="dxa"/>
            <w:tcBorders>
              <w:top w:val="nil"/>
              <w:left w:val="nil"/>
              <w:bottom w:val="nil"/>
              <w:right w:val="nil"/>
            </w:tcBorders>
          </w:tcPr>
          <w:p w14:paraId="090F02C8" w14:textId="77777777" w:rsidR="004F1396" w:rsidRDefault="004F1396" w:rsidP="00CC5E50">
            <w:pPr>
              <w:rPr>
                <w:rFonts w:ascii="Arial" w:hAnsi="Arial" w:cs="Arial"/>
                <w:sz w:val="20"/>
                <w:szCs w:val="20"/>
              </w:rPr>
            </w:pPr>
          </w:p>
        </w:tc>
      </w:tr>
      <w:tr w:rsidR="002E2F47" w:rsidRPr="00BB3D2E" w14:paraId="4991D40E" w14:textId="77777777" w:rsidTr="004803CF">
        <w:trPr>
          <w:trHeight w:val="62"/>
        </w:trPr>
        <w:tc>
          <w:tcPr>
            <w:tcW w:w="10105" w:type="dxa"/>
            <w:tcBorders>
              <w:top w:val="nil"/>
              <w:left w:val="nil"/>
              <w:bottom w:val="nil"/>
              <w:right w:val="nil"/>
            </w:tcBorders>
          </w:tcPr>
          <w:p w14:paraId="7F570CC5" w14:textId="022046F2" w:rsidR="002E2F47" w:rsidRPr="004803CF" w:rsidRDefault="002E2F47" w:rsidP="00CC5E50">
            <w:pPr>
              <w:rPr>
                <w:rFonts w:ascii="Arial" w:hAnsi="Arial" w:cs="Arial"/>
                <w:b/>
                <w:bCs/>
                <w:sz w:val="20"/>
                <w:szCs w:val="20"/>
              </w:rPr>
            </w:pPr>
            <w:r w:rsidRPr="004803CF">
              <w:rPr>
                <w:rFonts w:ascii="Arial" w:hAnsi="Arial" w:cs="Arial"/>
                <w:b/>
                <w:bCs/>
                <w:sz w:val="20"/>
                <w:szCs w:val="20"/>
              </w:rPr>
              <w:t xml:space="preserve">Date: </w:t>
            </w:r>
            <w:r w:rsidR="004803CF" w:rsidRPr="004803CF">
              <w:rPr>
                <w:rFonts w:ascii="Arial" w:hAnsi="Arial" w:cs="Arial"/>
                <w:b/>
                <w:bCs/>
                <w:sz w:val="20"/>
                <w:szCs w:val="20"/>
              </w:rPr>
              <w:t>08 December 2022</w:t>
            </w:r>
          </w:p>
        </w:tc>
      </w:tr>
    </w:tbl>
    <w:p w14:paraId="7A810BE7" w14:textId="77777777" w:rsidR="00DA035F" w:rsidRDefault="00DA035F">
      <w:pPr>
        <w:rPr>
          <w:rFonts w:ascii="Arial" w:hAnsi="Arial" w:cs="Arial"/>
          <w:sz w:val="20"/>
          <w:szCs w:val="20"/>
        </w:rPr>
      </w:pPr>
    </w:p>
    <w:p w14:paraId="43B28F8F" w14:textId="77777777" w:rsidR="00882167" w:rsidRDefault="00882167" w:rsidP="001A0037">
      <w:pPr>
        <w:rPr>
          <w:rFonts w:ascii="Arial" w:hAnsi="Arial" w:cs="Arial"/>
          <w:sz w:val="20"/>
          <w:szCs w:val="20"/>
        </w:rPr>
      </w:pPr>
    </w:p>
    <w:sectPr w:rsidR="00882167" w:rsidSect="00525327">
      <w:headerReference w:type="default" r:id="rId8"/>
      <w:footerReference w:type="default" r:id="rId9"/>
      <w:pgSz w:w="11906" w:h="16838" w:code="9"/>
      <w:pgMar w:top="1440" w:right="1440" w:bottom="12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08F60" w14:textId="77777777" w:rsidR="00530976" w:rsidRDefault="00530976" w:rsidP="003B4481">
      <w:pPr>
        <w:spacing w:after="0" w:line="240" w:lineRule="auto"/>
      </w:pPr>
      <w:r>
        <w:separator/>
      </w:r>
    </w:p>
  </w:endnote>
  <w:endnote w:type="continuationSeparator" w:id="0">
    <w:p w14:paraId="70A7DF2C" w14:textId="77777777" w:rsidR="00530976" w:rsidRDefault="00530976" w:rsidP="003B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608397"/>
      <w:docPartObj>
        <w:docPartGallery w:val="Page Numbers (Bottom of Page)"/>
        <w:docPartUnique/>
      </w:docPartObj>
    </w:sdtPr>
    <w:sdtEndPr>
      <w:rPr>
        <w:noProof/>
      </w:rPr>
    </w:sdtEndPr>
    <w:sdtContent>
      <w:p w14:paraId="4E6F5D11" w14:textId="6B5DC18B" w:rsidR="00CA1157" w:rsidRDefault="00CA1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1DA1F9" w14:textId="77777777" w:rsidR="00CA1157" w:rsidRDefault="00CA1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377E" w14:textId="77777777" w:rsidR="00530976" w:rsidRDefault="00530976" w:rsidP="003B4481">
      <w:pPr>
        <w:spacing w:after="0" w:line="240" w:lineRule="auto"/>
      </w:pPr>
      <w:r>
        <w:separator/>
      </w:r>
    </w:p>
  </w:footnote>
  <w:footnote w:type="continuationSeparator" w:id="0">
    <w:p w14:paraId="2F8FA44A" w14:textId="77777777" w:rsidR="00530976" w:rsidRDefault="00530976" w:rsidP="003B4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AE5C" w14:textId="77777777" w:rsidR="00530976" w:rsidRPr="003B4481" w:rsidRDefault="00530976" w:rsidP="003B4481">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615D"/>
    <w:multiLevelType w:val="hybridMultilevel"/>
    <w:tmpl w:val="8D4E74CA"/>
    <w:lvl w:ilvl="0" w:tplc="C954280A">
      <w:start w:val="1"/>
      <w:numFmt w:val="lowerRoman"/>
      <w:lvlText w:val="(%1)"/>
      <w:lvlJc w:val="left"/>
      <w:pPr>
        <w:ind w:left="1070" w:hanging="720"/>
      </w:pPr>
      <w:rPr>
        <w:rFonts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1" w15:restartNumberingAfterBreak="0">
    <w:nsid w:val="0E643FD6"/>
    <w:multiLevelType w:val="hybridMultilevel"/>
    <w:tmpl w:val="817C0B16"/>
    <w:lvl w:ilvl="0" w:tplc="E5F476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E00736"/>
    <w:multiLevelType w:val="hybridMultilevel"/>
    <w:tmpl w:val="B8DC7340"/>
    <w:lvl w:ilvl="0" w:tplc="4EAED7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A1E29"/>
    <w:multiLevelType w:val="hybridMultilevel"/>
    <w:tmpl w:val="42AEA23C"/>
    <w:lvl w:ilvl="0" w:tplc="3E5838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2F50DE"/>
    <w:multiLevelType w:val="hybridMultilevel"/>
    <w:tmpl w:val="4E72F90C"/>
    <w:lvl w:ilvl="0" w:tplc="C7327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6176D"/>
    <w:multiLevelType w:val="hybridMultilevel"/>
    <w:tmpl w:val="EDC68B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8A5492"/>
    <w:multiLevelType w:val="hybridMultilevel"/>
    <w:tmpl w:val="116A5DE0"/>
    <w:lvl w:ilvl="0" w:tplc="98020B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09056A"/>
    <w:multiLevelType w:val="hybridMultilevel"/>
    <w:tmpl w:val="7BBC6B44"/>
    <w:lvl w:ilvl="0" w:tplc="E5F476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364EB1"/>
    <w:multiLevelType w:val="hybridMultilevel"/>
    <w:tmpl w:val="5E2E8240"/>
    <w:lvl w:ilvl="0" w:tplc="07BAD6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8D0E38"/>
    <w:multiLevelType w:val="hybridMultilevel"/>
    <w:tmpl w:val="7BBC6B44"/>
    <w:lvl w:ilvl="0" w:tplc="E5F476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3B00F3"/>
    <w:multiLevelType w:val="hybridMultilevel"/>
    <w:tmpl w:val="A93E2CC0"/>
    <w:lvl w:ilvl="0" w:tplc="2A10EC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94111C"/>
    <w:multiLevelType w:val="hybridMultilevel"/>
    <w:tmpl w:val="7A42B994"/>
    <w:lvl w:ilvl="0" w:tplc="68782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640CA9"/>
    <w:multiLevelType w:val="hybridMultilevel"/>
    <w:tmpl w:val="F66AEB90"/>
    <w:lvl w:ilvl="0" w:tplc="1FDC9FDA">
      <w:start w:val="1"/>
      <w:numFmt w:val="lowerRoman"/>
      <w:lvlText w:val="(%1)"/>
      <w:lvlJc w:val="left"/>
      <w:pPr>
        <w:ind w:left="1070" w:hanging="720"/>
      </w:pPr>
      <w:rPr>
        <w:rFonts w:eastAsiaTheme="minorHAnsi"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13" w15:restartNumberingAfterBreak="0">
    <w:nsid w:val="78856A6C"/>
    <w:multiLevelType w:val="hybridMultilevel"/>
    <w:tmpl w:val="2384F80C"/>
    <w:lvl w:ilvl="0" w:tplc="B420AB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5F4E0A"/>
    <w:multiLevelType w:val="hybridMultilevel"/>
    <w:tmpl w:val="2A8CCB10"/>
    <w:lvl w:ilvl="0" w:tplc="6E10E9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7"/>
  </w:num>
  <w:num w:numId="5">
    <w:abstractNumId w:val="13"/>
  </w:num>
  <w:num w:numId="6">
    <w:abstractNumId w:val="9"/>
  </w:num>
  <w:num w:numId="7">
    <w:abstractNumId w:val="1"/>
  </w:num>
  <w:num w:numId="8">
    <w:abstractNumId w:val="0"/>
  </w:num>
  <w:num w:numId="9">
    <w:abstractNumId w:val="12"/>
  </w:num>
  <w:num w:numId="10">
    <w:abstractNumId w:val="10"/>
  </w:num>
  <w:num w:numId="11">
    <w:abstractNumId w:val="11"/>
  </w:num>
  <w:num w:numId="12">
    <w:abstractNumId w:val="14"/>
  </w:num>
  <w:num w:numId="13">
    <w:abstractNumId w:val="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C8"/>
    <w:rsid w:val="000011EA"/>
    <w:rsid w:val="00002AD1"/>
    <w:rsid w:val="00011DE2"/>
    <w:rsid w:val="00017442"/>
    <w:rsid w:val="00020093"/>
    <w:rsid w:val="0002792F"/>
    <w:rsid w:val="00044B6E"/>
    <w:rsid w:val="000450A5"/>
    <w:rsid w:val="0006545B"/>
    <w:rsid w:val="0008072D"/>
    <w:rsid w:val="000A3DA2"/>
    <w:rsid w:val="000C08B7"/>
    <w:rsid w:val="000E06B1"/>
    <w:rsid w:val="001235B0"/>
    <w:rsid w:val="00141B74"/>
    <w:rsid w:val="00145F68"/>
    <w:rsid w:val="0014787D"/>
    <w:rsid w:val="00156248"/>
    <w:rsid w:val="00161A57"/>
    <w:rsid w:val="00162808"/>
    <w:rsid w:val="00164F24"/>
    <w:rsid w:val="0017366F"/>
    <w:rsid w:val="00175F42"/>
    <w:rsid w:val="001901E9"/>
    <w:rsid w:val="00195888"/>
    <w:rsid w:val="00196DBD"/>
    <w:rsid w:val="001A0037"/>
    <w:rsid w:val="001B2248"/>
    <w:rsid w:val="001C60DD"/>
    <w:rsid w:val="001E7F47"/>
    <w:rsid w:val="001F342B"/>
    <w:rsid w:val="001F44FB"/>
    <w:rsid w:val="0020021B"/>
    <w:rsid w:val="00205577"/>
    <w:rsid w:val="00216D7D"/>
    <w:rsid w:val="00227EF0"/>
    <w:rsid w:val="002353AC"/>
    <w:rsid w:val="00264ABF"/>
    <w:rsid w:val="00267303"/>
    <w:rsid w:val="00286029"/>
    <w:rsid w:val="00293ADC"/>
    <w:rsid w:val="00295DD6"/>
    <w:rsid w:val="002A7125"/>
    <w:rsid w:val="002E2F47"/>
    <w:rsid w:val="002E343B"/>
    <w:rsid w:val="002E6900"/>
    <w:rsid w:val="002F17B4"/>
    <w:rsid w:val="002F45FB"/>
    <w:rsid w:val="002F7816"/>
    <w:rsid w:val="00300D50"/>
    <w:rsid w:val="00304A02"/>
    <w:rsid w:val="003104F2"/>
    <w:rsid w:val="003206A7"/>
    <w:rsid w:val="003308B0"/>
    <w:rsid w:val="00330977"/>
    <w:rsid w:val="003379AD"/>
    <w:rsid w:val="003710AB"/>
    <w:rsid w:val="00371E2C"/>
    <w:rsid w:val="00373D4E"/>
    <w:rsid w:val="00375CFF"/>
    <w:rsid w:val="00376940"/>
    <w:rsid w:val="00377FDB"/>
    <w:rsid w:val="00382126"/>
    <w:rsid w:val="00397BC4"/>
    <w:rsid w:val="003A6952"/>
    <w:rsid w:val="003B4481"/>
    <w:rsid w:val="003B6CA6"/>
    <w:rsid w:val="003D11BA"/>
    <w:rsid w:val="003D15B1"/>
    <w:rsid w:val="003D77DC"/>
    <w:rsid w:val="003E0CDA"/>
    <w:rsid w:val="003F0A58"/>
    <w:rsid w:val="00400A9E"/>
    <w:rsid w:val="00451FE4"/>
    <w:rsid w:val="004566E9"/>
    <w:rsid w:val="0046336C"/>
    <w:rsid w:val="00474E9E"/>
    <w:rsid w:val="004803CF"/>
    <w:rsid w:val="004B1C4D"/>
    <w:rsid w:val="004C14ED"/>
    <w:rsid w:val="004C40AD"/>
    <w:rsid w:val="004C55C5"/>
    <w:rsid w:val="004E1801"/>
    <w:rsid w:val="004F1396"/>
    <w:rsid w:val="004F3646"/>
    <w:rsid w:val="005118AE"/>
    <w:rsid w:val="00513DB9"/>
    <w:rsid w:val="00521349"/>
    <w:rsid w:val="00525327"/>
    <w:rsid w:val="00527350"/>
    <w:rsid w:val="005305F4"/>
    <w:rsid w:val="00530976"/>
    <w:rsid w:val="005337B9"/>
    <w:rsid w:val="0054069C"/>
    <w:rsid w:val="00541F12"/>
    <w:rsid w:val="00561B3C"/>
    <w:rsid w:val="005637A3"/>
    <w:rsid w:val="00573A71"/>
    <w:rsid w:val="00597078"/>
    <w:rsid w:val="005A03B5"/>
    <w:rsid w:val="005A13A4"/>
    <w:rsid w:val="005A3A5D"/>
    <w:rsid w:val="005B20DD"/>
    <w:rsid w:val="005C01BB"/>
    <w:rsid w:val="005C3A23"/>
    <w:rsid w:val="005C5355"/>
    <w:rsid w:val="005D5EF9"/>
    <w:rsid w:val="005E486D"/>
    <w:rsid w:val="005E50FE"/>
    <w:rsid w:val="005F77FE"/>
    <w:rsid w:val="006011D4"/>
    <w:rsid w:val="006109C4"/>
    <w:rsid w:val="006153F9"/>
    <w:rsid w:val="006154DD"/>
    <w:rsid w:val="00631276"/>
    <w:rsid w:val="00641952"/>
    <w:rsid w:val="006670EC"/>
    <w:rsid w:val="00677030"/>
    <w:rsid w:val="00692C1A"/>
    <w:rsid w:val="006A06A3"/>
    <w:rsid w:val="006A3F74"/>
    <w:rsid w:val="006B3FD6"/>
    <w:rsid w:val="006B5BD1"/>
    <w:rsid w:val="006E5B9E"/>
    <w:rsid w:val="006E6AE3"/>
    <w:rsid w:val="006F3294"/>
    <w:rsid w:val="006F64AC"/>
    <w:rsid w:val="00702AA3"/>
    <w:rsid w:val="00705030"/>
    <w:rsid w:val="00725150"/>
    <w:rsid w:val="0073057F"/>
    <w:rsid w:val="007332FC"/>
    <w:rsid w:val="00751507"/>
    <w:rsid w:val="00754153"/>
    <w:rsid w:val="007764AB"/>
    <w:rsid w:val="007831C7"/>
    <w:rsid w:val="00790006"/>
    <w:rsid w:val="007912AE"/>
    <w:rsid w:val="0079682B"/>
    <w:rsid w:val="007B0232"/>
    <w:rsid w:val="007B4A8A"/>
    <w:rsid w:val="007D2A86"/>
    <w:rsid w:val="007E44E5"/>
    <w:rsid w:val="007F0D72"/>
    <w:rsid w:val="007F18E1"/>
    <w:rsid w:val="007F3532"/>
    <w:rsid w:val="007F5584"/>
    <w:rsid w:val="007F7FEB"/>
    <w:rsid w:val="008010DF"/>
    <w:rsid w:val="00804CEA"/>
    <w:rsid w:val="00832F57"/>
    <w:rsid w:val="00834869"/>
    <w:rsid w:val="00841433"/>
    <w:rsid w:val="00847855"/>
    <w:rsid w:val="008534EB"/>
    <w:rsid w:val="00880032"/>
    <w:rsid w:val="00882167"/>
    <w:rsid w:val="00883FC0"/>
    <w:rsid w:val="00885A9C"/>
    <w:rsid w:val="008A7074"/>
    <w:rsid w:val="008C1307"/>
    <w:rsid w:val="008E1C90"/>
    <w:rsid w:val="00902D3B"/>
    <w:rsid w:val="0091284F"/>
    <w:rsid w:val="00916D77"/>
    <w:rsid w:val="00932029"/>
    <w:rsid w:val="0094259E"/>
    <w:rsid w:val="009511FB"/>
    <w:rsid w:val="009551A4"/>
    <w:rsid w:val="00964A91"/>
    <w:rsid w:val="00970490"/>
    <w:rsid w:val="00986728"/>
    <w:rsid w:val="009A4356"/>
    <w:rsid w:val="009A58C4"/>
    <w:rsid w:val="009D79E8"/>
    <w:rsid w:val="00A30478"/>
    <w:rsid w:val="00A369AC"/>
    <w:rsid w:val="00A37DE5"/>
    <w:rsid w:val="00A42499"/>
    <w:rsid w:val="00A56850"/>
    <w:rsid w:val="00A65EF8"/>
    <w:rsid w:val="00A674F3"/>
    <w:rsid w:val="00A746CF"/>
    <w:rsid w:val="00A812BC"/>
    <w:rsid w:val="00A8457C"/>
    <w:rsid w:val="00A85B54"/>
    <w:rsid w:val="00A85E3D"/>
    <w:rsid w:val="00A936E1"/>
    <w:rsid w:val="00A96535"/>
    <w:rsid w:val="00AA45D8"/>
    <w:rsid w:val="00AD6C49"/>
    <w:rsid w:val="00AD70FC"/>
    <w:rsid w:val="00AE220D"/>
    <w:rsid w:val="00AE2A65"/>
    <w:rsid w:val="00AE7F43"/>
    <w:rsid w:val="00B017AD"/>
    <w:rsid w:val="00B04044"/>
    <w:rsid w:val="00B146FE"/>
    <w:rsid w:val="00B16347"/>
    <w:rsid w:val="00B434F6"/>
    <w:rsid w:val="00B61CF7"/>
    <w:rsid w:val="00B84A88"/>
    <w:rsid w:val="00B853E5"/>
    <w:rsid w:val="00B9043A"/>
    <w:rsid w:val="00BA7BB7"/>
    <w:rsid w:val="00BB3926"/>
    <w:rsid w:val="00BB3D2E"/>
    <w:rsid w:val="00BB4E8A"/>
    <w:rsid w:val="00BB75C9"/>
    <w:rsid w:val="00BC5754"/>
    <w:rsid w:val="00BD4046"/>
    <w:rsid w:val="00BE5557"/>
    <w:rsid w:val="00BF3FA5"/>
    <w:rsid w:val="00C00E4D"/>
    <w:rsid w:val="00C12958"/>
    <w:rsid w:val="00C17F82"/>
    <w:rsid w:val="00C35FAC"/>
    <w:rsid w:val="00C40747"/>
    <w:rsid w:val="00C52BA6"/>
    <w:rsid w:val="00C73A81"/>
    <w:rsid w:val="00C83DF9"/>
    <w:rsid w:val="00C858A2"/>
    <w:rsid w:val="00C97118"/>
    <w:rsid w:val="00CA1157"/>
    <w:rsid w:val="00CC5E50"/>
    <w:rsid w:val="00CC6453"/>
    <w:rsid w:val="00CC7730"/>
    <w:rsid w:val="00CD1B53"/>
    <w:rsid w:val="00D14877"/>
    <w:rsid w:val="00D16B01"/>
    <w:rsid w:val="00D23290"/>
    <w:rsid w:val="00D2577C"/>
    <w:rsid w:val="00D57031"/>
    <w:rsid w:val="00D5740A"/>
    <w:rsid w:val="00D75EB0"/>
    <w:rsid w:val="00D77D23"/>
    <w:rsid w:val="00D80F25"/>
    <w:rsid w:val="00D8409A"/>
    <w:rsid w:val="00D97BEC"/>
    <w:rsid w:val="00DA035F"/>
    <w:rsid w:val="00DA168B"/>
    <w:rsid w:val="00DC43B8"/>
    <w:rsid w:val="00DE6E92"/>
    <w:rsid w:val="00DF7043"/>
    <w:rsid w:val="00E13809"/>
    <w:rsid w:val="00E155B2"/>
    <w:rsid w:val="00E41CD1"/>
    <w:rsid w:val="00E42F72"/>
    <w:rsid w:val="00E45449"/>
    <w:rsid w:val="00E72A0D"/>
    <w:rsid w:val="00E76EFC"/>
    <w:rsid w:val="00E85504"/>
    <w:rsid w:val="00E97A7C"/>
    <w:rsid w:val="00EA19C8"/>
    <w:rsid w:val="00EA244D"/>
    <w:rsid w:val="00EB128F"/>
    <w:rsid w:val="00EB23B8"/>
    <w:rsid w:val="00EB6684"/>
    <w:rsid w:val="00EB72B7"/>
    <w:rsid w:val="00EC6E44"/>
    <w:rsid w:val="00ED5E06"/>
    <w:rsid w:val="00F02407"/>
    <w:rsid w:val="00F05D17"/>
    <w:rsid w:val="00F26169"/>
    <w:rsid w:val="00F33129"/>
    <w:rsid w:val="00F5306F"/>
    <w:rsid w:val="00F5401B"/>
    <w:rsid w:val="00F61C0C"/>
    <w:rsid w:val="00F67795"/>
    <w:rsid w:val="00F87EE4"/>
    <w:rsid w:val="00FA6432"/>
    <w:rsid w:val="00FB55CF"/>
    <w:rsid w:val="00FD7A85"/>
    <w:rsid w:val="00FE12BC"/>
    <w:rsid w:val="00FF6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C4EE"/>
  <w15:docId w15:val="{340BD16D-7FBB-4CFD-A89A-A705416A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19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95DD6"/>
    <w:pPr>
      <w:ind w:left="720"/>
      <w:contextualSpacing/>
    </w:pPr>
  </w:style>
  <w:style w:type="character" w:customStyle="1" w:styleId="c1">
    <w:name w:val="c1"/>
    <w:basedOn w:val="DefaultParagraphFont"/>
    <w:rsid w:val="00541F12"/>
  </w:style>
  <w:style w:type="paragraph" w:styleId="BalloonText">
    <w:name w:val="Balloon Text"/>
    <w:basedOn w:val="Normal"/>
    <w:link w:val="BalloonTextChar"/>
    <w:uiPriority w:val="99"/>
    <w:semiHidden/>
    <w:unhideWhenUsed/>
    <w:rsid w:val="00BB3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2E"/>
    <w:rPr>
      <w:rFonts w:ascii="Tahoma" w:hAnsi="Tahoma" w:cs="Tahoma"/>
      <w:sz w:val="16"/>
      <w:szCs w:val="16"/>
    </w:rPr>
  </w:style>
  <w:style w:type="paragraph" w:styleId="Header">
    <w:name w:val="header"/>
    <w:basedOn w:val="Normal"/>
    <w:link w:val="HeaderChar"/>
    <w:uiPriority w:val="99"/>
    <w:unhideWhenUsed/>
    <w:rsid w:val="003B4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481"/>
  </w:style>
  <w:style w:type="paragraph" w:styleId="Footer">
    <w:name w:val="footer"/>
    <w:basedOn w:val="Normal"/>
    <w:link w:val="FooterChar"/>
    <w:uiPriority w:val="99"/>
    <w:unhideWhenUsed/>
    <w:rsid w:val="003B4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481"/>
  </w:style>
  <w:style w:type="paragraph" w:styleId="BodyText">
    <w:name w:val="Body Text"/>
    <w:aliases w:val="bt,BODY TEXT,BT,Body Text Char Char Char Char Char,b1,b,Body Text Char Char Char Char Char + 8.5 pt,Bold,BODY text,body text,Normal + 12 pt,BoNormal + 12 pt,Normal + 11 pt,Line spacing:  single,Body Text Char1,Body Text Char1 Char Char,MAIN TE"/>
    <w:basedOn w:val="Normal"/>
    <w:link w:val="BodyTextChar2"/>
    <w:semiHidden/>
    <w:rsid w:val="00156248"/>
    <w:pPr>
      <w:spacing w:after="120" w:line="260" w:lineRule="atLeast"/>
      <w:jc w:val="both"/>
    </w:pPr>
    <w:rPr>
      <w:rFonts w:ascii="Times New Roman" w:eastAsia="Times New Roman" w:hAnsi="Times New Roman" w:cs="Times New Roman"/>
      <w:kern w:val="28"/>
      <w:szCs w:val="20"/>
    </w:rPr>
  </w:style>
  <w:style w:type="character" w:customStyle="1" w:styleId="BodyTextChar">
    <w:name w:val="Body Text Char"/>
    <w:basedOn w:val="DefaultParagraphFont"/>
    <w:uiPriority w:val="99"/>
    <w:semiHidden/>
    <w:rsid w:val="00156248"/>
  </w:style>
  <w:style w:type="character" w:customStyle="1" w:styleId="BodyTextChar2">
    <w:name w:val="Body Text Char2"/>
    <w:aliases w:val="bt Char,BODY TEXT Char,BT Char,Body Text Char Char Char Char Char Char,b1 Char,b Char,Body Text Char Char Char Char Char + 8.5 pt Char,Bold Char,BODY text Char,body text Char,Normal + 12 pt Char,BoNormal + 12 pt Char,Normal + 11 pt Char"/>
    <w:basedOn w:val="DefaultParagraphFont"/>
    <w:link w:val="BodyText"/>
    <w:rsid w:val="00156248"/>
    <w:rPr>
      <w:rFonts w:ascii="Times New Roman" w:eastAsia="Times New Roman" w:hAnsi="Times New Roman"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F2FD7-6DF1-4561-BC1F-90D61EA3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CONNOLLY</dc:creator>
  <cp:lastModifiedBy>Aynashe, Hamza A (CIB SEC SVS, GBR)</cp:lastModifiedBy>
  <cp:revision>3</cp:revision>
  <cp:lastPrinted>2018-11-09T15:20:00Z</cp:lastPrinted>
  <dcterms:created xsi:type="dcterms:W3CDTF">2022-12-08T15:34:00Z</dcterms:created>
  <dcterms:modified xsi:type="dcterms:W3CDTF">2022-12-08T15:35:00Z</dcterms:modified>
</cp:coreProperties>
</file>