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0DC6" w14:textId="153E2C02" w:rsidR="007E3C6B" w:rsidRPr="007D3651" w:rsidRDefault="007E3C6B" w:rsidP="00636270">
      <w:pPr>
        <w:rPr>
          <w:rFonts w:cs="Arial"/>
          <w:b/>
          <w:sz w:val="22"/>
          <w:szCs w:val="22"/>
        </w:rPr>
      </w:pPr>
      <w:r w:rsidRPr="007D3651">
        <w:rPr>
          <w:rFonts w:cs="Arial"/>
          <w:b/>
          <w:sz w:val="22"/>
          <w:szCs w:val="22"/>
        </w:rPr>
        <w:t>Company No</w:t>
      </w:r>
      <w:r w:rsidR="00636270" w:rsidRPr="007D3651">
        <w:rPr>
          <w:rFonts w:cs="Arial"/>
          <w:b/>
          <w:sz w:val="22"/>
          <w:szCs w:val="22"/>
        </w:rPr>
        <w:t>:</w:t>
      </w:r>
      <w:r w:rsidRPr="007D3651">
        <w:rPr>
          <w:rFonts w:cs="Arial"/>
          <w:b/>
          <w:sz w:val="22"/>
          <w:szCs w:val="22"/>
        </w:rPr>
        <w:t xml:space="preserve"> </w:t>
      </w:r>
      <w:r w:rsidR="00BB4B5D" w:rsidRPr="007D3651">
        <w:rPr>
          <w:rFonts w:cs="Arial"/>
          <w:b/>
          <w:sz w:val="22"/>
          <w:szCs w:val="22"/>
        </w:rPr>
        <w:t>12216008</w:t>
      </w:r>
    </w:p>
    <w:p w14:paraId="5C815BEA" w14:textId="77777777" w:rsidR="00E97746" w:rsidRPr="007D3651" w:rsidRDefault="00E97746" w:rsidP="00636270">
      <w:pPr>
        <w:jc w:val="center"/>
        <w:rPr>
          <w:rFonts w:cs="Arial"/>
          <w:b/>
          <w:sz w:val="22"/>
          <w:szCs w:val="22"/>
        </w:rPr>
      </w:pPr>
    </w:p>
    <w:p w14:paraId="69B00AEE" w14:textId="77777777" w:rsidR="007E3C6B" w:rsidRPr="007D3651" w:rsidRDefault="00324A66" w:rsidP="00636270">
      <w:pPr>
        <w:jc w:val="center"/>
        <w:rPr>
          <w:rFonts w:cs="Arial"/>
          <w:b/>
          <w:sz w:val="22"/>
          <w:szCs w:val="22"/>
        </w:rPr>
      </w:pPr>
      <w:r w:rsidRPr="007D3651">
        <w:rPr>
          <w:rFonts w:cs="Arial"/>
          <w:b/>
          <w:sz w:val="22"/>
          <w:szCs w:val="22"/>
        </w:rPr>
        <w:t>THE COMPANIES ACT 2006</w:t>
      </w:r>
    </w:p>
    <w:p w14:paraId="21A02E05" w14:textId="77777777" w:rsidR="007E3C6B" w:rsidRPr="007D3651" w:rsidRDefault="007E3C6B" w:rsidP="00636270">
      <w:pPr>
        <w:jc w:val="center"/>
        <w:rPr>
          <w:rFonts w:cs="Arial"/>
          <w:b/>
          <w:sz w:val="22"/>
          <w:szCs w:val="22"/>
        </w:rPr>
      </w:pPr>
      <w:r w:rsidRPr="007D3651">
        <w:rPr>
          <w:rFonts w:cs="Arial"/>
          <w:b/>
          <w:sz w:val="22"/>
          <w:szCs w:val="22"/>
        </w:rPr>
        <w:t>___________________</w:t>
      </w:r>
    </w:p>
    <w:p w14:paraId="19123C54" w14:textId="77777777" w:rsidR="007E3C6B" w:rsidRPr="007D3651" w:rsidRDefault="007E3C6B" w:rsidP="00636270">
      <w:pPr>
        <w:jc w:val="center"/>
        <w:rPr>
          <w:rFonts w:cs="Arial"/>
          <w:b/>
          <w:sz w:val="22"/>
          <w:szCs w:val="22"/>
        </w:rPr>
      </w:pPr>
    </w:p>
    <w:p w14:paraId="6BA11311" w14:textId="77777777" w:rsidR="004F5917" w:rsidRPr="007D3651" w:rsidRDefault="004F5917" w:rsidP="00636270">
      <w:pPr>
        <w:jc w:val="center"/>
        <w:rPr>
          <w:rFonts w:cs="Arial"/>
          <w:b/>
          <w:sz w:val="22"/>
          <w:szCs w:val="22"/>
        </w:rPr>
      </w:pPr>
    </w:p>
    <w:p w14:paraId="1D6567FE" w14:textId="77777777" w:rsidR="007E3C6B" w:rsidRPr="007D3651" w:rsidRDefault="007E3C6B" w:rsidP="00636270">
      <w:pPr>
        <w:jc w:val="center"/>
        <w:rPr>
          <w:rFonts w:cs="Arial"/>
          <w:b/>
          <w:sz w:val="22"/>
          <w:szCs w:val="22"/>
        </w:rPr>
      </w:pPr>
      <w:r w:rsidRPr="007D3651">
        <w:rPr>
          <w:rFonts w:cs="Arial"/>
          <w:b/>
          <w:sz w:val="22"/>
          <w:szCs w:val="22"/>
        </w:rPr>
        <w:t>PUBLIC COMPANY LIMITED BY SHARES</w:t>
      </w:r>
    </w:p>
    <w:p w14:paraId="565335A4" w14:textId="77777777" w:rsidR="004F5917" w:rsidRPr="007D3651" w:rsidRDefault="004F5917" w:rsidP="00636270">
      <w:pPr>
        <w:jc w:val="center"/>
        <w:rPr>
          <w:rFonts w:cs="Arial"/>
          <w:b/>
          <w:sz w:val="22"/>
          <w:szCs w:val="22"/>
        </w:rPr>
      </w:pPr>
    </w:p>
    <w:p w14:paraId="513DC186" w14:textId="77777777" w:rsidR="007E3C6B" w:rsidRPr="007D3651" w:rsidRDefault="004F5917" w:rsidP="00636270">
      <w:pPr>
        <w:jc w:val="center"/>
        <w:rPr>
          <w:rFonts w:cs="Arial"/>
          <w:b/>
          <w:sz w:val="22"/>
          <w:szCs w:val="22"/>
        </w:rPr>
      </w:pPr>
      <w:r w:rsidRPr="007D3651">
        <w:rPr>
          <w:rFonts w:cs="Arial"/>
          <w:b/>
          <w:sz w:val="22"/>
          <w:szCs w:val="22"/>
        </w:rPr>
        <w:t>_______</w:t>
      </w:r>
      <w:r w:rsidR="007E3C6B" w:rsidRPr="007D3651">
        <w:rPr>
          <w:rFonts w:cs="Arial"/>
          <w:b/>
          <w:sz w:val="22"/>
          <w:szCs w:val="22"/>
        </w:rPr>
        <w:t>___________</w:t>
      </w:r>
    </w:p>
    <w:p w14:paraId="49360F91" w14:textId="77777777" w:rsidR="007E3C6B" w:rsidRPr="007D3651" w:rsidRDefault="007E3C6B" w:rsidP="00636270">
      <w:pPr>
        <w:jc w:val="center"/>
        <w:rPr>
          <w:rFonts w:cs="Arial"/>
          <w:b/>
          <w:sz w:val="22"/>
          <w:szCs w:val="22"/>
        </w:rPr>
      </w:pPr>
    </w:p>
    <w:p w14:paraId="39FFF801" w14:textId="77777777" w:rsidR="004F5917" w:rsidRPr="007D3651" w:rsidRDefault="004F5917" w:rsidP="00636270">
      <w:pPr>
        <w:jc w:val="center"/>
        <w:rPr>
          <w:rFonts w:cs="Arial"/>
          <w:b/>
          <w:sz w:val="22"/>
          <w:szCs w:val="22"/>
        </w:rPr>
      </w:pPr>
    </w:p>
    <w:p w14:paraId="2BDA1F66" w14:textId="77777777" w:rsidR="007E3C6B" w:rsidRPr="007D3651" w:rsidRDefault="00C75582" w:rsidP="00636270">
      <w:pPr>
        <w:jc w:val="center"/>
        <w:rPr>
          <w:rFonts w:cs="Arial"/>
          <w:b/>
          <w:sz w:val="22"/>
          <w:szCs w:val="22"/>
        </w:rPr>
      </w:pPr>
      <w:r w:rsidRPr="007D3651">
        <w:rPr>
          <w:rFonts w:cs="Arial"/>
          <w:b/>
          <w:sz w:val="22"/>
          <w:szCs w:val="22"/>
        </w:rPr>
        <w:t xml:space="preserve">ORDINARY AND </w:t>
      </w:r>
      <w:r w:rsidR="007E3C6B" w:rsidRPr="007D3651">
        <w:rPr>
          <w:rFonts w:cs="Arial"/>
          <w:b/>
          <w:sz w:val="22"/>
          <w:szCs w:val="22"/>
        </w:rPr>
        <w:t>SPECIAL RESOLUTIONS</w:t>
      </w:r>
    </w:p>
    <w:p w14:paraId="69F34825" w14:textId="77777777" w:rsidR="007E3C6B" w:rsidRPr="007D3651" w:rsidRDefault="007E3C6B" w:rsidP="00636270">
      <w:pPr>
        <w:jc w:val="center"/>
        <w:rPr>
          <w:rFonts w:cs="Arial"/>
          <w:b/>
          <w:sz w:val="22"/>
          <w:szCs w:val="22"/>
        </w:rPr>
      </w:pPr>
    </w:p>
    <w:p w14:paraId="3523A735" w14:textId="77777777" w:rsidR="007E3C6B" w:rsidRPr="007D3651" w:rsidRDefault="004B6E4B" w:rsidP="00636270">
      <w:pPr>
        <w:jc w:val="center"/>
        <w:rPr>
          <w:rFonts w:cs="Arial"/>
          <w:b/>
          <w:sz w:val="22"/>
          <w:szCs w:val="22"/>
        </w:rPr>
      </w:pPr>
      <w:r w:rsidRPr="007D3651">
        <w:rPr>
          <w:rFonts w:cs="Arial"/>
          <w:b/>
          <w:sz w:val="22"/>
          <w:szCs w:val="22"/>
        </w:rPr>
        <w:t>- of -</w:t>
      </w:r>
    </w:p>
    <w:p w14:paraId="33D26815" w14:textId="77777777" w:rsidR="007E3C6B" w:rsidRPr="007D3651" w:rsidRDefault="007E3C6B" w:rsidP="00636270">
      <w:pPr>
        <w:jc w:val="center"/>
        <w:rPr>
          <w:rFonts w:cs="Arial"/>
          <w:b/>
          <w:sz w:val="22"/>
          <w:szCs w:val="22"/>
        </w:rPr>
      </w:pPr>
    </w:p>
    <w:p w14:paraId="29EFC094" w14:textId="198A9663" w:rsidR="007E3C6B" w:rsidRPr="007D3651" w:rsidRDefault="005D31C2" w:rsidP="00636270">
      <w:pPr>
        <w:jc w:val="center"/>
        <w:rPr>
          <w:rFonts w:cs="Arial"/>
          <w:b/>
          <w:sz w:val="22"/>
          <w:szCs w:val="22"/>
        </w:rPr>
      </w:pPr>
      <w:r w:rsidRPr="007D3651">
        <w:rPr>
          <w:rFonts w:cs="Arial"/>
          <w:b/>
          <w:sz w:val="22"/>
          <w:szCs w:val="22"/>
        </w:rPr>
        <w:t xml:space="preserve">GALLIFORD TRY </w:t>
      </w:r>
      <w:r w:rsidR="00BB4B5D" w:rsidRPr="007D3651">
        <w:rPr>
          <w:rFonts w:cs="Arial"/>
          <w:b/>
          <w:sz w:val="22"/>
          <w:szCs w:val="22"/>
        </w:rPr>
        <w:t xml:space="preserve">HOLDINGS </w:t>
      </w:r>
      <w:r w:rsidRPr="007D3651">
        <w:rPr>
          <w:rFonts w:cs="Arial"/>
          <w:b/>
          <w:sz w:val="22"/>
          <w:szCs w:val="22"/>
        </w:rPr>
        <w:t>PLC</w:t>
      </w:r>
    </w:p>
    <w:p w14:paraId="6DBBA429" w14:textId="77777777" w:rsidR="000611DE" w:rsidRPr="007D3651" w:rsidRDefault="000611DE" w:rsidP="00636270">
      <w:pPr>
        <w:jc w:val="center"/>
        <w:rPr>
          <w:rFonts w:cs="Arial"/>
          <w:sz w:val="22"/>
          <w:szCs w:val="22"/>
        </w:rPr>
      </w:pPr>
      <w:r w:rsidRPr="007D3651">
        <w:rPr>
          <w:rFonts w:cs="Arial"/>
          <w:sz w:val="22"/>
          <w:szCs w:val="22"/>
        </w:rPr>
        <w:t>(the “Company”)</w:t>
      </w:r>
    </w:p>
    <w:p w14:paraId="5295B427" w14:textId="77777777" w:rsidR="007E3C6B" w:rsidRPr="007D3651" w:rsidRDefault="007E3C6B" w:rsidP="00636270">
      <w:pPr>
        <w:jc w:val="center"/>
        <w:rPr>
          <w:rFonts w:cs="Arial"/>
          <w:sz w:val="22"/>
          <w:szCs w:val="22"/>
        </w:rPr>
      </w:pPr>
    </w:p>
    <w:p w14:paraId="542D0E5D" w14:textId="77777777" w:rsidR="004F5917" w:rsidRPr="007D3651" w:rsidRDefault="004F5917" w:rsidP="00636270">
      <w:pPr>
        <w:jc w:val="center"/>
        <w:rPr>
          <w:rFonts w:cs="Arial"/>
          <w:sz w:val="22"/>
          <w:szCs w:val="22"/>
        </w:rPr>
      </w:pPr>
    </w:p>
    <w:p w14:paraId="5F8CE997" w14:textId="76FAE928" w:rsidR="007E3C6B" w:rsidRPr="007D3651" w:rsidRDefault="007E3C6B" w:rsidP="00636270">
      <w:pPr>
        <w:jc w:val="center"/>
        <w:rPr>
          <w:rFonts w:cs="Arial"/>
          <w:sz w:val="22"/>
          <w:szCs w:val="22"/>
        </w:rPr>
      </w:pPr>
      <w:r w:rsidRPr="007D3651">
        <w:rPr>
          <w:rFonts w:cs="Arial"/>
          <w:sz w:val="22"/>
          <w:szCs w:val="22"/>
        </w:rPr>
        <w:t xml:space="preserve">(Passed </w:t>
      </w:r>
      <w:r w:rsidR="00E309E3">
        <w:rPr>
          <w:rFonts w:cs="Arial"/>
          <w:color w:val="000000" w:themeColor="text1"/>
          <w:sz w:val="22"/>
          <w:szCs w:val="22"/>
        </w:rPr>
        <w:t>13</w:t>
      </w:r>
      <w:r w:rsidR="00855369" w:rsidRPr="002248ED">
        <w:rPr>
          <w:rFonts w:cs="Arial"/>
          <w:color w:val="000000" w:themeColor="text1"/>
          <w:sz w:val="22"/>
          <w:szCs w:val="22"/>
        </w:rPr>
        <w:t xml:space="preserve"> </w:t>
      </w:r>
      <w:r w:rsidR="00F306A1" w:rsidRPr="002248ED">
        <w:rPr>
          <w:rFonts w:cs="Arial"/>
          <w:color w:val="000000" w:themeColor="text1"/>
          <w:sz w:val="22"/>
          <w:szCs w:val="22"/>
        </w:rPr>
        <w:t xml:space="preserve">November </w:t>
      </w:r>
      <w:r w:rsidR="00A43B3F" w:rsidRPr="002248ED">
        <w:rPr>
          <w:rFonts w:cs="Arial"/>
          <w:color w:val="000000" w:themeColor="text1"/>
          <w:sz w:val="22"/>
          <w:szCs w:val="22"/>
        </w:rPr>
        <w:t>20</w:t>
      </w:r>
      <w:r w:rsidR="00BB4B5D" w:rsidRPr="002248ED">
        <w:rPr>
          <w:rFonts w:cs="Arial"/>
          <w:color w:val="000000" w:themeColor="text1"/>
          <w:sz w:val="22"/>
          <w:szCs w:val="22"/>
        </w:rPr>
        <w:t>2</w:t>
      </w:r>
      <w:r w:rsidR="00E309E3">
        <w:rPr>
          <w:rFonts w:cs="Arial"/>
          <w:color w:val="000000" w:themeColor="text1"/>
          <w:sz w:val="22"/>
          <w:szCs w:val="22"/>
        </w:rPr>
        <w:t>5</w:t>
      </w:r>
      <w:r w:rsidR="00A43B3F" w:rsidRPr="007D3651">
        <w:rPr>
          <w:rFonts w:cs="Arial"/>
          <w:sz w:val="22"/>
          <w:szCs w:val="22"/>
        </w:rPr>
        <w:t>)</w:t>
      </w:r>
    </w:p>
    <w:p w14:paraId="3BEA1D99" w14:textId="77777777" w:rsidR="00E97746" w:rsidRPr="007D3651" w:rsidRDefault="00E97746" w:rsidP="00636270">
      <w:pPr>
        <w:rPr>
          <w:rFonts w:cs="Arial"/>
          <w:b/>
          <w:sz w:val="22"/>
          <w:szCs w:val="22"/>
        </w:rPr>
      </w:pPr>
    </w:p>
    <w:p w14:paraId="1F7E44F6" w14:textId="77777777" w:rsidR="004F5917" w:rsidRPr="007D3651" w:rsidRDefault="004F5917" w:rsidP="00636270">
      <w:pPr>
        <w:rPr>
          <w:rFonts w:cs="Arial"/>
          <w:b/>
          <w:sz w:val="22"/>
          <w:szCs w:val="22"/>
        </w:rPr>
      </w:pPr>
    </w:p>
    <w:p w14:paraId="4A2844B1" w14:textId="775EFAAD" w:rsidR="007E3C6B" w:rsidRPr="007D3651" w:rsidRDefault="007E3C6B" w:rsidP="00636270">
      <w:pPr>
        <w:jc w:val="both"/>
        <w:rPr>
          <w:rFonts w:cs="Arial"/>
          <w:sz w:val="22"/>
          <w:szCs w:val="22"/>
        </w:rPr>
      </w:pPr>
      <w:r w:rsidRPr="007D3651">
        <w:rPr>
          <w:rFonts w:cs="Arial"/>
          <w:b/>
          <w:sz w:val="22"/>
          <w:szCs w:val="22"/>
        </w:rPr>
        <w:t>AT THE ANNUAL GENERAL MEETING</w:t>
      </w:r>
      <w:r w:rsidRPr="007D3651">
        <w:rPr>
          <w:rFonts w:cs="Arial"/>
          <w:sz w:val="22"/>
          <w:szCs w:val="22"/>
        </w:rPr>
        <w:t xml:space="preserve"> of the members of the </w:t>
      </w:r>
      <w:r w:rsidR="000611DE" w:rsidRPr="007D3651">
        <w:rPr>
          <w:rFonts w:cs="Arial"/>
          <w:sz w:val="22"/>
          <w:szCs w:val="22"/>
        </w:rPr>
        <w:t>C</w:t>
      </w:r>
      <w:r w:rsidRPr="007D3651">
        <w:rPr>
          <w:rFonts w:cs="Arial"/>
          <w:sz w:val="22"/>
          <w:szCs w:val="22"/>
        </w:rPr>
        <w:t>ompany</w:t>
      </w:r>
      <w:r w:rsidR="006B05FF" w:rsidRPr="007D3651">
        <w:rPr>
          <w:rFonts w:cs="Arial"/>
          <w:sz w:val="22"/>
          <w:szCs w:val="22"/>
        </w:rPr>
        <w:t>,</w:t>
      </w:r>
      <w:r w:rsidRPr="007D3651">
        <w:rPr>
          <w:rFonts w:cs="Arial"/>
          <w:sz w:val="22"/>
          <w:szCs w:val="22"/>
        </w:rPr>
        <w:t xml:space="preserve"> duly convened and held at </w:t>
      </w:r>
      <w:r w:rsidR="00324A66" w:rsidRPr="007D3651">
        <w:rPr>
          <w:rFonts w:cs="Arial"/>
          <w:sz w:val="22"/>
          <w:szCs w:val="22"/>
        </w:rPr>
        <w:t xml:space="preserve">the offices of </w:t>
      </w:r>
      <w:r w:rsidR="00BF63AA" w:rsidRPr="007D3651">
        <w:rPr>
          <w:rFonts w:cs="Arial"/>
          <w:sz w:val="22"/>
          <w:szCs w:val="22"/>
        </w:rPr>
        <w:t>Peel Hunt LLP, 7</w:t>
      </w:r>
      <w:r w:rsidR="00BF63AA" w:rsidRPr="007D3651">
        <w:rPr>
          <w:rFonts w:cs="Arial"/>
          <w:sz w:val="22"/>
          <w:szCs w:val="22"/>
          <w:vertAlign w:val="superscript"/>
        </w:rPr>
        <w:t>th</w:t>
      </w:r>
      <w:r w:rsidR="00BF63AA" w:rsidRPr="007D3651">
        <w:rPr>
          <w:rFonts w:cs="Arial"/>
          <w:sz w:val="22"/>
          <w:szCs w:val="22"/>
        </w:rPr>
        <w:t xml:space="preserve"> floor, 100 Liverpool Street, London, EC2M 2AT</w:t>
      </w:r>
      <w:r w:rsidR="00337D16" w:rsidRPr="007D3651">
        <w:rPr>
          <w:rFonts w:cs="Arial"/>
          <w:sz w:val="22"/>
          <w:szCs w:val="22"/>
        </w:rPr>
        <w:t xml:space="preserve"> </w:t>
      </w:r>
      <w:r w:rsidRPr="007D3651">
        <w:rPr>
          <w:rFonts w:cs="Arial"/>
          <w:sz w:val="22"/>
          <w:szCs w:val="22"/>
        </w:rPr>
        <w:t xml:space="preserve">on </w:t>
      </w:r>
      <w:r w:rsidR="004572AA">
        <w:rPr>
          <w:rFonts w:cs="Arial"/>
          <w:color w:val="000000" w:themeColor="text1"/>
          <w:sz w:val="22"/>
          <w:szCs w:val="22"/>
        </w:rPr>
        <w:t xml:space="preserve">Thursday </w:t>
      </w:r>
      <w:r w:rsidR="00E309E3">
        <w:rPr>
          <w:rFonts w:cs="Arial"/>
          <w:color w:val="000000" w:themeColor="text1"/>
          <w:sz w:val="22"/>
          <w:szCs w:val="22"/>
        </w:rPr>
        <w:t>13</w:t>
      </w:r>
      <w:r w:rsidR="00E309E3">
        <w:rPr>
          <w:rFonts w:cs="Arial"/>
          <w:color w:val="000000" w:themeColor="text1"/>
          <w:sz w:val="22"/>
          <w:szCs w:val="22"/>
          <w:vertAlign w:val="superscript"/>
        </w:rPr>
        <w:t>th</w:t>
      </w:r>
      <w:r w:rsidR="004572AA">
        <w:rPr>
          <w:rFonts w:cs="Arial"/>
          <w:color w:val="000000" w:themeColor="text1"/>
          <w:sz w:val="22"/>
          <w:szCs w:val="22"/>
        </w:rPr>
        <w:t xml:space="preserve"> </w:t>
      </w:r>
      <w:r w:rsidR="00E01C82" w:rsidRPr="002248ED">
        <w:rPr>
          <w:rFonts w:cs="Arial"/>
          <w:color w:val="000000" w:themeColor="text1"/>
          <w:sz w:val="22"/>
          <w:szCs w:val="22"/>
        </w:rPr>
        <w:t>November 20</w:t>
      </w:r>
      <w:r w:rsidR="00BB4B5D" w:rsidRPr="002248ED">
        <w:rPr>
          <w:rFonts w:cs="Arial"/>
          <w:color w:val="000000" w:themeColor="text1"/>
          <w:sz w:val="22"/>
          <w:szCs w:val="22"/>
        </w:rPr>
        <w:t>2</w:t>
      </w:r>
      <w:r w:rsidR="00E309E3">
        <w:rPr>
          <w:rFonts w:cs="Arial"/>
          <w:color w:val="000000" w:themeColor="text1"/>
          <w:sz w:val="22"/>
          <w:szCs w:val="22"/>
        </w:rPr>
        <w:t>5</w:t>
      </w:r>
      <w:r w:rsidR="004572AA">
        <w:rPr>
          <w:rFonts w:cs="Arial"/>
          <w:color w:val="000000" w:themeColor="text1"/>
          <w:sz w:val="22"/>
          <w:szCs w:val="22"/>
        </w:rPr>
        <w:t xml:space="preserve"> </w:t>
      </w:r>
      <w:r w:rsidR="00E01C82" w:rsidRPr="002248ED">
        <w:rPr>
          <w:rFonts w:cs="Arial"/>
          <w:color w:val="000000" w:themeColor="text1"/>
          <w:sz w:val="22"/>
          <w:szCs w:val="22"/>
        </w:rPr>
        <w:t xml:space="preserve">at </w:t>
      </w:r>
      <w:r w:rsidR="00260B96" w:rsidRPr="002248ED">
        <w:rPr>
          <w:rFonts w:cs="Arial"/>
          <w:color w:val="000000" w:themeColor="text1"/>
          <w:sz w:val="22"/>
          <w:szCs w:val="22"/>
        </w:rPr>
        <w:t>11</w:t>
      </w:r>
      <w:r w:rsidR="00E01C82" w:rsidRPr="002248ED">
        <w:rPr>
          <w:rFonts w:cs="Arial"/>
          <w:color w:val="000000" w:themeColor="text1"/>
          <w:sz w:val="22"/>
          <w:szCs w:val="22"/>
        </w:rPr>
        <w:t>.</w:t>
      </w:r>
      <w:r w:rsidR="00237D99" w:rsidRPr="002248ED">
        <w:rPr>
          <w:rFonts w:cs="Arial"/>
          <w:color w:val="000000" w:themeColor="text1"/>
          <w:sz w:val="22"/>
          <w:szCs w:val="22"/>
        </w:rPr>
        <w:t>0</w:t>
      </w:r>
      <w:r w:rsidR="0082196A" w:rsidRPr="002248ED">
        <w:rPr>
          <w:rFonts w:cs="Arial"/>
          <w:color w:val="000000" w:themeColor="text1"/>
          <w:sz w:val="22"/>
          <w:szCs w:val="22"/>
        </w:rPr>
        <w:t>0</w:t>
      </w:r>
      <w:r w:rsidR="00E01C82" w:rsidRPr="002248ED">
        <w:rPr>
          <w:rFonts w:cs="Arial"/>
          <w:color w:val="000000" w:themeColor="text1"/>
          <w:sz w:val="22"/>
          <w:szCs w:val="22"/>
        </w:rPr>
        <w:t xml:space="preserve"> am</w:t>
      </w:r>
      <w:r w:rsidR="006B05FF" w:rsidRPr="002248ED">
        <w:rPr>
          <w:rFonts w:cs="Arial"/>
          <w:color w:val="000000" w:themeColor="text1"/>
          <w:sz w:val="22"/>
          <w:szCs w:val="22"/>
        </w:rPr>
        <w:t>,</w:t>
      </w:r>
      <w:r w:rsidRPr="002248ED">
        <w:rPr>
          <w:rFonts w:cs="Arial"/>
          <w:color w:val="000000" w:themeColor="text1"/>
          <w:sz w:val="22"/>
          <w:szCs w:val="22"/>
        </w:rPr>
        <w:t xml:space="preserve"> the </w:t>
      </w:r>
      <w:r w:rsidRPr="007D3651">
        <w:rPr>
          <w:rFonts w:cs="Arial"/>
          <w:sz w:val="22"/>
          <w:szCs w:val="22"/>
        </w:rPr>
        <w:t xml:space="preserve">following </w:t>
      </w:r>
      <w:r w:rsidRPr="007D3651">
        <w:rPr>
          <w:rFonts w:cs="Arial"/>
          <w:b/>
          <w:sz w:val="22"/>
          <w:szCs w:val="22"/>
        </w:rPr>
        <w:t>RESOLUTIONS</w:t>
      </w:r>
      <w:r w:rsidRPr="007D3651">
        <w:rPr>
          <w:rFonts w:cs="Arial"/>
          <w:sz w:val="22"/>
          <w:szCs w:val="22"/>
        </w:rPr>
        <w:t xml:space="preserve"> were duly passed as </w:t>
      </w:r>
      <w:r w:rsidR="00C75582" w:rsidRPr="007D3651">
        <w:rPr>
          <w:rFonts w:cs="Arial"/>
          <w:b/>
          <w:sz w:val="22"/>
          <w:szCs w:val="22"/>
        </w:rPr>
        <w:t xml:space="preserve">ORDINARY </w:t>
      </w:r>
      <w:r w:rsidR="00636270" w:rsidRPr="007D3651">
        <w:rPr>
          <w:rFonts w:cs="Arial"/>
          <w:sz w:val="22"/>
          <w:szCs w:val="22"/>
        </w:rPr>
        <w:t>and</w:t>
      </w:r>
      <w:r w:rsidR="00636270" w:rsidRPr="007D3651">
        <w:rPr>
          <w:rFonts w:cs="Arial"/>
          <w:b/>
          <w:sz w:val="22"/>
          <w:szCs w:val="22"/>
        </w:rPr>
        <w:t xml:space="preserve"> </w:t>
      </w:r>
      <w:r w:rsidRPr="007D3651">
        <w:rPr>
          <w:rFonts w:cs="Arial"/>
          <w:b/>
          <w:sz w:val="22"/>
          <w:szCs w:val="22"/>
        </w:rPr>
        <w:t>SPECIAL RESOLUTIONS</w:t>
      </w:r>
      <w:r w:rsidRPr="007D3651">
        <w:rPr>
          <w:rFonts w:cs="Arial"/>
          <w:sz w:val="22"/>
          <w:szCs w:val="22"/>
        </w:rPr>
        <w:t>:</w:t>
      </w:r>
    </w:p>
    <w:p w14:paraId="05E02467" w14:textId="77777777" w:rsidR="004F5917" w:rsidRPr="007D3651" w:rsidRDefault="004F5917" w:rsidP="00636270">
      <w:pPr>
        <w:jc w:val="both"/>
        <w:rPr>
          <w:rFonts w:cs="Arial"/>
          <w:sz w:val="22"/>
          <w:szCs w:val="22"/>
        </w:rPr>
      </w:pPr>
    </w:p>
    <w:p w14:paraId="02E13EB1" w14:textId="77777777" w:rsidR="00C75582" w:rsidRPr="007D3651" w:rsidRDefault="00C75582" w:rsidP="00636270">
      <w:pPr>
        <w:jc w:val="both"/>
        <w:rPr>
          <w:rFonts w:cs="Arial"/>
          <w:b/>
          <w:i/>
          <w:sz w:val="22"/>
          <w:szCs w:val="22"/>
        </w:rPr>
      </w:pPr>
      <w:r w:rsidRPr="007D3651">
        <w:rPr>
          <w:rFonts w:cs="Arial"/>
          <w:b/>
          <w:i/>
          <w:sz w:val="22"/>
          <w:szCs w:val="22"/>
        </w:rPr>
        <w:t>Ordinary Resolution</w:t>
      </w:r>
      <w:r w:rsidR="00636270" w:rsidRPr="007D3651">
        <w:rPr>
          <w:rFonts w:cs="Arial"/>
          <w:b/>
          <w:i/>
          <w:sz w:val="22"/>
          <w:szCs w:val="22"/>
        </w:rPr>
        <w:t>s</w:t>
      </w:r>
    </w:p>
    <w:p w14:paraId="162EB36B" w14:textId="77777777" w:rsidR="0049524A" w:rsidRPr="007D3651" w:rsidRDefault="0049524A" w:rsidP="00636270">
      <w:pPr>
        <w:jc w:val="both"/>
        <w:rPr>
          <w:rFonts w:cs="Arial"/>
          <w:b/>
          <w:sz w:val="22"/>
          <w:szCs w:val="22"/>
        </w:rPr>
      </w:pPr>
    </w:p>
    <w:p w14:paraId="17F98A04" w14:textId="6AE999E6" w:rsidR="00E309E3" w:rsidRDefault="00E309E3" w:rsidP="00E309E3">
      <w:pPr>
        <w:ind w:left="720" w:hanging="720"/>
        <w:jc w:val="both"/>
        <w:rPr>
          <w:rFonts w:cs="Arial"/>
          <w:bCs/>
          <w:iCs/>
          <w:sz w:val="22"/>
          <w:szCs w:val="22"/>
        </w:rPr>
      </w:pPr>
      <w:r w:rsidRPr="00E309E3">
        <w:rPr>
          <w:rFonts w:cs="Arial"/>
          <w:bCs/>
          <w:iCs/>
          <w:sz w:val="22"/>
          <w:szCs w:val="22"/>
        </w:rPr>
        <w:t xml:space="preserve">12. </w:t>
      </w:r>
      <w:r>
        <w:rPr>
          <w:rFonts w:cs="Arial"/>
          <w:bCs/>
          <w:iCs/>
          <w:sz w:val="22"/>
          <w:szCs w:val="22"/>
        </w:rPr>
        <w:tab/>
      </w:r>
      <w:r w:rsidRPr="00E309E3">
        <w:rPr>
          <w:rFonts w:cs="Arial"/>
          <w:bCs/>
          <w:iCs/>
          <w:sz w:val="22"/>
          <w:szCs w:val="22"/>
        </w:rPr>
        <w:t>To authorise the directors generally and unconditionally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pursuant to section 551 of the Companies Act 2006 (the ‘Act’)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to exercise all powers of the Company to allot shares in the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Company, and to grant rights to subscribe for or to convert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any security into shares in the Company up to an aggregate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nominal amount of £34,068,799 comprising:</w:t>
      </w:r>
      <w:r>
        <w:rPr>
          <w:rFonts w:cs="Arial"/>
          <w:bCs/>
          <w:iCs/>
          <w:sz w:val="22"/>
          <w:szCs w:val="22"/>
        </w:rPr>
        <w:t xml:space="preserve"> </w:t>
      </w:r>
    </w:p>
    <w:p w14:paraId="6D0DE744" w14:textId="77777777" w:rsidR="00E309E3" w:rsidRDefault="00E309E3" w:rsidP="00E309E3">
      <w:pPr>
        <w:ind w:left="720" w:hanging="720"/>
        <w:jc w:val="both"/>
        <w:rPr>
          <w:rFonts w:cs="Arial"/>
          <w:bCs/>
          <w:iCs/>
          <w:sz w:val="22"/>
          <w:szCs w:val="22"/>
        </w:rPr>
      </w:pPr>
    </w:p>
    <w:p w14:paraId="68F194DE" w14:textId="3E1708A7" w:rsidR="00E309E3" w:rsidRPr="00E309E3" w:rsidRDefault="00E309E3" w:rsidP="00E309E3">
      <w:pPr>
        <w:ind w:left="1440" w:hanging="720"/>
        <w:jc w:val="both"/>
        <w:rPr>
          <w:rFonts w:cs="Arial"/>
          <w:bCs/>
          <w:iCs/>
          <w:sz w:val="22"/>
          <w:szCs w:val="22"/>
        </w:rPr>
      </w:pPr>
      <w:r w:rsidRPr="00E309E3">
        <w:rPr>
          <w:rFonts w:cs="Arial"/>
          <w:bCs/>
          <w:iCs/>
          <w:sz w:val="22"/>
          <w:szCs w:val="22"/>
        </w:rPr>
        <w:t xml:space="preserve">(a) </w:t>
      </w:r>
      <w:r>
        <w:rPr>
          <w:rFonts w:cs="Arial"/>
          <w:bCs/>
          <w:iCs/>
          <w:sz w:val="22"/>
          <w:szCs w:val="22"/>
        </w:rPr>
        <w:tab/>
      </w:r>
      <w:r w:rsidRPr="00E309E3">
        <w:rPr>
          <w:rFonts w:cs="Arial"/>
          <w:bCs/>
          <w:iCs/>
          <w:sz w:val="22"/>
          <w:szCs w:val="22"/>
        </w:rPr>
        <w:t>an aggregate nominal amount of £17,034,399.50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whether in connection with the same offer or issue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as under (b) below or otherwise); and</w:t>
      </w:r>
    </w:p>
    <w:p w14:paraId="4EB90207" w14:textId="77777777" w:rsidR="00E309E3" w:rsidRDefault="00E309E3" w:rsidP="00E309E3">
      <w:pPr>
        <w:ind w:left="720" w:hanging="720"/>
        <w:jc w:val="both"/>
        <w:rPr>
          <w:rFonts w:cs="Arial"/>
          <w:bCs/>
          <w:iCs/>
          <w:sz w:val="22"/>
          <w:szCs w:val="22"/>
        </w:rPr>
      </w:pPr>
    </w:p>
    <w:p w14:paraId="115D67BA" w14:textId="14B3C1D7" w:rsidR="004572AA" w:rsidRDefault="00E309E3" w:rsidP="00E309E3">
      <w:pPr>
        <w:ind w:left="1440" w:hanging="720"/>
        <w:jc w:val="both"/>
        <w:rPr>
          <w:rFonts w:cs="Arial"/>
          <w:bCs/>
          <w:iCs/>
          <w:sz w:val="22"/>
          <w:szCs w:val="22"/>
        </w:rPr>
      </w:pPr>
      <w:r w:rsidRPr="00E309E3">
        <w:rPr>
          <w:rFonts w:cs="Arial"/>
          <w:bCs/>
          <w:iCs/>
          <w:sz w:val="22"/>
          <w:szCs w:val="22"/>
        </w:rPr>
        <w:t xml:space="preserve">(b) </w:t>
      </w:r>
      <w:r>
        <w:rPr>
          <w:rFonts w:cs="Arial"/>
          <w:bCs/>
          <w:iCs/>
          <w:sz w:val="22"/>
          <w:szCs w:val="22"/>
        </w:rPr>
        <w:tab/>
      </w:r>
      <w:r w:rsidRPr="00E309E3">
        <w:rPr>
          <w:rFonts w:cs="Arial"/>
          <w:bCs/>
          <w:iCs/>
          <w:sz w:val="22"/>
          <w:szCs w:val="22"/>
        </w:rPr>
        <w:t>an aggregate nominal amount of £17,034,399.50 in the form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of equity securities (within the meaning of section 560(1) of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the Act) in connection with an offer or issue by way of rights,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open for acceptance for a period fixed by the directors, to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holders of ordinary shares (other than the Company) on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the register on any record date fixed by the directors in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proportion (as nearly as may be) to the respective number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of ordinary shares deemed to be held by them, subject to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such exclusions or other arrangements as the directors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may deem necessary or expedient in relation to fractional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entitlements, legal or practical problems arising in any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overseas territory, the requirements of any regulatory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body or stock exchange or any other matter whatsoever</w:t>
      </w:r>
      <w:r>
        <w:rPr>
          <w:rFonts w:cs="Arial"/>
          <w:bCs/>
          <w:iCs/>
          <w:sz w:val="22"/>
          <w:szCs w:val="22"/>
        </w:rPr>
        <w:t>.</w:t>
      </w:r>
    </w:p>
    <w:p w14:paraId="30E55E78" w14:textId="77777777" w:rsidR="00E309E3" w:rsidRDefault="00E309E3" w:rsidP="00E309E3">
      <w:pPr>
        <w:ind w:left="720" w:hanging="720"/>
        <w:jc w:val="both"/>
        <w:rPr>
          <w:rFonts w:cs="Arial"/>
          <w:bCs/>
          <w:iCs/>
          <w:sz w:val="22"/>
          <w:szCs w:val="22"/>
        </w:rPr>
      </w:pPr>
    </w:p>
    <w:p w14:paraId="13E1EC21" w14:textId="5774448C" w:rsidR="00E309E3" w:rsidRPr="00E309E3" w:rsidRDefault="00E309E3" w:rsidP="00E309E3">
      <w:pPr>
        <w:ind w:left="720"/>
        <w:jc w:val="both"/>
        <w:rPr>
          <w:rFonts w:cs="Arial"/>
          <w:bCs/>
          <w:iCs/>
          <w:sz w:val="22"/>
          <w:szCs w:val="22"/>
        </w:rPr>
      </w:pPr>
      <w:r w:rsidRPr="00E309E3">
        <w:rPr>
          <w:rFonts w:cs="Arial"/>
          <w:bCs/>
          <w:iCs/>
          <w:sz w:val="22"/>
          <w:szCs w:val="22"/>
        </w:rPr>
        <w:t>This authority shall expire (unless previously varied, revoked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or renewed by the Company in general meeting) 15 months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after the date of the passing of this resolution or, if earlier, at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the conclusion of the AGM of the Company in 2026, except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that the Company may before such expiry make an offer or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agreement which would or might require relevant securities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 xml:space="preserve">to be allotted after such expiry </w:t>
      </w:r>
      <w:r w:rsidRPr="00E309E3">
        <w:rPr>
          <w:rFonts w:cs="Arial"/>
          <w:bCs/>
          <w:iCs/>
          <w:sz w:val="22"/>
          <w:szCs w:val="22"/>
        </w:rPr>
        <w:lastRenderedPageBreak/>
        <w:t>and the directors may allot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relevant securities in pursuance of such offer or agreement as</w:t>
      </w:r>
      <w:r>
        <w:rPr>
          <w:rFonts w:cs="Arial"/>
          <w:bCs/>
          <w:iCs/>
          <w:sz w:val="22"/>
          <w:szCs w:val="22"/>
        </w:rPr>
        <w:t xml:space="preserve"> </w:t>
      </w:r>
      <w:r w:rsidRPr="00E309E3">
        <w:rPr>
          <w:rFonts w:cs="Arial"/>
          <w:bCs/>
          <w:iCs/>
          <w:sz w:val="22"/>
          <w:szCs w:val="22"/>
        </w:rPr>
        <w:t>if the authority conferred by this resolution had not expired</w:t>
      </w:r>
      <w:r>
        <w:rPr>
          <w:rFonts w:cs="Arial"/>
          <w:bCs/>
          <w:iCs/>
          <w:sz w:val="22"/>
          <w:szCs w:val="22"/>
        </w:rPr>
        <w:t>.</w:t>
      </w:r>
    </w:p>
    <w:p w14:paraId="6890BE2D" w14:textId="77777777" w:rsidR="00582490" w:rsidRPr="007D3651" w:rsidRDefault="00582490" w:rsidP="004572AA">
      <w:pPr>
        <w:ind w:left="720" w:hanging="720"/>
        <w:jc w:val="both"/>
        <w:rPr>
          <w:rFonts w:cs="Arial"/>
          <w:b/>
          <w:i/>
          <w:sz w:val="22"/>
          <w:szCs w:val="22"/>
        </w:rPr>
      </w:pPr>
    </w:p>
    <w:p w14:paraId="707584BA" w14:textId="04BC23E7" w:rsidR="00C86555" w:rsidRPr="007D3651" w:rsidRDefault="00C86555" w:rsidP="00C86555">
      <w:pPr>
        <w:tabs>
          <w:tab w:val="left" w:pos="2694"/>
        </w:tabs>
        <w:jc w:val="both"/>
        <w:rPr>
          <w:rFonts w:cs="Arial"/>
          <w:b/>
          <w:i/>
          <w:sz w:val="22"/>
          <w:szCs w:val="22"/>
        </w:rPr>
      </w:pPr>
      <w:r w:rsidRPr="007D3651">
        <w:rPr>
          <w:rFonts w:cs="Arial"/>
          <w:b/>
          <w:i/>
          <w:sz w:val="22"/>
          <w:szCs w:val="22"/>
        </w:rPr>
        <w:t>Special Resolutions</w:t>
      </w:r>
    </w:p>
    <w:p w14:paraId="6771CBE7" w14:textId="77777777" w:rsidR="00C86555" w:rsidRPr="007D3651" w:rsidRDefault="00C86555" w:rsidP="00636270">
      <w:pPr>
        <w:contextualSpacing/>
        <w:jc w:val="both"/>
        <w:rPr>
          <w:rFonts w:eastAsiaTheme="minorHAnsi" w:cs="Arial"/>
          <w:color w:val="000000" w:themeColor="text1"/>
          <w:sz w:val="22"/>
          <w:szCs w:val="22"/>
        </w:rPr>
      </w:pPr>
    </w:p>
    <w:p w14:paraId="24486387" w14:textId="7F3DF33B" w:rsidR="00E309E3" w:rsidRDefault="00E309E3" w:rsidP="00E309E3">
      <w:pPr>
        <w:tabs>
          <w:tab w:val="left" w:pos="2694"/>
        </w:tabs>
        <w:ind w:left="709" w:hanging="709"/>
        <w:jc w:val="both"/>
        <w:rPr>
          <w:rFonts w:cs="Arial"/>
          <w:sz w:val="22"/>
          <w:szCs w:val="22"/>
        </w:rPr>
      </w:pPr>
      <w:r w:rsidRPr="00E309E3">
        <w:rPr>
          <w:rFonts w:cs="Arial"/>
          <w:sz w:val="22"/>
          <w:szCs w:val="22"/>
        </w:rPr>
        <w:t xml:space="preserve">14. </w:t>
      </w:r>
      <w:r>
        <w:rPr>
          <w:rFonts w:cs="Arial"/>
          <w:sz w:val="22"/>
          <w:szCs w:val="22"/>
        </w:rPr>
        <w:tab/>
      </w:r>
      <w:r w:rsidRPr="00E309E3">
        <w:rPr>
          <w:rFonts w:cs="Arial"/>
          <w:sz w:val="22"/>
          <w:szCs w:val="22"/>
        </w:rPr>
        <w:t>To empower the directors pursuant to section 570 of the Act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to allot equity securities (as defined in section 560(1) of the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Act) for cash pursuant to the general authority conferred on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them by Resolution 12 above and/or to sell equity securities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held as treasury shares for cash pursuant to section 727 of the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Act, in each case as if section 561(1) of the Act did not apply to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any such allotment or sale, provided that this power shall be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limited to:</w:t>
      </w:r>
    </w:p>
    <w:p w14:paraId="51F6F913" w14:textId="77777777" w:rsidR="00E309E3" w:rsidRPr="00E309E3" w:rsidRDefault="00E309E3" w:rsidP="00E309E3">
      <w:pPr>
        <w:tabs>
          <w:tab w:val="left" w:pos="2694"/>
        </w:tabs>
        <w:jc w:val="both"/>
        <w:rPr>
          <w:rFonts w:cs="Arial"/>
          <w:sz w:val="22"/>
          <w:szCs w:val="22"/>
        </w:rPr>
      </w:pPr>
    </w:p>
    <w:p w14:paraId="7E6ACD8D" w14:textId="77777777" w:rsidR="00E309E3" w:rsidRDefault="00E309E3" w:rsidP="00E309E3">
      <w:pPr>
        <w:tabs>
          <w:tab w:val="left" w:pos="2694"/>
        </w:tabs>
        <w:ind w:left="1418" w:hanging="709"/>
        <w:jc w:val="both"/>
        <w:rPr>
          <w:rFonts w:cs="Arial"/>
          <w:sz w:val="22"/>
          <w:szCs w:val="22"/>
        </w:rPr>
      </w:pPr>
      <w:r w:rsidRPr="00E309E3">
        <w:rPr>
          <w:rFonts w:cs="Arial"/>
          <w:sz w:val="22"/>
          <w:szCs w:val="22"/>
        </w:rPr>
        <w:t xml:space="preserve">(a) </w:t>
      </w:r>
      <w:r>
        <w:rPr>
          <w:rFonts w:cs="Arial"/>
          <w:sz w:val="22"/>
          <w:szCs w:val="22"/>
        </w:rPr>
        <w:tab/>
      </w:r>
      <w:r w:rsidRPr="00E309E3">
        <w:rPr>
          <w:rFonts w:cs="Arial"/>
          <w:sz w:val="22"/>
          <w:szCs w:val="22"/>
        </w:rPr>
        <w:t>any such allotment and/or sale of equity securities in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connection with an offer or issue by way of rights or other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pre-emptive offer or issue, open for acceptance for a period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fixed by the directors, to holders of ordinary shares (other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than the Company) on the register on any record date fixed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by the directors in proportion (as nearly as may be) to the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respective number of ordinary shares deemed to be held by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them, subject to such exclusions or other arrangements as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the directors may deem necessary or expedient in relation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to fractional entitlements, legal or practical problems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arising in any overseas territory, the requirements of any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regulatory body or stock exchange or any other matter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whatsoever; and</w:t>
      </w:r>
    </w:p>
    <w:p w14:paraId="370C9369" w14:textId="77777777" w:rsidR="00E309E3" w:rsidRDefault="00E309E3" w:rsidP="00E309E3">
      <w:pPr>
        <w:tabs>
          <w:tab w:val="left" w:pos="2694"/>
        </w:tabs>
        <w:ind w:left="1418" w:hanging="709"/>
        <w:jc w:val="both"/>
        <w:rPr>
          <w:rFonts w:cs="Arial"/>
          <w:sz w:val="22"/>
          <w:szCs w:val="22"/>
        </w:rPr>
      </w:pPr>
    </w:p>
    <w:p w14:paraId="2B8C34CA" w14:textId="1607747D" w:rsidR="00E309E3" w:rsidRDefault="00E309E3" w:rsidP="00E309E3">
      <w:pPr>
        <w:tabs>
          <w:tab w:val="left" w:pos="2694"/>
        </w:tabs>
        <w:ind w:left="1418" w:hanging="709"/>
        <w:jc w:val="both"/>
        <w:rPr>
          <w:rFonts w:cs="Arial"/>
          <w:sz w:val="22"/>
          <w:szCs w:val="22"/>
        </w:rPr>
      </w:pPr>
      <w:r w:rsidRPr="00E309E3">
        <w:rPr>
          <w:rFonts w:cs="Arial"/>
          <w:sz w:val="22"/>
          <w:szCs w:val="22"/>
        </w:rPr>
        <w:t xml:space="preserve">(b) </w:t>
      </w:r>
      <w:r>
        <w:rPr>
          <w:rFonts w:cs="Arial"/>
          <w:sz w:val="22"/>
          <w:szCs w:val="22"/>
        </w:rPr>
        <w:tab/>
      </w:r>
      <w:r w:rsidRPr="00E309E3">
        <w:rPr>
          <w:rFonts w:cs="Arial"/>
          <w:sz w:val="22"/>
          <w:szCs w:val="22"/>
        </w:rPr>
        <w:t>any such allotment and/or sale, otherwise than pursuant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to sub-paragraph (a) above, of equity securities having,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in the case of ordinary shares, an aggregate nominal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amount or, in the case of other equity securities, giving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the right to subscribe or convert into ordinary shares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having an aggregate nominal amount, not exceeding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the sum of £2,555,159.</w:t>
      </w:r>
    </w:p>
    <w:p w14:paraId="3FECF09C" w14:textId="77777777" w:rsidR="00E309E3" w:rsidRPr="00E309E3" w:rsidRDefault="00E309E3" w:rsidP="00E309E3">
      <w:pPr>
        <w:tabs>
          <w:tab w:val="left" w:pos="2694"/>
        </w:tabs>
        <w:jc w:val="both"/>
        <w:rPr>
          <w:rFonts w:cs="Arial"/>
          <w:sz w:val="22"/>
          <w:szCs w:val="22"/>
        </w:rPr>
      </w:pPr>
    </w:p>
    <w:p w14:paraId="738D174E" w14:textId="393BCBA2" w:rsidR="00E309E3" w:rsidRDefault="00E309E3" w:rsidP="00E309E3">
      <w:pPr>
        <w:tabs>
          <w:tab w:val="left" w:pos="2694"/>
        </w:tabs>
        <w:ind w:left="709"/>
        <w:jc w:val="both"/>
        <w:rPr>
          <w:rFonts w:cs="Arial"/>
          <w:sz w:val="22"/>
          <w:szCs w:val="22"/>
        </w:rPr>
      </w:pPr>
      <w:r w:rsidRPr="00E309E3">
        <w:rPr>
          <w:rFonts w:cs="Arial"/>
          <w:sz w:val="22"/>
          <w:szCs w:val="22"/>
        </w:rPr>
        <w:t>This authority shall expire, unless previously revoked or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renewed by the Company in a general meeting, at such time as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the general authority conferred on the directors by Resolution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12 above expires, except that the Company may at any time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before such expiry make any offer or agreement which would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or might require equity securities to be allotted or equity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securities held as treasury shares to be sold after such expiry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and the directors may allot equity securities and/or sell equity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securities held as treasury shares in pursuance of such an offer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or agreement as if the power conferred by this resolution had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not expired.</w:t>
      </w:r>
    </w:p>
    <w:p w14:paraId="051B50A1" w14:textId="77777777" w:rsidR="00E309E3" w:rsidRPr="00E309E3" w:rsidRDefault="00E309E3" w:rsidP="00E309E3">
      <w:pPr>
        <w:tabs>
          <w:tab w:val="left" w:pos="2694"/>
        </w:tabs>
        <w:jc w:val="both"/>
        <w:rPr>
          <w:rFonts w:cs="Arial"/>
          <w:sz w:val="22"/>
          <w:szCs w:val="22"/>
        </w:rPr>
      </w:pPr>
    </w:p>
    <w:p w14:paraId="7230B44E" w14:textId="23FB4E29" w:rsidR="00E309E3" w:rsidRDefault="00E309E3" w:rsidP="00E309E3">
      <w:pPr>
        <w:tabs>
          <w:tab w:val="left" w:pos="2694"/>
        </w:tabs>
        <w:ind w:left="709" w:hanging="709"/>
        <w:jc w:val="both"/>
        <w:rPr>
          <w:rFonts w:cs="Arial"/>
          <w:sz w:val="22"/>
          <w:szCs w:val="22"/>
        </w:rPr>
      </w:pPr>
      <w:r w:rsidRPr="00E309E3">
        <w:rPr>
          <w:rFonts w:cs="Arial"/>
          <w:sz w:val="22"/>
          <w:szCs w:val="22"/>
        </w:rPr>
        <w:t xml:space="preserve">15. </w:t>
      </w:r>
      <w:r>
        <w:rPr>
          <w:rFonts w:cs="Arial"/>
          <w:sz w:val="22"/>
          <w:szCs w:val="22"/>
        </w:rPr>
        <w:tab/>
      </w:r>
      <w:r w:rsidRPr="00E309E3">
        <w:rPr>
          <w:rFonts w:cs="Arial"/>
          <w:sz w:val="22"/>
          <w:szCs w:val="22"/>
        </w:rPr>
        <w:t>In addition to any authority granted under Resolution 14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overleaf, to empower the directors pursuant to section 570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of the Act to allot equity securities (as defined in section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560(1) of the Act) for cash pursuant to the general authority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conferred on them by Resolution 12 overleaf and/or to sell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equity securities held as treasury shares for cash pursuant to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section 727 of the Act, in each case as if section 561(1) of the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Act did not apply to any such allotment or sale, provided that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this power shall be:</w:t>
      </w:r>
    </w:p>
    <w:p w14:paraId="40BB5C53" w14:textId="77777777" w:rsidR="00E309E3" w:rsidRPr="00E309E3" w:rsidRDefault="00E309E3" w:rsidP="00E309E3">
      <w:pPr>
        <w:tabs>
          <w:tab w:val="left" w:pos="2694"/>
        </w:tabs>
        <w:jc w:val="both"/>
        <w:rPr>
          <w:rFonts w:cs="Arial"/>
          <w:sz w:val="22"/>
          <w:szCs w:val="22"/>
        </w:rPr>
      </w:pPr>
    </w:p>
    <w:p w14:paraId="6E5227B0" w14:textId="397C8773" w:rsidR="00E309E3" w:rsidRDefault="00E309E3" w:rsidP="00E309E3">
      <w:pPr>
        <w:tabs>
          <w:tab w:val="left" w:pos="2694"/>
        </w:tabs>
        <w:ind w:left="1418" w:hanging="709"/>
        <w:jc w:val="both"/>
        <w:rPr>
          <w:rFonts w:cs="Arial"/>
          <w:sz w:val="22"/>
          <w:szCs w:val="22"/>
        </w:rPr>
      </w:pPr>
      <w:r w:rsidRPr="00E309E3">
        <w:rPr>
          <w:rFonts w:cs="Arial"/>
          <w:sz w:val="22"/>
          <w:szCs w:val="22"/>
        </w:rPr>
        <w:t xml:space="preserve">(a) </w:t>
      </w:r>
      <w:r>
        <w:rPr>
          <w:rFonts w:cs="Arial"/>
          <w:sz w:val="22"/>
          <w:szCs w:val="22"/>
        </w:rPr>
        <w:tab/>
      </w:r>
      <w:r w:rsidRPr="00E309E3">
        <w:rPr>
          <w:rFonts w:cs="Arial"/>
          <w:sz w:val="22"/>
          <w:szCs w:val="22"/>
        </w:rPr>
        <w:t>limited to any such allotment and/or sale of equity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securities having, in the case of ordinary shares, an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aggregate nominal amount or, in the case of other equity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securities, giving the right to subscribe or convert into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ordinary shares having an aggregate nominal amount,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not exceeding the sum of £2,555,159; and</w:t>
      </w:r>
    </w:p>
    <w:p w14:paraId="34FD8C86" w14:textId="77777777" w:rsidR="00E309E3" w:rsidRPr="00E309E3" w:rsidRDefault="00E309E3" w:rsidP="00E309E3">
      <w:pPr>
        <w:tabs>
          <w:tab w:val="left" w:pos="2694"/>
        </w:tabs>
        <w:jc w:val="both"/>
        <w:rPr>
          <w:rFonts w:cs="Arial"/>
          <w:sz w:val="22"/>
          <w:szCs w:val="22"/>
        </w:rPr>
      </w:pPr>
    </w:p>
    <w:p w14:paraId="05C78144" w14:textId="09D684C6" w:rsidR="00E309E3" w:rsidRDefault="00E309E3" w:rsidP="00E309E3">
      <w:pPr>
        <w:tabs>
          <w:tab w:val="left" w:pos="2694"/>
        </w:tabs>
        <w:ind w:left="1418" w:hanging="709"/>
        <w:jc w:val="both"/>
        <w:rPr>
          <w:rFonts w:cs="Arial"/>
          <w:sz w:val="22"/>
          <w:szCs w:val="22"/>
        </w:rPr>
      </w:pPr>
      <w:r w:rsidRPr="00E309E3">
        <w:rPr>
          <w:rFonts w:cs="Arial"/>
          <w:sz w:val="22"/>
          <w:szCs w:val="22"/>
        </w:rPr>
        <w:lastRenderedPageBreak/>
        <w:t xml:space="preserve">(b) </w:t>
      </w:r>
      <w:r>
        <w:rPr>
          <w:rFonts w:cs="Arial"/>
          <w:sz w:val="22"/>
          <w:szCs w:val="22"/>
        </w:rPr>
        <w:tab/>
      </w:r>
      <w:r w:rsidRPr="00E309E3">
        <w:rPr>
          <w:rFonts w:cs="Arial"/>
          <w:sz w:val="22"/>
          <w:szCs w:val="22"/>
        </w:rPr>
        <w:t>used only for the purposes of financing (or refinancing,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if the authority is to be used within six months after the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original transaction) a transaction which the directors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determine to be an acquisition or other capital investment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of a kind contemplated by the Statement of Principles on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Disapplying Pre-Emption Rights most recently published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by the Pre-Emption Group prior to the date of this Notice.</w:t>
      </w:r>
    </w:p>
    <w:p w14:paraId="746364DF" w14:textId="77777777" w:rsidR="00E309E3" w:rsidRPr="00E309E3" w:rsidRDefault="00E309E3" w:rsidP="00E309E3">
      <w:pPr>
        <w:tabs>
          <w:tab w:val="left" w:pos="2694"/>
        </w:tabs>
        <w:jc w:val="both"/>
        <w:rPr>
          <w:rFonts w:cs="Arial"/>
          <w:sz w:val="22"/>
          <w:szCs w:val="22"/>
        </w:rPr>
      </w:pPr>
    </w:p>
    <w:p w14:paraId="15BE41B3" w14:textId="787B9F90" w:rsidR="00E309E3" w:rsidRDefault="00E309E3" w:rsidP="00E309E3">
      <w:pPr>
        <w:tabs>
          <w:tab w:val="left" w:pos="2694"/>
        </w:tabs>
        <w:ind w:left="709"/>
        <w:jc w:val="both"/>
        <w:rPr>
          <w:rFonts w:cs="Arial"/>
          <w:sz w:val="22"/>
          <w:szCs w:val="22"/>
        </w:rPr>
      </w:pPr>
      <w:r w:rsidRPr="00E309E3">
        <w:rPr>
          <w:rFonts w:cs="Arial"/>
          <w:sz w:val="22"/>
          <w:szCs w:val="22"/>
        </w:rPr>
        <w:t>This authority shall expire, unless previously revoked or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renewed by the Company in a general meeting, at such time as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the general authority conferred on the directors by Resolution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12 expires, except that the Company may at any time before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such expiry make any offer or agreement which would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or might require equity securities to be allotted or equity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securities held as treasury shares to be sold after such expiry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and the directors may allot equity securities and/or sell equity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securities held as treasury shares in pursuance of such an offer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or agreement as if the power conferred by this resolution had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not expired.</w:t>
      </w:r>
    </w:p>
    <w:p w14:paraId="20743048" w14:textId="77777777" w:rsidR="00E309E3" w:rsidRDefault="00E309E3" w:rsidP="00E309E3">
      <w:pPr>
        <w:tabs>
          <w:tab w:val="left" w:pos="2694"/>
        </w:tabs>
        <w:jc w:val="both"/>
        <w:rPr>
          <w:rFonts w:cs="Arial"/>
          <w:sz w:val="22"/>
          <w:szCs w:val="22"/>
        </w:rPr>
      </w:pPr>
    </w:p>
    <w:p w14:paraId="3A5896E3" w14:textId="1DCACF9F" w:rsidR="00E309E3" w:rsidRDefault="00E309E3" w:rsidP="00E309E3">
      <w:pPr>
        <w:tabs>
          <w:tab w:val="left" w:pos="2694"/>
        </w:tabs>
        <w:ind w:left="709" w:hanging="709"/>
        <w:jc w:val="both"/>
        <w:rPr>
          <w:rFonts w:cs="Arial"/>
          <w:sz w:val="22"/>
          <w:szCs w:val="22"/>
        </w:rPr>
      </w:pPr>
      <w:r w:rsidRPr="00E309E3">
        <w:rPr>
          <w:rFonts w:cs="Arial"/>
          <w:sz w:val="22"/>
          <w:szCs w:val="22"/>
        </w:rPr>
        <w:t xml:space="preserve">16. </w:t>
      </w:r>
      <w:r>
        <w:rPr>
          <w:rFonts w:cs="Arial"/>
          <w:sz w:val="22"/>
          <w:szCs w:val="22"/>
        </w:rPr>
        <w:tab/>
      </w:r>
      <w:r w:rsidRPr="00E309E3">
        <w:rPr>
          <w:rFonts w:cs="Arial"/>
          <w:sz w:val="22"/>
          <w:szCs w:val="22"/>
        </w:rPr>
        <w:t>That the Company be and is generally and unconditionally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authorised to make market purchases (as defined in section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693(4) of the Act) of its ordinary shares of 50 pence each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provided that in doing so it:</w:t>
      </w:r>
    </w:p>
    <w:p w14:paraId="2EB645B3" w14:textId="77777777" w:rsidR="00E309E3" w:rsidRPr="00E309E3" w:rsidRDefault="00E309E3" w:rsidP="00E309E3">
      <w:pPr>
        <w:tabs>
          <w:tab w:val="left" w:pos="2694"/>
        </w:tabs>
        <w:jc w:val="both"/>
        <w:rPr>
          <w:rFonts w:cs="Arial"/>
          <w:sz w:val="22"/>
          <w:szCs w:val="22"/>
        </w:rPr>
      </w:pPr>
    </w:p>
    <w:p w14:paraId="3BC84CFA" w14:textId="77777777" w:rsidR="00E309E3" w:rsidRDefault="00E309E3" w:rsidP="00E309E3">
      <w:pPr>
        <w:tabs>
          <w:tab w:val="left" w:pos="2694"/>
        </w:tabs>
        <w:ind w:left="1418" w:hanging="709"/>
        <w:jc w:val="both"/>
        <w:rPr>
          <w:rFonts w:cs="Arial"/>
          <w:sz w:val="22"/>
          <w:szCs w:val="22"/>
        </w:rPr>
      </w:pPr>
      <w:r w:rsidRPr="00E309E3">
        <w:rPr>
          <w:rFonts w:cs="Arial"/>
          <w:sz w:val="22"/>
          <w:szCs w:val="22"/>
        </w:rPr>
        <w:t xml:space="preserve">(a) </w:t>
      </w:r>
      <w:r>
        <w:rPr>
          <w:rFonts w:cs="Arial"/>
          <w:sz w:val="22"/>
          <w:szCs w:val="22"/>
        </w:rPr>
        <w:tab/>
      </w:r>
      <w:r w:rsidRPr="00E309E3">
        <w:rPr>
          <w:rFonts w:cs="Arial"/>
          <w:sz w:val="22"/>
          <w:szCs w:val="22"/>
        </w:rPr>
        <w:t>purchases no more than 10,220,639 ordinary shares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 xml:space="preserve">of 50 pence </w:t>
      </w:r>
      <w:proofErr w:type="gramStart"/>
      <w:r w:rsidRPr="00E309E3">
        <w:rPr>
          <w:rFonts w:cs="Arial"/>
          <w:sz w:val="22"/>
          <w:szCs w:val="22"/>
        </w:rPr>
        <w:t>each;</w:t>
      </w:r>
      <w:proofErr w:type="gramEnd"/>
    </w:p>
    <w:p w14:paraId="783CC61B" w14:textId="77777777" w:rsidR="00E309E3" w:rsidRDefault="00E309E3" w:rsidP="00E309E3">
      <w:pPr>
        <w:tabs>
          <w:tab w:val="left" w:pos="2694"/>
        </w:tabs>
        <w:ind w:left="1418" w:hanging="709"/>
        <w:jc w:val="both"/>
        <w:rPr>
          <w:rFonts w:cs="Arial"/>
          <w:sz w:val="22"/>
          <w:szCs w:val="22"/>
        </w:rPr>
      </w:pPr>
    </w:p>
    <w:p w14:paraId="1F52CC0B" w14:textId="77777777" w:rsidR="00E309E3" w:rsidRDefault="00E309E3" w:rsidP="00E309E3">
      <w:pPr>
        <w:tabs>
          <w:tab w:val="left" w:pos="2694"/>
        </w:tabs>
        <w:ind w:left="1418" w:hanging="709"/>
        <w:jc w:val="both"/>
        <w:rPr>
          <w:rFonts w:cs="Arial"/>
          <w:sz w:val="22"/>
          <w:szCs w:val="22"/>
        </w:rPr>
      </w:pPr>
      <w:r w:rsidRPr="00E309E3">
        <w:rPr>
          <w:rFonts w:cs="Arial"/>
          <w:sz w:val="22"/>
          <w:szCs w:val="22"/>
        </w:rPr>
        <w:t xml:space="preserve">(b) </w:t>
      </w:r>
      <w:r>
        <w:rPr>
          <w:rFonts w:cs="Arial"/>
          <w:sz w:val="22"/>
          <w:szCs w:val="22"/>
        </w:rPr>
        <w:tab/>
      </w:r>
      <w:r w:rsidRPr="00E309E3">
        <w:rPr>
          <w:rFonts w:cs="Arial"/>
          <w:sz w:val="22"/>
          <w:szCs w:val="22"/>
        </w:rPr>
        <w:t>pays not less than 50 pence (excluding expenses) per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ordinary share of 50 pence each; and</w:t>
      </w:r>
    </w:p>
    <w:p w14:paraId="2538F055" w14:textId="77777777" w:rsidR="00E309E3" w:rsidRDefault="00E309E3" w:rsidP="00E309E3">
      <w:pPr>
        <w:tabs>
          <w:tab w:val="left" w:pos="2694"/>
        </w:tabs>
        <w:ind w:left="1418" w:hanging="709"/>
        <w:jc w:val="both"/>
        <w:rPr>
          <w:rFonts w:cs="Arial"/>
          <w:sz w:val="22"/>
          <w:szCs w:val="22"/>
        </w:rPr>
      </w:pPr>
    </w:p>
    <w:p w14:paraId="06FEAA2B" w14:textId="1468BF74" w:rsidR="00E309E3" w:rsidRDefault="00E309E3" w:rsidP="00E309E3">
      <w:pPr>
        <w:tabs>
          <w:tab w:val="left" w:pos="2694"/>
        </w:tabs>
        <w:ind w:left="1418" w:hanging="709"/>
        <w:jc w:val="both"/>
        <w:rPr>
          <w:rFonts w:cs="Arial"/>
          <w:sz w:val="22"/>
          <w:szCs w:val="22"/>
        </w:rPr>
      </w:pPr>
      <w:r w:rsidRPr="00E309E3">
        <w:rPr>
          <w:rFonts w:cs="Arial"/>
          <w:sz w:val="22"/>
          <w:szCs w:val="22"/>
        </w:rPr>
        <w:t xml:space="preserve">(c) </w:t>
      </w:r>
      <w:r>
        <w:rPr>
          <w:rFonts w:cs="Arial"/>
          <w:sz w:val="22"/>
          <w:szCs w:val="22"/>
        </w:rPr>
        <w:tab/>
      </w:r>
      <w:r w:rsidRPr="00E309E3">
        <w:rPr>
          <w:rFonts w:cs="Arial"/>
          <w:sz w:val="22"/>
          <w:szCs w:val="22"/>
        </w:rPr>
        <w:t>pays a price per share that is not more (excluding expenses)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per ordinary share than the higher of: (i) 5% above the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average of the middle market quotations for the ordinary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shares as derived from the London Stock Exchange Daily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Official List for the five business days immediately before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the day on which it purchases that share; (ii) the price of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the last independent trade on the trading venue where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the purchase is carried out; and (iii) the highest current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independent purchase bid on that venue.</w:t>
      </w:r>
    </w:p>
    <w:p w14:paraId="6D4E2825" w14:textId="77777777" w:rsidR="00E309E3" w:rsidRPr="00E309E3" w:rsidRDefault="00E309E3" w:rsidP="00E309E3">
      <w:pPr>
        <w:tabs>
          <w:tab w:val="left" w:pos="2694"/>
        </w:tabs>
        <w:jc w:val="both"/>
        <w:rPr>
          <w:rFonts w:cs="Arial"/>
          <w:sz w:val="22"/>
          <w:szCs w:val="22"/>
        </w:rPr>
      </w:pPr>
    </w:p>
    <w:p w14:paraId="00D0BF03" w14:textId="2FE19824" w:rsidR="00E309E3" w:rsidRDefault="00E309E3" w:rsidP="00E309E3">
      <w:pPr>
        <w:tabs>
          <w:tab w:val="left" w:pos="2694"/>
        </w:tabs>
        <w:ind w:left="709"/>
        <w:jc w:val="both"/>
        <w:rPr>
          <w:rFonts w:cs="Arial"/>
          <w:sz w:val="22"/>
          <w:szCs w:val="22"/>
        </w:rPr>
      </w:pPr>
      <w:r w:rsidRPr="00E309E3">
        <w:rPr>
          <w:rFonts w:cs="Arial"/>
          <w:sz w:val="22"/>
          <w:szCs w:val="22"/>
        </w:rPr>
        <w:t>This authority shall expire 15 months after the date of the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passing of this resolution or, if earlier, at the conclusion of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the AGM of the Company to be held in 2026, except that the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Company may, if it agrees to purchase ordinary shares under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this authority before it expires, complete the purchase wholly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or partly after this authority expires.</w:t>
      </w:r>
    </w:p>
    <w:p w14:paraId="3012ACF0" w14:textId="77777777" w:rsidR="00E309E3" w:rsidRPr="00E309E3" w:rsidRDefault="00E309E3" w:rsidP="00E309E3">
      <w:pPr>
        <w:tabs>
          <w:tab w:val="left" w:pos="2694"/>
        </w:tabs>
        <w:jc w:val="both"/>
        <w:rPr>
          <w:rFonts w:cs="Arial"/>
          <w:sz w:val="22"/>
          <w:szCs w:val="22"/>
        </w:rPr>
      </w:pPr>
    </w:p>
    <w:p w14:paraId="78EFCC1E" w14:textId="725273CB" w:rsidR="00E309E3" w:rsidRDefault="00E309E3" w:rsidP="00E309E3">
      <w:pPr>
        <w:tabs>
          <w:tab w:val="left" w:pos="2694"/>
        </w:tabs>
        <w:ind w:left="709" w:hanging="709"/>
        <w:jc w:val="both"/>
        <w:rPr>
          <w:rFonts w:cs="Arial"/>
          <w:sz w:val="22"/>
          <w:szCs w:val="22"/>
        </w:rPr>
      </w:pPr>
      <w:r w:rsidRPr="00E309E3">
        <w:rPr>
          <w:rFonts w:cs="Arial"/>
          <w:sz w:val="22"/>
          <w:szCs w:val="22"/>
        </w:rPr>
        <w:t xml:space="preserve">17. </w:t>
      </w:r>
      <w:r>
        <w:rPr>
          <w:rFonts w:cs="Arial"/>
          <w:sz w:val="22"/>
          <w:szCs w:val="22"/>
        </w:rPr>
        <w:tab/>
      </w:r>
      <w:r w:rsidRPr="00E309E3">
        <w:rPr>
          <w:rFonts w:cs="Arial"/>
          <w:sz w:val="22"/>
          <w:szCs w:val="22"/>
        </w:rPr>
        <w:t>That a general meeting other than an AGM may be called on</w:t>
      </w:r>
      <w:r>
        <w:rPr>
          <w:rFonts w:cs="Arial"/>
          <w:sz w:val="22"/>
          <w:szCs w:val="22"/>
        </w:rPr>
        <w:t xml:space="preserve"> </w:t>
      </w:r>
      <w:r w:rsidRPr="00E309E3">
        <w:rPr>
          <w:rFonts w:cs="Arial"/>
          <w:sz w:val="22"/>
          <w:szCs w:val="22"/>
        </w:rPr>
        <w:t>not less than 14 clear days’ notice.</w:t>
      </w:r>
      <w:r>
        <w:rPr>
          <w:rFonts w:cs="Arial"/>
          <w:sz w:val="22"/>
          <w:szCs w:val="22"/>
        </w:rPr>
        <w:t xml:space="preserve"> </w:t>
      </w:r>
    </w:p>
    <w:p w14:paraId="740D9EE9" w14:textId="77777777" w:rsidR="00582490" w:rsidRPr="00582490" w:rsidRDefault="00582490" w:rsidP="00582490">
      <w:pPr>
        <w:tabs>
          <w:tab w:val="left" w:pos="2694"/>
        </w:tabs>
        <w:jc w:val="both"/>
        <w:rPr>
          <w:rFonts w:cs="Arial"/>
          <w:sz w:val="22"/>
          <w:szCs w:val="22"/>
        </w:rPr>
      </w:pPr>
    </w:p>
    <w:p w14:paraId="2AA71A71" w14:textId="33E16E9D" w:rsidR="0077051E" w:rsidRPr="007D3651" w:rsidRDefault="005039AB" w:rsidP="005039AB">
      <w:pPr>
        <w:tabs>
          <w:tab w:val="left" w:pos="2694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             </w:t>
      </w:r>
      <w:r w:rsidRPr="005039AB">
        <w:rPr>
          <w:rFonts w:cs="Arial"/>
          <w:noProof/>
          <w:sz w:val="22"/>
          <w:szCs w:val="22"/>
        </w:rPr>
        <w:drawing>
          <wp:inline distT="0" distB="0" distL="0" distR="0" wp14:anchorId="055D1243" wp14:editId="5E9248A3">
            <wp:extent cx="1181265" cy="609685"/>
            <wp:effectExtent l="0" t="0" r="0" b="0"/>
            <wp:docPr id="1976725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7259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4647">
        <w:rPr>
          <w:rFonts w:cs="Arial"/>
          <w:sz w:val="22"/>
          <w:szCs w:val="22"/>
        </w:rPr>
        <w:tab/>
      </w:r>
      <w:r w:rsidR="00884647">
        <w:rPr>
          <w:rFonts w:cs="Arial"/>
          <w:sz w:val="22"/>
          <w:szCs w:val="22"/>
        </w:rPr>
        <w:tab/>
      </w:r>
      <w:r w:rsidR="0077051E" w:rsidRPr="007D3651">
        <w:rPr>
          <w:rFonts w:cs="Arial"/>
          <w:sz w:val="22"/>
          <w:szCs w:val="22"/>
        </w:rPr>
        <w:tab/>
      </w:r>
      <w:r w:rsidR="0077051E" w:rsidRPr="007D3651">
        <w:rPr>
          <w:rFonts w:cs="Arial"/>
          <w:sz w:val="22"/>
          <w:szCs w:val="22"/>
        </w:rPr>
        <w:tab/>
      </w:r>
      <w:r w:rsidR="0077051E" w:rsidRPr="007D3651">
        <w:rPr>
          <w:rFonts w:cs="Arial"/>
          <w:sz w:val="22"/>
          <w:szCs w:val="22"/>
        </w:rPr>
        <w:tab/>
      </w:r>
      <w:r w:rsidR="0077051E" w:rsidRPr="007D3651">
        <w:rPr>
          <w:rFonts w:cs="Arial"/>
          <w:sz w:val="22"/>
          <w:szCs w:val="22"/>
        </w:rPr>
        <w:tab/>
      </w:r>
      <w:r w:rsidR="0077051E" w:rsidRPr="007D3651">
        <w:rPr>
          <w:rFonts w:cs="Arial"/>
          <w:sz w:val="22"/>
          <w:szCs w:val="22"/>
        </w:rPr>
        <w:tab/>
      </w:r>
      <w:r w:rsidR="0077051E" w:rsidRPr="007D3651">
        <w:rPr>
          <w:rFonts w:cs="Arial"/>
          <w:sz w:val="22"/>
          <w:szCs w:val="22"/>
        </w:rPr>
        <w:tab/>
        <w:t>_________________</w:t>
      </w:r>
    </w:p>
    <w:p w14:paraId="3E60C1BF" w14:textId="77777777" w:rsidR="00884647" w:rsidRDefault="00E973EB" w:rsidP="00855369">
      <w:pPr>
        <w:tabs>
          <w:tab w:val="left" w:pos="2694"/>
        </w:tabs>
        <w:jc w:val="both"/>
        <w:rPr>
          <w:rFonts w:cs="Arial"/>
          <w:sz w:val="22"/>
          <w:szCs w:val="22"/>
        </w:rPr>
      </w:pPr>
      <w:r w:rsidRPr="007D3651">
        <w:rPr>
          <w:rFonts w:cs="Arial"/>
          <w:sz w:val="22"/>
          <w:szCs w:val="22"/>
        </w:rPr>
        <w:softHyphen/>
      </w:r>
      <w:r w:rsidRPr="007D3651">
        <w:rPr>
          <w:rFonts w:cs="Arial"/>
          <w:sz w:val="22"/>
          <w:szCs w:val="22"/>
        </w:rPr>
        <w:softHyphen/>
      </w:r>
      <w:r w:rsidR="0077051E" w:rsidRPr="007D3651">
        <w:rPr>
          <w:rFonts w:cs="Arial"/>
          <w:sz w:val="22"/>
          <w:szCs w:val="22"/>
        </w:rPr>
        <w:tab/>
      </w:r>
      <w:r w:rsidR="0077051E" w:rsidRPr="007D3651">
        <w:rPr>
          <w:rFonts w:cs="Arial"/>
          <w:sz w:val="22"/>
          <w:szCs w:val="22"/>
        </w:rPr>
        <w:tab/>
      </w:r>
      <w:r w:rsidR="0077051E" w:rsidRPr="007D3651">
        <w:rPr>
          <w:rFonts w:cs="Arial"/>
          <w:sz w:val="22"/>
          <w:szCs w:val="22"/>
        </w:rPr>
        <w:tab/>
      </w:r>
      <w:r w:rsidR="0077051E" w:rsidRPr="007D3651">
        <w:rPr>
          <w:rFonts w:cs="Arial"/>
          <w:sz w:val="22"/>
          <w:szCs w:val="22"/>
        </w:rPr>
        <w:tab/>
      </w:r>
      <w:r w:rsidR="0077051E" w:rsidRPr="007D3651">
        <w:rPr>
          <w:rFonts w:cs="Arial"/>
          <w:sz w:val="22"/>
          <w:szCs w:val="22"/>
        </w:rPr>
        <w:tab/>
      </w:r>
      <w:r w:rsidR="0077051E" w:rsidRPr="007D3651">
        <w:rPr>
          <w:rFonts w:cs="Arial"/>
          <w:sz w:val="22"/>
          <w:szCs w:val="22"/>
        </w:rPr>
        <w:tab/>
      </w:r>
      <w:r w:rsidR="00884647">
        <w:rPr>
          <w:rFonts w:cs="Arial"/>
          <w:sz w:val="22"/>
          <w:szCs w:val="22"/>
        </w:rPr>
        <w:t>Kevin Corbett</w:t>
      </w:r>
    </w:p>
    <w:p w14:paraId="2177F59D" w14:textId="7B5E2FC1" w:rsidR="0077051E" w:rsidRPr="00636270" w:rsidRDefault="00884647" w:rsidP="00855369">
      <w:pPr>
        <w:tabs>
          <w:tab w:val="left" w:pos="269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44378B" w:rsidRPr="007D3651">
        <w:rPr>
          <w:rFonts w:cs="Arial"/>
          <w:sz w:val="22"/>
          <w:szCs w:val="22"/>
        </w:rPr>
        <w:t>Secretary</w:t>
      </w:r>
      <w:r w:rsidR="0044378B" w:rsidRPr="00636270">
        <w:rPr>
          <w:rFonts w:cs="Arial"/>
          <w:sz w:val="22"/>
          <w:szCs w:val="22"/>
        </w:rPr>
        <w:t xml:space="preserve"> </w:t>
      </w:r>
      <w:r w:rsidR="001B35B0" w:rsidRPr="00636270">
        <w:rPr>
          <w:rFonts w:cs="Arial"/>
          <w:sz w:val="22"/>
          <w:szCs w:val="22"/>
        </w:rPr>
        <w:t xml:space="preserve"> </w:t>
      </w:r>
    </w:p>
    <w:p w14:paraId="7F1D46E6" w14:textId="77777777" w:rsidR="00C36B1C" w:rsidRPr="00636270" w:rsidRDefault="00C36B1C" w:rsidP="00636270">
      <w:pPr>
        <w:jc w:val="both"/>
        <w:rPr>
          <w:rFonts w:cs="Arial"/>
          <w:color w:val="000000"/>
          <w:sz w:val="22"/>
          <w:szCs w:val="22"/>
        </w:rPr>
      </w:pPr>
    </w:p>
    <w:sectPr w:rsidR="00C36B1C" w:rsidRPr="00636270">
      <w:footerReference w:type="even" r:id="rId8"/>
      <w:footerReference w:type="default" r:id="rId9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CEEE" w14:textId="77777777" w:rsidR="002651F3" w:rsidRDefault="002651F3">
      <w:r>
        <w:separator/>
      </w:r>
    </w:p>
  </w:endnote>
  <w:endnote w:type="continuationSeparator" w:id="0">
    <w:p w14:paraId="4C57BF17" w14:textId="77777777" w:rsidR="002651F3" w:rsidRDefault="0026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0C48" w14:textId="77777777" w:rsidR="00C2615C" w:rsidRDefault="00C261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709D31C" w14:textId="77777777" w:rsidR="00C2615C" w:rsidRDefault="00C261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0AA9" w14:textId="77777777" w:rsidR="00C2615C" w:rsidRPr="00C86555" w:rsidRDefault="00C2615C">
    <w:pPr>
      <w:pStyle w:val="Footer"/>
      <w:framePr w:wrap="around" w:vAnchor="text" w:hAnchor="margin" w:xAlign="right" w:y="1"/>
      <w:rPr>
        <w:rStyle w:val="PageNumber"/>
        <w:sz w:val="18"/>
      </w:rPr>
    </w:pPr>
    <w:r w:rsidRPr="00C86555">
      <w:rPr>
        <w:rStyle w:val="PageNumber"/>
        <w:sz w:val="18"/>
      </w:rPr>
      <w:fldChar w:fldCharType="begin"/>
    </w:r>
    <w:r w:rsidRPr="00C86555">
      <w:rPr>
        <w:rStyle w:val="PageNumber"/>
        <w:sz w:val="18"/>
      </w:rPr>
      <w:instrText xml:space="preserve">PAGE  </w:instrText>
    </w:r>
    <w:r w:rsidRPr="00C86555">
      <w:rPr>
        <w:rStyle w:val="PageNumber"/>
        <w:sz w:val="18"/>
      </w:rPr>
      <w:fldChar w:fldCharType="separate"/>
    </w:r>
    <w:r w:rsidR="00946C5B">
      <w:rPr>
        <w:rStyle w:val="PageNumber"/>
        <w:noProof/>
        <w:sz w:val="18"/>
      </w:rPr>
      <w:t>2</w:t>
    </w:r>
    <w:r w:rsidRPr="00C86555">
      <w:rPr>
        <w:rStyle w:val="PageNumber"/>
        <w:sz w:val="18"/>
      </w:rPr>
      <w:fldChar w:fldCharType="end"/>
    </w:r>
  </w:p>
  <w:p w14:paraId="34FEA9FF" w14:textId="77777777" w:rsidR="00C2615C" w:rsidRDefault="00C261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D98C" w14:textId="77777777" w:rsidR="002651F3" w:rsidRDefault="002651F3">
      <w:r>
        <w:separator/>
      </w:r>
    </w:p>
  </w:footnote>
  <w:footnote w:type="continuationSeparator" w:id="0">
    <w:p w14:paraId="32AEC004" w14:textId="77777777" w:rsidR="002651F3" w:rsidRDefault="00265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570"/>
    <w:multiLevelType w:val="hybridMultilevel"/>
    <w:tmpl w:val="6CCC6A9A"/>
    <w:lvl w:ilvl="0" w:tplc="1308906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D95C513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094"/>
    <w:multiLevelType w:val="hybridMultilevel"/>
    <w:tmpl w:val="1F06A3D8"/>
    <w:lvl w:ilvl="0" w:tplc="A8E4B9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66510"/>
    <w:multiLevelType w:val="hybridMultilevel"/>
    <w:tmpl w:val="9FF4F0D6"/>
    <w:lvl w:ilvl="0" w:tplc="FFFFFFFF">
      <w:start w:val="1"/>
      <w:numFmt w:val="lowerLetter"/>
      <w:lvlText w:val="(%1)"/>
      <w:lvlJc w:val="left"/>
      <w:pPr>
        <w:ind w:left="1069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CA522A"/>
    <w:multiLevelType w:val="hybridMultilevel"/>
    <w:tmpl w:val="1F681C82"/>
    <w:lvl w:ilvl="0" w:tplc="E9CA99FE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0C3B2D"/>
    <w:multiLevelType w:val="hybridMultilevel"/>
    <w:tmpl w:val="9FF4F0D6"/>
    <w:lvl w:ilvl="0" w:tplc="FFFFFFFF">
      <w:start w:val="1"/>
      <w:numFmt w:val="lowerLetter"/>
      <w:lvlText w:val="(%1)"/>
      <w:lvlJc w:val="left"/>
      <w:pPr>
        <w:ind w:left="1069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747A91"/>
    <w:multiLevelType w:val="hybridMultilevel"/>
    <w:tmpl w:val="9FF4F0D6"/>
    <w:lvl w:ilvl="0" w:tplc="FFFFFFFF">
      <w:start w:val="1"/>
      <w:numFmt w:val="lowerLetter"/>
      <w:lvlText w:val="(%1)"/>
      <w:lvlJc w:val="left"/>
      <w:pPr>
        <w:ind w:left="1069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193980"/>
    <w:multiLevelType w:val="hybridMultilevel"/>
    <w:tmpl w:val="9FF4F0D6"/>
    <w:lvl w:ilvl="0" w:tplc="F10CDE40">
      <w:start w:val="1"/>
      <w:numFmt w:val="lowerLetter"/>
      <w:lvlText w:val="(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8E4F42"/>
    <w:multiLevelType w:val="hybridMultilevel"/>
    <w:tmpl w:val="ACA4C112"/>
    <w:lvl w:ilvl="0" w:tplc="D95C513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D95C513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665BF"/>
    <w:multiLevelType w:val="singleLevel"/>
    <w:tmpl w:val="274ACE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5AE0F1D"/>
    <w:multiLevelType w:val="singleLevel"/>
    <w:tmpl w:val="FA820B86"/>
    <w:lvl w:ilvl="0">
      <w:start w:val="1"/>
      <w:numFmt w:val="low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0" w15:restartNumberingAfterBreak="0">
    <w:nsid w:val="77A370F5"/>
    <w:multiLevelType w:val="hybridMultilevel"/>
    <w:tmpl w:val="BAEA3BE6"/>
    <w:lvl w:ilvl="0" w:tplc="20E42A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9115E"/>
    <w:multiLevelType w:val="hybridMultilevel"/>
    <w:tmpl w:val="3620FBAC"/>
    <w:lvl w:ilvl="0" w:tplc="72688D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21BDA"/>
    <w:multiLevelType w:val="hybridMultilevel"/>
    <w:tmpl w:val="52E220B4"/>
    <w:lvl w:ilvl="0" w:tplc="FD86AA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315326"/>
    <w:multiLevelType w:val="hybridMultilevel"/>
    <w:tmpl w:val="C7EC4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9C2E7C6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105317">
    <w:abstractNumId w:val="8"/>
  </w:num>
  <w:num w:numId="2" w16cid:durableId="821460674">
    <w:abstractNumId w:val="9"/>
  </w:num>
  <w:num w:numId="3" w16cid:durableId="2047365522">
    <w:abstractNumId w:val="0"/>
  </w:num>
  <w:num w:numId="4" w16cid:durableId="1296333289">
    <w:abstractNumId w:val="13"/>
  </w:num>
  <w:num w:numId="5" w16cid:durableId="2097895102">
    <w:abstractNumId w:val="7"/>
  </w:num>
  <w:num w:numId="6" w16cid:durableId="540091520">
    <w:abstractNumId w:val="3"/>
  </w:num>
  <w:num w:numId="7" w16cid:durableId="2126265260">
    <w:abstractNumId w:val="12"/>
  </w:num>
  <w:num w:numId="8" w16cid:durableId="284626996">
    <w:abstractNumId w:val="6"/>
  </w:num>
  <w:num w:numId="9" w16cid:durableId="1705862591">
    <w:abstractNumId w:val="10"/>
  </w:num>
  <w:num w:numId="10" w16cid:durableId="1504470450">
    <w:abstractNumId w:val="11"/>
  </w:num>
  <w:num w:numId="11" w16cid:durableId="869295843">
    <w:abstractNumId w:val="1"/>
  </w:num>
  <w:num w:numId="12" w16cid:durableId="1647735489">
    <w:abstractNumId w:val="5"/>
  </w:num>
  <w:num w:numId="13" w16cid:durableId="1789273798">
    <w:abstractNumId w:val="4"/>
  </w:num>
  <w:num w:numId="14" w16cid:durableId="1836719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D8"/>
    <w:rsid w:val="0000222B"/>
    <w:rsid w:val="000163BF"/>
    <w:rsid w:val="0002203E"/>
    <w:rsid w:val="000611DE"/>
    <w:rsid w:val="0007022F"/>
    <w:rsid w:val="00073546"/>
    <w:rsid w:val="000826C4"/>
    <w:rsid w:val="000A0E79"/>
    <w:rsid w:val="000B6104"/>
    <w:rsid w:val="000C5D77"/>
    <w:rsid w:val="000D37ED"/>
    <w:rsid w:val="000D4226"/>
    <w:rsid w:val="000D506E"/>
    <w:rsid w:val="000D6D1C"/>
    <w:rsid w:val="000E5E0C"/>
    <w:rsid w:val="000F6B9F"/>
    <w:rsid w:val="00105205"/>
    <w:rsid w:val="0011372E"/>
    <w:rsid w:val="0011498B"/>
    <w:rsid w:val="00131A95"/>
    <w:rsid w:val="0013243D"/>
    <w:rsid w:val="0014014D"/>
    <w:rsid w:val="00141CFE"/>
    <w:rsid w:val="0015332E"/>
    <w:rsid w:val="001676F7"/>
    <w:rsid w:val="001A22E5"/>
    <w:rsid w:val="001A5103"/>
    <w:rsid w:val="001A7447"/>
    <w:rsid w:val="001B35B0"/>
    <w:rsid w:val="001B5566"/>
    <w:rsid w:val="001C2744"/>
    <w:rsid w:val="001F0F2B"/>
    <w:rsid w:val="00217577"/>
    <w:rsid w:val="002248ED"/>
    <w:rsid w:val="00237D99"/>
    <w:rsid w:val="00240861"/>
    <w:rsid w:val="00246718"/>
    <w:rsid w:val="00260B96"/>
    <w:rsid w:val="0026510C"/>
    <w:rsid w:val="002651F3"/>
    <w:rsid w:val="002674C7"/>
    <w:rsid w:val="0027432A"/>
    <w:rsid w:val="00280392"/>
    <w:rsid w:val="00291249"/>
    <w:rsid w:val="002E32FA"/>
    <w:rsid w:val="002E750E"/>
    <w:rsid w:val="00323B8D"/>
    <w:rsid w:val="00324A66"/>
    <w:rsid w:val="00337D16"/>
    <w:rsid w:val="0036143D"/>
    <w:rsid w:val="003724E6"/>
    <w:rsid w:val="0037472E"/>
    <w:rsid w:val="00376ED8"/>
    <w:rsid w:val="003A39FF"/>
    <w:rsid w:val="003A7AFF"/>
    <w:rsid w:val="003B150F"/>
    <w:rsid w:val="003B2C7C"/>
    <w:rsid w:val="003E22C1"/>
    <w:rsid w:val="003F3C56"/>
    <w:rsid w:val="003F46DE"/>
    <w:rsid w:val="00412693"/>
    <w:rsid w:val="0041767F"/>
    <w:rsid w:val="004258E3"/>
    <w:rsid w:val="00434285"/>
    <w:rsid w:val="0044378B"/>
    <w:rsid w:val="004545CA"/>
    <w:rsid w:val="004572AA"/>
    <w:rsid w:val="0049117A"/>
    <w:rsid w:val="0049524A"/>
    <w:rsid w:val="004B6E4B"/>
    <w:rsid w:val="004C7A6E"/>
    <w:rsid w:val="004E48DC"/>
    <w:rsid w:val="004F3C9B"/>
    <w:rsid w:val="004F5917"/>
    <w:rsid w:val="005039AB"/>
    <w:rsid w:val="00545F0B"/>
    <w:rsid w:val="005519AB"/>
    <w:rsid w:val="00551B96"/>
    <w:rsid w:val="00582490"/>
    <w:rsid w:val="005953D4"/>
    <w:rsid w:val="005A0006"/>
    <w:rsid w:val="005A3C73"/>
    <w:rsid w:val="005A7E2C"/>
    <w:rsid w:val="005D31C2"/>
    <w:rsid w:val="005F16D1"/>
    <w:rsid w:val="005F614C"/>
    <w:rsid w:val="00627E92"/>
    <w:rsid w:val="00636270"/>
    <w:rsid w:val="006753A7"/>
    <w:rsid w:val="00677858"/>
    <w:rsid w:val="006A16D2"/>
    <w:rsid w:val="006A5293"/>
    <w:rsid w:val="006A5AA7"/>
    <w:rsid w:val="006B05FF"/>
    <w:rsid w:val="006D23BC"/>
    <w:rsid w:val="0070659D"/>
    <w:rsid w:val="0077051E"/>
    <w:rsid w:val="00772046"/>
    <w:rsid w:val="00787BE4"/>
    <w:rsid w:val="007A1D6F"/>
    <w:rsid w:val="007A34A3"/>
    <w:rsid w:val="007A4B69"/>
    <w:rsid w:val="007B3886"/>
    <w:rsid w:val="007D0C1E"/>
    <w:rsid w:val="007D3651"/>
    <w:rsid w:val="007D59FE"/>
    <w:rsid w:val="007E3C6B"/>
    <w:rsid w:val="00804F2A"/>
    <w:rsid w:val="00807A50"/>
    <w:rsid w:val="0082196A"/>
    <w:rsid w:val="0084383D"/>
    <w:rsid w:val="00855369"/>
    <w:rsid w:val="00866272"/>
    <w:rsid w:val="00884647"/>
    <w:rsid w:val="008A1629"/>
    <w:rsid w:val="008C1662"/>
    <w:rsid w:val="008D4469"/>
    <w:rsid w:val="008E6E60"/>
    <w:rsid w:val="00900606"/>
    <w:rsid w:val="00903B5B"/>
    <w:rsid w:val="00946C5B"/>
    <w:rsid w:val="0095604B"/>
    <w:rsid w:val="009B0EA1"/>
    <w:rsid w:val="009B7DF7"/>
    <w:rsid w:val="009C7E0D"/>
    <w:rsid w:val="009D1050"/>
    <w:rsid w:val="009D109A"/>
    <w:rsid w:val="009D1F11"/>
    <w:rsid w:val="009D5D2B"/>
    <w:rsid w:val="009E41AE"/>
    <w:rsid w:val="009F1C41"/>
    <w:rsid w:val="009F3CDC"/>
    <w:rsid w:val="009F5531"/>
    <w:rsid w:val="00A134D4"/>
    <w:rsid w:val="00A43B3F"/>
    <w:rsid w:val="00A4490E"/>
    <w:rsid w:val="00A47F6B"/>
    <w:rsid w:val="00A70FB1"/>
    <w:rsid w:val="00AA22EA"/>
    <w:rsid w:val="00AC1AF9"/>
    <w:rsid w:val="00B33E92"/>
    <w:rsid w:val="00B3789B"/>
    <w:rsid w:val="00B43482"/>
    <w:rsid w:val="00B5685A"/>
    <w:rsid w:val="00B61939"/>
    <w:rsid w:val="00B90507"/>
    <w:rsid w:val="00BA3366"/>
    <w:rsid w:val="00BB4B5D"/>
    <w:rsid w:val="00BC65E2"/>
    <w:rsid w:val="00BE6976"/>
    <w:rsid w:val="00BF63AA"/>
    <w:rsid w:val="00C05172"/>
    <w:rsid w:val="00C23748"/>
    <w:rsid w:val="00C2615C"/>
    <w:rsid w:val="00C36B1C"/>
    <w:rsid w:val="00C476FE"/>
    <w:rsid w:val="00C75582"/>
    <w:rsid w:val="00C80DFC"/>
    <w:rsid w:val="00C837B0"/>
    <w:rsid w:val="00C86555"/>
    <w:rsid w:val="00CA45D7"/>
    <w:rsid w:val="00CC1BD1"/>
    <w:rsid w:val="00CE0781"/>
    <w:rsid w:val="00CE38AC"/>
    <w:rsid w:val="00CF45D5"/>
    <w:rsid w:val="00D002C4"/>
    <w:rsid w:val="00D330DB"/>
    <w:rsid w:val="00D45892"/>
    <w:rsid w:val="00D46609"/>
    <w:rsid w:val="00D535F9"/>
    <w:rsid w:val="00D91D30"/>
    <w:rsid w:val="00DA76F9"/>
    <w:rsid w:val="00DD2395"/>
    <w:rsid w:val="00DE3D8E"/>
    <w:rsid w:val="00DF46F7"/>
    <w:rsid w:val="00E01C82"/>
    <w:rsid w:val="00E20C9C"/>
    <w:rsid w:val="00E22B5A"/>
    <w:rsid w:val="00E26F85"/>
    <w:rsid w:val="00E309E3"/>
    <w:rsid w:val="00E43532"/>
    <w:rsid w:val="00E4361B"/>
    <w:rsid w:val="00E805B1"/>
    <w:rsid w:val="00E84A46"/>
    <w:rsid w:val="00E90BA3"/>
    <w:rsid w:val="00E973EB"/>
    <w:rsid w:val="00E97746"/>
    <w:rsid w:val="00EA08F8"/>
    <w:rsid w:val="00EA3C9F"/>
    <w:rsid w:val="00EA7535"/>
    <w:rsid w:val="00EB53EB"/>
    <w:rsid w:val="00EC44C6"/>
    <w:rsid w:val="00F306A1"/>
    <w:rsid w:val="00F308E6"/>
    <w:rsid w:val="00F33A25"/>
    <w:rsid w:val="00F504D6"/>
    <w:rsid w:val="00F73C40"/>
    <w:rsid w:val="00F80C2D"/>
    <w:rsid w:val="00F869D3"/>
    <w:rsid w:val="00FC4FCA"/>
    <w:rsid w:val="00FC5F45"/>
    <w:rsid w:val="00FE1956"/>
    <w:rsid w:val="00FF1922"/>
    <w:rsid w:val="00FF2EE6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A844B"/>
  <w15:chartTrackingRefBased/>
  <w15:docId w15:val="{FAA0B975-4D16-42FF-8697-11745FB3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B35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35B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C2744"/>
    <w:pPr>
      <w:ind w:left="720"/>
      <w:contextualSpacing/>
    </w:pPr>
  </w:style>
  <w:style w:type="paragraph" w:styleId="Header">
    <w:name w:val="header"/>
    <w:basedOn w:val="Normal"/>
    <w:link w:val="HeaderChar"/>
    <w:rsid w:val="00C865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86555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rsid w:val="00E435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35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353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4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353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1296</Words>
  <Characters>6540</Characters>
  <Application>Microsoft Office Word</Application>
  <DocSecurity>0</DocSecurity>
  <Lines>159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No 836539</vt:lpstr>
    </vt:vector>
  </TitlesOfParts>
  <Company>galliford try plc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No 836539</dc:title>
  <dc:subject/>
  <dc:creator>Sara Hollowell (Galliford Try)</dc:creator>
  <cp:keywords/>
  <cp:lastModifiedBy>Bethan Richards (Galliford Try)</cp:lastModifiedBy>
  <cp:revision>3</cp:revision>
  <cp:lastPrinted>2023-11-13T11:53:00Z</cp:lastPrinted>
  <dcterms:created xsi:type="dcterms:W3CDTF">2025-11-04T16:26:00Z</dcterms:created>
  <dcterms:modified xsi:type="dcterms:W3CDTF">2025-11-04T16:41:00Z</dcterms:modified>
</cp:coreProperties>
</file>