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7FA6A40" w14:textId="77777777" w:rsidR="000000D8" w:rsidRPr="0094482F" w:rsidRDefault="000000D8" w:rsidP="000000D8">
      <w:pPr>
        <w:spacing w:after="0" w:line="240" w:lineRule="auto"/>
        <w:jc w:val="both"/>
        <w:rPr>
          <w:rFonts w:ascii="ChevinLight" w:hAnsi="ChevinLight"/>
          <w:sz w:val="18"/>
          <w:szCs w:val="18"/>
        </w:rPr>
      </w:pPr>
      <w:r w:rsidRPr="0094482F">
        <w:rPr>
          <w:rFonts w:ascii="ChevinLight" w:hAnsi="ChevinLight"/>
          <w:sz w:val="18"/>
          <w:szCs w:val="18"/>
        </w:rPr>
        <w:t>Royal Mail plc</w:t>
      </w:r>
    </w:p>
    <w:p w14:paraId="1CCADC2A" w14:textId="77777777" w:rsidR="000000D8" w:rsidRPr="0094482F" w:rsidRDefault="000000D8" w:rsidP="000000D8">
      <w:pPr>
        <w:spacing w:after="0" w:line="240" w:lineRule="auto"/>
        <w:jc w:val="both"/>
        <w:rPr>
          <w:rFonts w:ascii="ChevinLight" w:hAnsi="ChevinLight"/>
          <w:sz w:val="18"/>
          <w:szCs w:val="18"/>
          <w:lang w:eastAsia="en-GB"/>
        </w:rPr>
      </w:pPr>
      <w:r w:rsidRPr="0094482F">
        <w:rPr>
          <w:rFonts w:ascii="ChevinLight" w:hAnsi="ChevinLight"/>
          <w:sz w:val="18"/>
          <w:szCs w:val="18"/>
          <w:lang w:eastAsia="en-GB"/>
        </w:rPr>
        <w:t>(Incorporated in England and Wales)</w:t>
      </w:r>
    </w:p>
    <w:p w14:paraId="2D6CF29A" w14:textId="77777777" w:rsidR="000000D8" w:rsidRPr="0094482F" w:rsidRDefault="000000D8" w:rsidP="000000D8">
      <w:pPr>
        <w:spacing w:after="0" w:line="240" w:lineRule="auto"/>
        <w:jc w:val="both"/>
        <w:rPr>
          <w:rFonts w:ascii="ChevinLight" w:hAnsi="ChevinLight"/>
          <w:sz w:val="18"/>
          <w:szCs w:val="18"/>
          <w:lang w:eastAsia="en-GB"/>
        </w:rPr>
      </w:pPr>
      <w:r w:rsidRPr="0094482F">
        <w:rPr>
          <w:rFonts w:ascii="ChevinLight" w:hAnsi="ChevinLight"/>
          <w:sz w:val="18"/>
          <w:szCs w:val="18"/>
          <w:lang w:eastAsia="en-GB"/>
        </w:rPr>
        <w:t>Company Number: 8680755</w:t>
      </w:r>
    </w:p>
    <w:p w14:paraId="47A3D264" w14:textId="77777777" w:rsidR="000000D8" w:rsidRPr="0094482F" w:rsidRDefault="000000D8" w:rsidP="000000D8">
      <w:pPr>
        <w:spacing w:after="0" w:line="240" w:lineRule="auto"/>
        <w:jc w:val="both"/>
        <w:rPr>
          <w:rFonts w:ascii="ChevinLight" w:hAnsi="ChevinLight"/>
          <w:sz w:val="18"/>
          <w:szCs w:val="18"/>
          <w:lang w:eastAsia="en-GB"/>
        </w:rPr>
      </w:pPr>
      <w:r w:rsidRPr="0094482F">
        <w:rPr>
          <w:rFonts w:ascii="ChevinLight" w:hAnsi="ChevinLight"/>
          <w:sz w:val="18"/>
          <w:szCs w:val="18"/>
          <w:lang w:eastAsia="en-GB"/>
        </w:rPr>
        <w:t>LSE Share Code: RMG</w:t>
      </w:r>
    </w:p>
    <w:p w14:paraId="72CB1500" w14:textId="77777777" w:rsidR="000000D8" w:rsidRPr="0094482F" w:rsidRDefault="000000D8" w:rsidP="000000D8">
      <w:pPr>
        <w:spacing w:after="0" w:line="240" w:lineRule="auto"/>
        <w:jc w:val="both"/>
        <w:rPr>
          <w:rFonts w:ascii="ChevinLight" w:hAnsi="ChevinLight"/>
          <w:sz w:val="18"/>
          <w:szCs w:val="18"/>
          <w:lang w:eastAsia="en-GB"/>
        </w:rPr>
      </w:pPr>
      <w:r w:rsidRPr="0094482F">
        <w:rPr>
          <w:rFonts w:ascii="ChevinLight" w:hAnsi="ChevinLight"/>
          <w:sz w:val="18"/>
          <w:szCs w:val="18"/>
          <w:lang w:eastAsia="en-GB"/>
        </w:rPr>
        <w:t>ISIN:  GB00BDVZYZ77</w:t>
      </w:r>
    </w:p>
    <w:p w14:paraId="73F1968F" w14:textId="77777777" w:rsidR="000000D8" w:rsidRPr="0094482F" w:rsidRDefault="000000D8" w:rsidP="000000D8">
      <w:pPr>
        <w:spacing w:after="0" w:line="240" w:lineRule="auto"/>
        <w:jc w:val="both"/>
        <w:rPr>
          <w:rFonts w:ascii="ChevinLight" w:hAnsi="ChevinLight"/>
          <w:sz w:val="18"/>
          <w:szCs w:val="18"/>
          <w:lang w:eastAsia="en-GB"/>
        </w:rPr>
      </w:pPr>
      <w:r w:rsidRPr="0094482F">
        <w:rPr>
          <w:rFonts w:ascii="ChevinLight" w:hAnsi="ChevinLight"/>
          <w:sz w:val="18"/>
          <w:szCs w:val="18"/>
          <w:lang w:eastAsia="en-GB"/>
        </w:rPr>
        <w:t>LEI: 213800TCZZU84G8Z2M70</w:t>
      </w:r>
    </w:p>
    <w:p w14:paraId="41751E86" w14:textId="77777777" w:rsidR="00371144" w:rsidRPr="0094482F" w:rsidRDefault="00371144" w:rsidP="002F7440">
      <w:pPr>
        <w:shd w:val="clear" w:color="auto" w:fill="FFFFFF"/>
        <w:spacing w:after="0" w:line="240" w:lineRule="auto"/>
        <w:rPr>
          <w:rFonts w:ascii="ChevinLight" w:eastAsia="Times New Roman" w:hAnsi="ChevinLight" w:cs="Arial"/>
          <w:b/>
          <w:bCs/>
          <w:sz w:val="18"/>
          <w:szCs w:val="18"/>
          <w:lang w:eastAsia="en-GB"/>
        </w:rPr>
      </w:pPr>
    </w:p>
    <w:p w14:paraId="0C473A91" w14:textId="77777777" w:rsidR="00000870" w:rsidRPr="0094482F" w:rsidRDefault="00000870" w:rsidP="002F7440">
      <w:pPr>
        <w:shd w:val="clear" w:color="auto" w:fill="FFFFFF"/>
        <w:spacing w:after="0" w:line="240" w:lineRule="auto"/>
        <w:jc w:val="center"/>
        <w:rPr>
          <w:rFonts w:ascii="ChevinLight" w:eastAsia="Times New Roman" w:hAnsi="ChevinLight" w:cs="Arial"/>
          <w:bCs/>
          <w:sz w:val="18"/>
          <w:szCs w:val="18"/>
          <w:lang w:eastAsia="en-GB"/>
        </w:rPr>
      </w:pPr>
    </w:p>
    <w:p w14:paraId="239E79A3" w14:textId="69B67ABC" w:rsidR="007674A2" w:rsidRPr="0094482F" w:rsidRDefault="007674A2" w:rsidP="002F7440">
      <w:pPr>
        <w:shd w:val="clear" w:color="auto" w:fill="FFFFFF"/>
        <w:spacing w:after="0" w:line="240" w:lineRule="auto"/>
        <w:jc w:val="center"/>
        <w:rPr>
          <w:rFonts w:ascii="ChevinLight" w:eastAsia="Times New Roman" w:hAnsi="ChevinLight" w:cs="Arial"/>
          <w:b/>
          <w:bCs/>
          <w:sz w:val="18"/>
          <w:szCs w:val="18"/>
          <w:lang w:eastAsia="en-GB"/>
        </w:rPr>
      </w:pPr>
      <w:r w:rsidRPr="0094482F">
        <w:rPr>
          <w:rFonts w:ascii="ChevinLight" w:eastAsia="Times New Roman" w:hAnsi="ChevinLight" w:cs="Arial"/>
          <w:b/>
          <w:bCs/>
          <w:sz w:val="18"/>
          <w:szCs w:val="18"/>
          <w:lang w:eastAsia="en-GB"/>
        </w:rPr>
        <w:t>Results of Annual General Meeting held on </w:t>
      </w:r>
      <w:r w:rsidR="00D8769B">
        <w:rPr>
          <w:rFonts w:ascii="ChevinLight" w:eastAsia="Times New Roman" w:hAnsi="ChevinLight" w:cs="Arial"/>
          <w:b/>
          <w:bCs/>
          <w:sz w:val="18"/>
          <w:szCs w:val="18"/>
          <w:lang w:eastAsia="en-GB"/>
        </w:rPr>
        <w:t>2</w:t>
      </w:r>
      <w:r w:rsidR="009837EA">
        <w:rPr>
          <w:rFonts w:ascii="ChevinLight" w:eastAsia="Times New Roman" w:hAnsi="ChevinLight" w:cs="Arial"/>
          <w:b/>
          <w:bCs/>
          <w:sz w:val="18"/>
          <w:szCs w:val="18"/>
          <w:lang w:eastAsia="en-GB"/>
        </w:rPr>
        <w:t>0</w:t>
      </w:r>
      <w:r w:rsidR="00D8769B">
        <w:rPr>
          <w:rFonts w:ascii="ChevinLight" w:eastAsia="Times New Roman" w:hAnsi="ChevinLight" w:cs="Arial"/>
          <w:b/>
          <w:bCs/>
          <w:sz w:val="18"/>
          <w:szCs w:val="18"/>
          <w:lang w:eastAsia="en-GB"/>
        </w:rPr>
        <w:t xml:space="preserve"> July 202</w:t>
      </w:r>
      <w:r w:rsidR="009837EA">
        <w:rPr>
          <w:rFonts w:ascii="ChevinLight" w:eastAsia="Times New Roman" w:hAnsi="ChevinLight" w:cs="Arial"/>
          <w:b/>
          <w:bCs/>
          <w:sz w:val="18"/>
          <w:szCs w:val="18"/>
          <w:lang w:eastAsia="en-GB"/>
        </w:rPr>
        <w:t>2</w:t>
      </w:r>
    </w:p>
    <w:p w14:paraId="11AD1518" w14:textId="77777777" w:rsidR="007674A2" w:rsidRPr="0094482F" w:rsidRDefault="007674A2" w:rsidP="002F7440">
      <w:pPr>
        <w:shd w:val="clear" w:color="auto" w:fill="FFFFFF"/>
        <w:spacing w:after="0" w:line="240" w:lineRule="auto"/>
        <w:rPr>
          <w:rFonts w:ascii="ChevinLight" w:eastAsia="Times New Roman" w:hAnsi="ChevinLight" w:cs="Arial"/>
          <w:sz w:val="18"/>
          <w:szCs w:val="18"/>
          <w:lang w:eastAsia="en-GB"/>
        </w:rPr>
      </w:pPr>
      <w:r w:rsidRPr="0094482F">
        <w:rPr>
          <w:rFonts w:ascii="ChevinLight" w:eastAsia="Times New Roman" w:hAnsi="ChevinLight" w:cs="Arial"/>
          <w:sz w:val="18"/>
          <w:szCs w:val="18"/>
          <w:lang w:eastAsia="en-GB"/>
        </w:rPr>
        <w:t> </w:t>
      </w:r>
    </w:p>
    <w:p w14:paraId="1AE1B030" w14:textId="044213C4" w:rsidR="000000D8" w:rsidRPr="0094482F" w:rsidRDefault="000000D8" w:rsidP="000000D8">
      <w:pPr>
        <w:shd w:val="clear" w:color="auto" w:fill="FFFFFF"/>
        <w:spacing w:after="0" w:line="240" w:lineRule="auto"/>
        <w:jc w:val="both"/>
        <w:rPr>
          <w:rFonts w:ascii="ChevinLight" w:eastAsia="Times New Roman" w:hAnsi="ChevinLight" w:cs="Arial"/>
          <w:sz w:val="18"/>
          <w:szCs w:val="18"/>
          <w:lang w:eastAsia="en-GB"/>
        </w:rPr>
      </w:pPr>
      <w:r w:rsidRPr="0094482F">
        <w:rPr>
          <w:rFonts w:ascii="ChevinLight" w:eastAsia="Times New Roman" w:hAnsi="ChevinLight" w:cs="Arial"/>
          <w:sz w:val="18"/>
          <w:szCs w:val="18"/>
          <w:lang w:eastAsia="en-GB"/>
        </w:rPr>
        <w:t>Royal Mail plc (the 'Company') announces that at its Annual General Meeting (AGM) held earlier today, all the resolutions put to shareholders were passed by the requisite majorities. Resolutions 1 to 1</w:t>
      </w:r>
      <w:r w:rsidR="009837EA">
        <w:rPr>
          <w:rFonts w:ascii="ChevinLight" w:eastAsia="Times New Roman" w:hAnsi="ChevinLight" w:cs="Arial"/>
          <w:sz w:val="18"/>
          <w:szCs w:val="18"/>
          <w:lang w:eastAsia="en-GB"/>
        </w:rPr>
        <w:t>8</w:t>
      </w:r>
      <w:r w:rsidRPr="0094482F">
        <w:rPr>
          <w:rFonts w:ascii="ChevinLight" w:eastAsia="Times New Roman" w:hAnsi="ChevinLight" w:cs="Arial"/>
          <w:sz w:val="18"/>
          <w:szCs w:val="18"/>
          <w:lang w:eastAsia="en-GB"/>
        </w:rPr>
        <w:t xml:space="preserve"> were passed as ordinary resolutions and Resolutions 1</w:t>
      </w:r>
      <w:r w:rsidR="009837EA">
        <w:rPr>
          <w:rFonts w:ascii="ChevinLight" w:eastAsia="Times New Roman" w:hAnsi="ChevinLight" w:cs="Arial"/>
          <w:sz w:val="18"/>
          <w:szCs w:val="18"/>
          <w:lang w:eastAsia="en-GB"/>
        </w:rPr>
        <w:t>9</w:t>
      </w:r>
      <w:r w:rsidRPr="0094482F">
        <w:rPr>
          <w:rFonts w:ascii="ChevinLight" w:eastAsia="Times New Roman" w:hAnsi="ChevinLight" w:cs="Arial"/>
          <w:sz w:val="18"/>
          <w:szCs w:val="18"/>
          <w:lang w:eastAsia="en-GB"/>
        </w:rPr>
        <w:t xml:space="preserve"> to </w:t>
      </w:r>
      <w:r w:rsidR="002F00C6">
        <w:rPr>
          <w:rFonts w:ascii="ChevinLight" w:eastAsia="Times New Roman" w:hAnsi="ChevinLight" w:cs="Arial"/>
          <w:sz w:val="18"/>
          <w:szCs w:val="18"/>
          <w:lang w:eastAsia="en-GB"/>
        </w:rPr>
        <w:t>2</w:t>
      </w:r>
      <w:r w:rsidR="009837EA">
        <w:rPr>
          <w:rFonts w:ascii="ChevinLight" w:eastAsia="Times New Roman" w:hAnsi="ChevinLight" w:cs="Arial"/>
          <w:sz w:val="18"/>
          <w:szCs w:val="18"/>
          <w:lang w:eastAsia="en-GB"/>
        </w:rPr>
        <w:t>3</w:t>
      </w:r>
      <w:r w:rsidRPr="0094482F">
        <w:rPr>
          <w:rFonts w:ascii="ChevinLight" w:eastAsia="Times New Roman" w:hAnsi="ChevinLight" w:cs="Arial"/>
          <w:sz w:val="18"/>
          <w:szCs w:val="18"/>
          <w:lang w:eastAsia="en-GB"/>
        </w:rPr>
        <w:t xml:space="preserve"> were passed as special resolutions. The results of the polls, on which Equiniti, the Company's registrar, acted as scrutineer, are as follows:</w:t>
      </w:r>
    </w:p>
    <w:p w14:paraId="42A2EEB1" w14:textId="77777777" w:rsidR="009A4592" w:rsidRPr="0094482F" w:rsidRDefault="009A4592" w:rsidP="009A4592">
      <w:pPr>
        <w:shd w:val="clear" w:color="auto" w:fill="FFFFFF"/>
        <w:spacing w:after="0" w:line="240" w:lineRule="auto"/>
        <w:rPr>
          <w:rFonts w:ascii="ChevinLight" w:eastAsia="Times New Roman" w:hAnsi="ChevinLight" w:cs="Arial"/>
          <w:sz w:val="18"/>
          <w:szCs w:val="18"/>
          <w:lang w:eastAsia="en-GB"/>
        </w:rPr>
      </w:pPr>
      <w:r w:rsidRPr="0094482F">
        <w:rPr>
          <w:rFonts w:ascii="ChevinLight" w:eastAsia="Times New Roman" w:hAnsi="ChevinLight" w:cs="Arial"/>
          <w:sz w:val="18"/>
          <w:szCs w:val="18"/>
          <w:lang w:eastAsia="en-GB"/>
        </w:rPr>
        <w:t> </w:t>
      </w:r>
    </w:p>
    <w:tbl>
      <w:tblPr>
        <w:tblW w:w="10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1944"/>
        <w:gridCol w:w="1411"/>
        <w:gridCol w:w="865"/>
        <w:gridCol w:w="1271"/>
        <w:gridCol w:w="730"/>
        <w:gridCol w:w="1393"/>
        <w:gridCol w:w="1276"/>
        <w:gridCol w:w="1280"/>
      </w:tblGrid>
      <w:tr w:rsidR="0094482F" w:rsidRPr="0094482F" w14:paraId="3F5354D1" w14:textId="77777777" w:rsidTr="007407EE">
        <w:trPr>
          <w:jc w:val="center"/>
        </w:trPr>
        <w:tc>
          <w:tcPr>
            <w:tcW w:w="461" w:type="dxa"/>
            <w:tcBorders>
              <w:top w:val="single" w:sz="4" w:space="0" w:color="auto"/>
              <w:left w:val="single" w:sz="4" w:space="0" w:color="auto"/>
              <w:bottom w:val="single" w:sz="4" w:space="0" w:color="auto"/>
              <w:right w:val="single" w:sz="4" w:space="0" w:color="auto"/>
            </w:tcBorders>
          </w:tcPr>
          <w:p w14:paraId="6ADB7485" w14:textId="77777777" w:rsidR="00371144" w:rsidRPr="0094482F" w:rsidRDefault="00371144" w:rsidP="00371144">
            <w:pPr>
              <w:rPr>
                <w:rFonts w:ascii="ChevinLight" w:eastAsia="Calibri"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001210BA" w14:textId="77777777" w:rsidR="00371144" w:rsidRPr="007407EE" w:rsidRDefault="00371144" w:rsidP="00BE2214">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RESOLUTION</w:t>
            </w:r>
          </w:p>
        </w:tc>
        <w:tc>
          <w:tcPr>
            <w:tcW w:w="1411" w:type="dxa"/>
            <w:tcBorders>
              <w:top w:val="single" w:sz="4" w:space="0" w:color="auto"/>
              <w:left w:val="single" w:sz="4" w:space="0" w:color="auto"/>
              <w:bottom w:val="single" w:sz="4" w:space="0" w:color="auto"/>
              <w:right w:val="single" w:sz="4" w:space="0" w:color="auto"/>
            </w:tcBorders>
            <w:hideMark/>
          </w:tcPr>
          <w:p w14:paraId="50184D2B" w14:textId="77777777" w:rsidR="00371144" w:rsidRPr="007407EE" w:rsidRDefault="00371144" w:rsidP="00BE2214">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 xml:space="preserve"> FOR</w:t>
            </w:r>
          </w:p>
        </w:tc>
        <w:tc>
          <w:tcPr>
            <w:tcW w:w="865" w:type="dxa"/>
            <w:tcBorders>
              <w:top w:val="single" w:sz="4" w:space="0" w:color="auto"/>
              <w:left w:val="single" w:sz="4" w:space="0" w:color="auto"/>
              <w:bottom w:val="single" w:sz="4" w:space="0" w:color="auto"/>
              <w:right w:val="single" w:sz="4" w:space="0" w:color="auto"/>
            </w:tcBorders>
            <w:hideMark/>
          </w:tcPr>
          <w:p w14:paraId="4F553ACC" w14:textId="77777777" w:rsidR="00371144" w:rsidRPr="007407EE" w:rsidRDefault="00371144" w:rsidP="00BE2214">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 xml:space="preserve"> %</w:t>
            </w:r>
          </w:p>
        </w:tc>
        <w:tc>
          <w:tcPr>
            <w:tcW w:w="1271" w:type="dxa"/>
            <w:tcBorders>
              <w:top w:val="single" w:sz="4" w:space="0" w:color="auto"/>
              <w:left w:val="single" w:sz="4" w:space="0" w:color="auto"/>
              <w:bottom w:val="single" w:sz="4" w:space="0" w:color="auto"/>
              <w:right w:val="single" w:sz="4" w:space="0" w:color="auto"/>
            </w:tcBorders>
            <w:hideMark/>
          </w:tcPr>
          <w:p w14:paraId="13BD72DD" w14:textId="77777777" w:rsidR="00371144" w:rsidRPr="007407EE" w:rsidRDefault="00371144" w:rsidP="00BE2214">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AGAINST</w:t>
            </w:r>
          </w:p>
        </w:tc>
        <w:tc>
          <w:tcPr>
            <w:tcW w:w="730" w:type="dxa"/>
            <w:tcBorders>
              <w:top w:val="single" w:sz="4" w:space="0" w:color="auto"/>
              <w:left w:val="single" w:sz="4" w:space="0" w:color="auto"/>
              <w:bottom w:val="single" w:sz="4" w:space="0" w:color="auto"/>
              <w:right w:val="single" w:sz="4" w:space="0" w:color="auto"/>
            </w:tcBorders>
            <w:hideMark/>
          </w:tcPr>
          <w:p w14:paraId="65EC3816" w14:textId="77777777" w:rsidR="00371144" w:rsidRPr="007407EE" w:rsidRDefault="00371144" w:rsidP="00BE2214">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 xml:space="preserve"> %</w:t>
            </w:r>
          </w:p>
        </w:tc>
        <w:tc>
          <w:tcPr>
            <w:tcW w:w="1393" w:type="dxa"/>
            <w:tcBorders>
              <w:top w:val="single" w:sz="4" w:space="0" w:color="auto"/>
              <w:left w:val="single" w:sz="4" w:space="0" w:color="auto"/>
              <w:bottom w:val="single" w:sz="4" w:space="0" w:color="auto"/>
              <w:right w:val="single" w:sz="4" w:space="0" w:color="auto"/>
            </w:tcBorders>
            <w:hideMark/>
          </w:tcPr>
          <w:p w14:paraId="32309FDA" w14:textId="77777777" w:rsidR="00371144" w:rsidRPr="007407EE" w:rsidRDefault="00371144" w:rsidP="00BE2214">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 xml:space="preserve"> TOTAL</w:t>
            </w:r>
          </w:p>
        </w:tc>
        <w:tc>
          <w:tcPr>
            <w:tcW w:w="1276" w:type="dxa"/>
            <w:tcBorders>
              <w:top w:val="single" w:sz="4" w:space="0" w:color="auto"/>
              <w:left w:val="single" w:sz="4" w:space="0" w:color="auto"/>
              <w:bottom w:val="single" w:sz="4" w:space="0" w:color="auto"/>
              <w:right w:val="single" w:sz="4" w:space="0" w:color="auto"/>
            </w:tcBorders>
            <w:hideMark/>
          </w:tcPr>
          <w:p w14:paraId="0E712B57" w14:textId="77777777" w:rsidR="00371144" w:rsidRPr="007407EE" w:rsidRDefault="00371144" w:rsidP="00BE2214">
            <w:pPr>
              <w:spacing w:after="0"/>
              <w:ind w:left="60"/>
              <w:rPr>
                <w:rFonts w:ascii="ChevinLight" w:eastAsia="Calibri" w:hAnsi="ChevinLight" w:cs="Arial"/>
                <w:sz w:val="18"/>
                <w:szCs w:val="18"/>
                <w:lang w:eastAsia="en-GB"/>
              </w:rPr>
            </w:pPr>
            <w:r w:rsidRPr="007407EE">
              <w:rPr>
                <w:rFonts w:ascii="ChevinLight" w:eastAsia="Calibri" w:hAnsi="ChevinLight" w:cs="Arial"/>
                <w:sz w:val="18"/>
                <w:szCs w:val="18"/>
                <w:lang w:eastAsia="en-GB"/>
              </w:rPr>
              <w:t>% OF ISSUED SHARE CAPITAL</w:t>
            </w:r>
          </w:p>
        </w:tc>
        <w:tc>
          <w:tcPr>
            <w:tcW w:w="1280" w:type="dxa"/>
            <w:tcBorders>
              <w:top w:val="single" w:sz="4" w:space="0" w:color="auto"/>
              <w:left w:val="single" w:sz="4" w:space="0" w:color="auto"/>
              <w:bottom w:val="single" w:sz="4" w:space="0" w:color="auto"/>
              <w:right w:val="single" w:sz="4" w:space="0" w:color="auto"/>
            </w:tcBorders>
            <w:hideMark/>
          </w:tcPr>
          <w:p w14:paraId="2698647A" w14:textId="77777777" w:rsidR="00371144" w:rsidRPr="007407EE" w:rsidRDefault="00371144" w:rsidP="00BE2214">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WITHHELD</w:t>
            </w:r>
          </w:p>
        </w:tc>
      </w:tr>
      <w:tr w:rsidR="0094482F" w:rsidRPr="0094482F" w14:paraId="489C032C" w14:textId="77777777" w:rsidTr="007407EE">
        <w:trPr>
          <w:jc w:val="center"/>
        </w:trPr>
        <w:tc>
          <w:tcPr>
            <w:tcW w:w="461" w:type="dxa"/>
            <w:tcBorders>
              <w:top w:val="single" w:sz="4" w:space="0" w:color="auto"/>
              <w:left w:val="single" w:sz="4" w:space="0" w:color="auto"/>
              <w:bottom w:val="single" w:sz="4" w:space="0" w:color="auto"/>
              <w:right w:val="single" w:sz="4" w:space="0" w:color="auto"/>
            </w:tcBorders>
          </w:tcPr>
          <w:p w14:paraId="1B0CDD30" w14:textId="77777777" w:rsidR="00EE4E9A" w:rsidRPr="0094482F" w:rsidRDefault="00EE4E9A" w:rsidP="00371144">
            <w:pPr>
              <w:rPr>
                <w:rFonts w:ascii="ChevinLight" w:eastAsia="Calibri"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tcPr>
          <w:p w14:paraId="578E4331" w14:textId="6C065A31" w:rsidR="00EE4E9A" w:rsidRPr="007407EE" w:rsidRDefault="00EE4E9A" w:rsidP="00BE2214">
            <w:pPr>
              <w:spacing w:after="0"/>
              <w:rPr>
                <w:rFonts w:ascii="ChevinLight" w:eastAsia="Calibri" w:hAnsi="ChevinLight" w:cs="Arial"/>
                <w:b/>
                <w:sz w:val="18"/>
                <w:szCs w:val="18"/>
                <w:lang w:eastAsia="en-GB"/>
              </w:rPr>
            </w:pPr>
            <w:r w:rsidRPr="007407EE">
              <w:rPr>
                <w:rFonts w:ascii="ChevinLight" w:eastAsia="Calibri" w:hAnsi="ChevinLight" w:cs="Arial"/>
                <w:b/>
                <w:sz w:val="18"/>
                <w:szCs w:val="18"/>
                <w:lang w:eastAsia="en-GB"/>
              </w:rPr>
              <w:t>ORDINARY RESOLUTION</w:t>
            </w:r>
          </w:p>
        </w:tc>
        <w:tc>
          <w:tcPr>
            <w:tcW w:w="1411" w:type="dxa"/>
            <w:tcBorders>
              <w:top w:val="single" w:sz="4" w:space="0" w:color="auto"/>
              <w:left w:val="single" w:sz="4" w:space="0" w:color="auto"/>
              <w:bottom w:val="single" w:sz="4" w:space="0" w:color="auto"/>
              <w:right w:val="single" w:sz="4" w:space="0" w:color="auto"/>
            </w:tcBorders>
          </w:tcPr>
          <w:p w14:paraId="07B496F4" w14:textId="77777777" w:rsidR="00EE4E9A" w:rsidRPr="007407EE" w:rsidRDefault="00EE4E9A" w:rsidP="00BE2214">
            <w:pPr>
              <w:spacing w:after="0"/>
              <w:rPr>
                <w:rFonts w:ascii="ChevinLight" w:eastAsia="Calibri" w:hAnsi="ChevinLight" w:cs="Arial"/>
                <w:sz w:val="18"/>
                <w:szCs w:val="18"/>
                <w:lang w:eastAsia="en-GB"/>
              </w:rPr>
            </w:pPr>
          </w:p>
        </w:tc>
        <w:tc>
          <w:tcPr>
            <w:tcW w:w="865" w:type="dxa"/>
            <w:tcBorders>
              <w:top w:val="single" w:sz="4" w:space="0" w:color="auto"/>
              <w:left w:val="single" w:sz="4" w:space="0" w:color="auto"/>
              <w:bottom w:val="single" w:sz="4" w:space="0" w:color="auto"/>
              <w:right w:val="single" w:sz="4" w:space="0" w:color="auto"/>
            </w:tcBorders>
          </w:tcPr>
          <w:p w14:paraId="360FD48D" w14:textId="77777777" w:rsidR="00EE4E9A" w:rsidRPr="007407EE" w:rsidRDefault="00EE4E9A" w:rsidP="00BE2214">
            <w:pPr>
              <w:spacing w:after="0"/>
              <w:rPr>
                <w:rFonts w:ascii="ChevinLight" w:eastAsia="Calibri" w:hAnsi="ChevinLight" w:cs="Arial"/>
                <w:sz w:val="18"/>
                <w:szCs w:val="18"/>
                <w:lang w:eastAsia="en-GB"/>
              </w:rPr>
            </w:pPr>
          </w:p>
        </w:tc>
        <w:tc>
          <w:tcPr>
            <w:tcW w:w="1271" w:type="dxa"/>
            <w:tcBorders>
              <w:top w:val="single" w:sz="4" w:space="0" w:color="auto"/>
              <w:left w:val="single" w:sz="4" w:space="0" w:color="auto"/>
              <w:bottom w:val="single" w:sz="4" w:space="0" w:color="auto"/>
              <w:right w:val="single" w:sz="4" w:space="0" w:color="auto"/>
            </w:tcBorders>
          </w:tcPr>
          <w:p w14:paraId="1859EAC2" w14:textId="77777777" w:rsidR="00EE4E9A" w:rsidRPr="007407EE" w:rsidRDefault="00EE4E9A" w:rsidP="00BE2214">
            <w:pPr>
              <w:spacing w:after="0"/>
              <w:rPr>
                <w:rFonts w:ascii="ChevinLight" w:eastAsia="Calibri" w:hAnsi="ChevinLight" w:cs="Arial"/>
                <w:sz w:val="18"/>
                <w:szCs w:val="18"/>
                <w:lang w:eastAsia="en-GB"/>
              </w:rPr>
            </w:pPr>
          </w:p>
        </w:tc>
        <w:tc>
          <w:tcPr>
            <w:tcW w:w="730" w:type="dxa"/>
            <w:tcBorders>
              <w:top w:val="single" w:sz="4" w:space="0" w:color="auto"/>
              <w:left w:val="single" w:sz="4" w:space="0" w:color="auto"/>
              <w:bottom w:val="single" w:sz="4" w:space="0" w:color="auto"/>
              <w:right w:val="single" w:sz="4" w:space="0" w:color="auto"/>
            </w:tcBorders>
          </w:tcPr>
          <w:p w14:paraId="4C8FDD88" w14:textId="77777777" w:rsidR="00EE4E9A" w:rsidRPr="007407EE" w:rsidRDefault="00EE4E9A" w:rsidP="00BE2214">
            <w:pPr>
              <w:spacing w:after="0"/>
              <w:rPr>
                <w:rFonts w:ascii="ChevinLight" w:eastAsia="Calibri" w:hAnsi="ChevinLight" w:cs="Arial"/>
                <w:sz w:val="18"/>
                <w:szCs w:val="18"/>
                <w:lang w:eastAsia="en-GB"/>
              </w:rPr>
            </w:pPr>
          </w:p>
        </w:tc>
        <w:tc>
          <w:tcPr>
            <w:tcW w:w="1393" w:type="dxa"/>
            <w:tcBorders>
              <w:top w:val="single" w:sz="4" w:space="0" w:color="auto"/>
              <w:left w:val="single" w:sz="4" w:space="0" w:color="auto"/>
              <w:bottom w:val="single" w:sz="4" w:space="0" w:color="auto"/>
              <w:right w:val="single" w:sz="4" w:space="0" w:color="auto"/>
            </w:tcBorders>
          </w:tcPr>
          <w:p w14:paraId="46328811" w14:textId="77777777" w:rsidR="00EE4E9A" w:rsidRPr="007407EE" w:rsidRDefault="00EE4E9A" w:rsidP="00BE2214">
            <w:pPr>
              <w:spacing w:after="0"/>
              <w:rPr>
                <w:rFonts w:ascii="ChevinLight" w:eastAsia="Calibri" w:hAnsi="ChevinLight" w:cs="Arial"/>
                <w:sz w:val="18"/>
                <w:szCs w:val="18"/>
                <w:lang w:eastAsia="en-GB"/>
              </w:rPr>
            </w:pPr>
          </w:p>
        </w:tc>
        <w:tc>
          <w:tcPr>
            <w:tcW w:w="1276" w:type="dxa"/>
            <w:tcBorders>
              <w:top w:val="single" w:sz="4" w:space="0" w:color="auto"/>
              <w:left w:val="single" w:sz="4" w:space="0" w:color="auto"/>
              <w:bottom w:val="single" w:sz="4" w:space="0" w:color="auto"/>
              <w:right w:val="single" w:sz="4" w:space="0" w:color="auto"/>
            </w:tcBorders>
          </w:tcPr>
          <w:p w14:paraId="1B9ACFF7" w14:textId="77777777" w:rsidR="00EE4E9A" w:rsidRPr="007407EE" w:rsidRDefault="00EE4E9A" w:rsidP="00BE2214">
            <w:pPr>
              <w:spacing w:after="0"/>
              <w:ind w:left="60"/>
              <w:rPr>
                <w:rFonts w:ascii="ChevinLight" w:eastAsia="Calibri" w:hAnsi="ChevinLight" w:cs="Arial"/>
                <w:sz w:val="18"/>
                <w:szCs w:val="18"/>
                <w:lang w:eastAsia="en-GB"/>
              </w:rPr>
            </w:pPr>
          </w:p>
        </w:tc>
        <w:tc>
          <w:tcPr>
            <w:tcW w:w="1280" w:type="dxa"/>
            <w:tcBorders>
              <w:top w:val="single" w:sz="4" w:space="0" w:color="auto"/>
              <w:left w:val="single" w:sz="4" w:space="0" w:color="auto"/>
              <w:bottom w:val="single" w:sz="4" w:space="0" w:color="auto"/>
              <w:right w:val="single" w:sz="4" w:space="0" w:color="auto"/>
            </w:tcBorders>
          </w:tcPr>
          <w:p w14:paraId="1D28FDC4" w14:textId="77777777" w:rsidR="00EE4E9A" w:rsidRPr="007407EE" w:rsidRDefault="00EE4E9A" w:rsidP="00BE2214">
            <w:pPr>
              <w:spacing w:after="0"/>
              <w:rPr>
                <w:rFonts w:ascii="ChevinLight" w:eastAsia="Calibri" w:hAnsi="ChevinLight" w:cs="Arial"/>
                <w:sz w:val="18"/>
                <w:szCs w:val="18"/>
                <w:lang w:eastAsia="en-GB"/>
              </w:rPr>
            </w:pPr>
          </w:p>
        </w:tc>
      </w:tr>
      <w:tr w:rsidR="00AB76A9" w:rsidRPr="0094482F" w14:paraId="5D3594F2" w14:textId="77777777" w:rsidTr="00E6005B">
        <w:trPr>
          <w:jc w:val="center"/>
        </w:trPr>
        <w:tc>
          <w:tcPr>
            <w:tcW w:w="461" w:type="dxa"/>
            <w:tcBorders>
              <w:top w:val="single" w:sz="4" w:space="0" w:color="auto"/>
              <w:left w:val="single" w:sz="4" w:space="0" w:color="auto"/>
              <w:bottom w:val="single" w:sz="4" w:space="0" w:color="auto"/>
              <w:right w:val="single" w:sz="4" w:space="0" w:color="auto"/>
            </w:tcBorders>
          </w:tcPr>
          <w:p w14:paraId="7AE9AE1D"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71C986B8" w14:textId="7672E67C"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 xml:space="preserve">To receive the Company’s audited accounts, together with the Strategic Report, Directors’ Report and Auditors Reports on those accounts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B42282B" w14:textId="5E5359B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696,690,783</w:t>
            </w:r>
          </w:p>
        </w:tc>
        <w:tc>
          <w:tcPr>
            <w:tcW w:w="865" w:type="dxa"/>
            <w:tcBorders>
              <w:top w:val="single" w:sz="4" w:space="0" w:color="auto"/>
              <w:left w:val="nil"/>
              <w:bottom w:val="single" w:sz="4" w:space="0" w:color="auto"/>
              <w:right w:val="single" w:sz="4" w:space="0" w:color="auto"/>
            </w:tcBorders>
            <w:shd w:val="clear" w:color="auto" w:fill="auto"/>
            <w:vAlign w:val="bottom"/>
            <w:hideMark/>
          </w:tcPr>
          <w:p w14:paraId="140BE60C" w14:textId="3EA6797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99.95</w:t>
            </w:r>
          </w:p>
        </w:tc>
        <w:tc>
          <w:tcPr>
            <w:tcW w:w="1271" w:type="dxa"/>
            <w:tcBorders>
              <w:top w:val="single" w:sz="4" w:space="0" w:color="auto"/>
              <w:left w:val="nil"/>
              <w:bottom w:val="single" w:sz="4" w:space="0" w:color="auto"/>
              <w:right w:val="single" w:sz="4" w:space="0" w:color="auto"/>
            </w:tcBorders>
            <w:shd w:val="clear" w:color="auto" w:fill="auto"/>
            <w:vAlign w:val="bottom"/>
            <w:hideMark/>
          </w:tcPr>
          <w:p w14:paraId="27850778" w14:textId="138F596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348,295</w:t>
            </w:r>
          </w:p>
        </w:tc>
        <w:tc>
          <w:tcPr>
            <w:tcW w:w="730" w:type="dxa"/>
            <w:tcBorders>
              <w:top w:val="single" w:sz="4" w:space="0" w:color="auto"/>
              <w:left w:val="nil"/>
              <w:bottom w:val="single" w:sz="4" w:space="0" w:color="auto"/>
              <w:right w:val="single" w:sz="4" w:space="0" w:color="auto"/>
            </w:tcBorders>
            <w:shd w:val="clear" w:color="auto" w:fill="auto"/>
            <w:vAlign w:val="bottom"/>
            <w:hideMark/>
          </w:tcPr>
          <w:p w14:paraId="357C4768" w14:textId="7D655F3D"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0.05</w:t>
            </w:r>
          </w:p>
        </w:tc>
        <w:tc>
          <w:tcPr>
            <w:tcW w:w="1393" w:type="dxa"/>
            <w:tcBorders>
              <w:top w:val="single" w:sz="4" w:space="0" w:color="auto"/>
              <w:left w:val="nil"/>
              <w:bottom w:val="single" w:sz="4" w:space="0" w:color="auto"/>
              <w:right w:val="single" w:sz="4" w:space="0" w:color="auto"/>
            </w:tcBorders>
            <w:shd w:val="clear" w:color="auto" w:fill="auto"/>
            <w:vAlign w:val="bottom"/>
            <w:hideMark/>
          </w:tcPr>
          <w:p w14:paraId="7BCC3F30" w14:textId="3503A86A"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697,039,078</w:t>
            </w:r>
          </w:p>
        </w:tc>
        <w:tc>
          <w:tcPr>
            <w:tcW w:w="1276" w:type="dxa"/>
            <w:tcBorders>
              <w:top w:val="single" w:sz="4" w:space="0" w:color="auto"/>
              <w:left w:val="nil"/>
              <w:bottom w:val="single" w:sz="4" w:space="0" w:color="auto"/>
              <w:right w:val="single" w:sz="4" w:space="0" w:color="auto"/>
            </w:tcBorders>
            <w:shd w:val="clear" w:color="auto" w:fill="auto"/>
            <w:vAlign w:val="bottom"/>
            <w:hideMark/>
          </w:tcPr>
          <w:p w14:paraId="65A10F8B" w14:textId="6860AAB8"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72.90%</w:t>
            </w:r>
          </w:p>
        </w:tc>
        <w:tc>
          <w:tcPr>
            <w:tcW w:w="1280" w:type="dxa"/>
            <w:tcBorders>
              <w:top w:val="single" w:sz="4" w:space="0" w:color="auto"/>
              <w:left w:val="nil"/>
              <w:bottom w:val="single" w:sz="4" w:space="0" w:color="auto"/>
              <w:right w:val="single" w:sz="4" w:space="0" w:color="auto"/>
            </w:tcBorders>
            <w:shd w:val="clear" w:color="auto" w:fill="auto"/>
            <w:vAlign w:val="bottom"/>
            <w:hideMark/>
          </w:tcPr>
          <w:p w14:paraId="6EDE321E" w14:textId="5F82483B"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1,407,017</w:t>
            </w:r>
          </w:p>
        </w:tc>
      </w:tr>
      <w:tr w:rsidR="00AB76A9" w:rsidRPr="0094482F" w14:paraId="4EB98E01" w14:textId="77777777" w:rsidTr="00F1592C">
        <w:trPr>
          <w:jc w:val="center"/>
        </w:trPr>
        <w:tc>
          <w:tcPr>
            <w:tcW w:w="461" w:type="dxa"/>
            <w:tcBorders>
              <w:top w:val="single" w:sz="4" w:space="0" w:color="auto"/>
              <w:left w:val="single" w:sz="4" w:space="0" w:color="auto"/>
              <w:bottom w:val="single" w:sz="4" w:space="0" w:color="auto"/>
              <w:right w:val="single" w:sz="4" w:space="0" w:color="auto"/>
            </w:tcBorders>
          </w:tcPr>
          <w:p w14:paraId="6B9FDEE7"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6F373FB2" w14:textId="1D919595"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approve the Directors’ Remuneration Report</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14:paraId="35939291" w14:textId="3972F8FB"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674,645,605</w:t>
            </w:r>
          </w:p>
        </w:tc>
        <w:tc>
          <w:tcPr>
            <w:tcW w:w="865" w:type="dxa"/>
            <w:tcBorders>
              <w:top w:val="nil"/>
              <w:left w:val="nil"/>
              <w:bottom w:val="single" w:sz="4" w:space="0" w:color="auto"/>
              <w:right w:val="single" w:sz="4" w:space="0" w:color="auto"/>
            </w:tcBorders>
            <w:shd w:val="clear" w:color="auto" w:fill="auto"/>
            <w:vAlign w:val="bottom"/>
            <w:hideMark/>
          </w:tcPr>
          <w:p w14:paraId="796A84BC" w14:textId="0AC691C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99.44</w:t>
            </w:r>
          </w:p>
        </w:tc>
        <w:tc>
          <w:tcPr>
            <w:tcW w:w="1271" w:type="dxa"/>
            <w:tcBorders>
              <w:top w:val="nil"/>
              <w:left w:val="nil"/>
              <w:bottom w:val="single" w:sz="4" w:space="0" w:color="auto"/>
              <w:right w:val="single" w:sz="4" w:space="0" w:color="auto"/>
            </w:tcBorders>
            <w:shd w:val="clear" w:color="auto" w:fill="auto"/>
            <w:vAlign w:val="bottom"/>
            <w:hideMark/>
          </w:tcPr>
          <w:p w14:paraId="06732C1E" w14:textId="7ED4061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3,827,683</w:t>
            </w:r>
          </w:p>
        </w:tc>
        <w:tc>
          <w:tcPr>
            <w:tcW w:w="730" w:type="dxa"/>
            <w:tcBorders>
              <w:top w:val="nil"/>
              <w:left w:val="nil"/>
              <w:bottom w:val="single" w:sz="4" w:space="0" w:color="auto"/>
              <w:right w:val="single" w:sz="4" w:space="0" w:color="auto"/>
            </w:tcBorders>
            <w:shd w:val="clear" w:color="auto" w:fill="auto"/>
            <w:vAlign w:val="bottom"/>
            <w:hideMark/>
          </w:tcPr>
          <w:p w14:paraId="0B702C21" w14:textId="26F9948B"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0.56</w:t>
            </w:r>
          </w:p>
        </w:tc>
        <w:tc>
          <w:tcPr>
            <w:tcW w:w="1393" w:type="dxa"/>
            <w:tcBorders>
              <w:top w:val="nil"/>
              <w:left w:val="nil"/>
              <w:bottom w:val="single" w:sz="4" w:space="0" w:color="auto"/>
              <w:right w:val="single" w:sz="4" w:space="0" w:color="auto"/>
            </w:tcBorders>
            <w:shd w:val="clear" w:color="auto" w:fill="auto"/>
            <w:vAlign w:val="bottom"/>
            <w:hideMark/>
          </w:tcPr>
          <w:p w14:paraId="6959AE6D" w14:textId="4FC44E5E"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678,473,288</w:t>
            </w:r>
          </w:p>
        </w:tc>
        <w:tc>
          <w:tcPr>
            <w:tcW w:w="1276" w:type="dxa"/>
            <w:tcBorders>
              <w:top w:val="nil"/>
              <w:left w:val="nil"/>
              <w:bottom w:val="single" w:sz="4" w:space="0" w:color="auto"/>
              <w:right w:val="single" w:sz="4" w:space="0" w:color="auto"/>
            </w:tcBorders>
            <w:shd w:val="clear" w:color="auto" w:fill="auto"/>
            <w:vAlign w:val="bottom"/>
            <w:hideMark/>
          </w:tcPr>
          <w:p w14:paraId="30856D88" w14:textId="38FF5CFE"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70.96%</w:t>
            </w:r>
          </w:p>
        </w:tc>
        <w:tc>
          <w:tcPr>
            <w:tcW w:w="1280" w:type="dxa"/>
            <w:tcBorders>
              <w:top w:val="nil"/>
              <w:left w:val="nil"/>
              <w:bottom w:val="single" w:sz="4" w:space="0" w:color="auto"/>
              <w:right w:val="single" w:sz="4" w:space="0" w:color="auto"/>
            </w:tcBorders>
            <w:shd w:val="clear" w:color="auto" w:fill="auto"/>
            <w:vAlign w:val="bottom"/>
            <w:hideMark/>
          </w:tcPr>
          <w:p w14:paraId="09C7BD65" w14:textId="379F44E1"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19,970,089</w:t>
            </w:r>
          </w:p>
        </w:tc>
      </w:tr>
      <w:tr w:rsidR="00AB76A9" w:rsidRPr="0094482F" w14:paraId="481C7314" w14:textId="77777777" w:rsidTr="00F44053">
        <w:trPr>
          <w:jc w:val="center"/>
        </w:trPr>
        <w:tc>
          <w:tcPr>
            <w:tcW w:w="461" w:type="dxa"/>
            <w:tcBorders>
              <w:top w:val="single" w:sz="4" w:space="0" w:color="auto"/>
              <w:left w:val="single" w:sz="4" w:space="0" w:color="auto"/>
              <w:bottom w:val="single" w:sz="4" w:space="0" w:color="auto"/>
              <w:right w:val="single" w:sz="4" w:space="0" w:color="auto"/>
            </w:tcBorders>
          </w:tcPr>
          <w:p w14:paraId="7F558BE0"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tcPr>
          <w:p w14:paraId="0FE3FA1A" w14:textId="73DB68DD"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approve a final dividend of 1</w:t>
            </w:r>
            <w:r>
              <w:rPr>
                <w:rFonts w:ascii="ChevinLight" w:eastAsia="Calibri" w:hAnsi="ChevinLight" w:cs="Arial"/>
                <w:sz w:val="18"/>
                <w:szCs w:val="18"/>
                <w:lang w:eastAsia="en-GB"/>
              </w:rPr>
              <w:t>3.3</w:t>
            </w:r>
            <w:r w:rsidRPr="007407EE">
              <w:rPr>
                <w:rFonts w:ascii="ChevinLight" w:eastAsia="Calibri" w:hAnsi="ChevinLight" w:cs="Arial"/>
                <w:sz w:val="18"/>
                <w:szCs w:val="18"/>
                <w:lang w:eastAsia="en-GB"/>
              </w:rPr>
              <w:t xml:space="preserve"> pence per share</w:t>
            </w:r>
          </w:p>
        </w:tc>
        <w:tc>
          <w:tcPr>
            <w:tcW w:w="1411" w:type="dxa"/>
            <w:tcBorders>
              <w:top w:val="nil"/>
              <w:left w:val="single" w:sz="4" w:space="0" w:color="auto"/>
              <w:bottom w:val="single" w:sz="4" w:space="0" w:color="auto"/>
              <w:right w:val="single" w:sz="4" w:space="0" w:color="auto"/>
            </w:tcBorders>
            <w:shd w:val="clear" w:color="auto" w:fill="auto"/>
            <w:vAlign w:val="bottom"/>
          </w:tcPr>
          <w:p w14:paraId="37FE7650" w14:textId="6D81A85E"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697,825,800</w:t>
            </w:r>
          </w:p>
        </w:tc>
        <w:tc>
          <w:tcPr>
            <w:tcW w:w="865" w:type="dxa"/>
            <w:tcBorders>
              <w:top w:val="nil"/>
              <w:left w:val="nil"/>
              <w:bottom w:val="single" w:sz="4" w:space="0" w:color="auto"/>
              <w:right w:val="single" w:sz="4" w:space="0" w:color="auto"/>
            </w:tcBorders>
            <w:shd w:val="clear" w:color="auto" w:fill="auto"/>
            <w:vAlign w:val="bottom"/>
          </w:tcPr>
          <w:p w14:paraId="380D9DC0" w14:textId="2225034E"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99.92</w:t>
            </w:r>
          </w:p>
        </w:tc>
        <w:tc>
          <w:tcPr>
            <w:tcW w:w="1271" w:type="dxa"/>
            <w:tcBorders>
              <w:top w:val="nil"/>
              <w:left w:val="nil"/>
              <w:bottom w:val="single" w:sz="4" w:space="0" w:color="auto"/>
              <w:right w:val="single" w:sz="4" w:space="0" w:color="auto"/>
            </w:tcBorders>
            <w:shd w:val="clear" w:color="auto" w:fill="auto"/>
            <w:vAlign w:val="bottom"/>
          </w:tcPr>
          <w:p w14:paraId="7D699B8C" w14:textId="00FC8335"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542,376</w:t>
            </w:r>
          </w:p>
        </w:tc>
        <w:tc>
          <w:tcPr>
            <w:tcW w:w="730" w:type="dxa"/>
            <w:tcBorders>
              <w:top w:val="nil"/>
              <w:left w:val="nil"/>
              <w:bottom w:val="single" w:sz="4" w:space="0" w:color="auto"/>
              <w:right w:val="single" w:sz="4" w:space="0" w:color="auto"/>
            </w:tcBorders>
            <w:shd w:val="clear" w:color="auto" w:fill="auto"/>
            <w:vAlign w:val="bottom"/>
          </w:tcPr>
          <w:p w14:paraId="57815107" w14:textId="724240BF"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0.08</w:t>
            </w:r>
          </w:p>
        </w:tc>
        <w:tc>
          <w:tcPr>
            <w:tcW w:w="1393" w:type="dxa"/>
            <w:tcBorders>
              <w:top w:val="nil"/>
              <w:left w:val="nil"/>
              <w:bottom w:val="single" w:sz="4" w:space="0" w:color="auto"/>
              <w:right w:val="single" w:sz="4" w:space="0" w:color="auto"/>
            </w:tcBorders>
            <w:shd w:val="clear" w:color="auto" w:fill="auto"/>
            <w:vAlign w:val="bottom"/>
          </w:tcPr>
          <w:p w14:paraId="170E6D76" w14:textId="72BADDF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698,368,176</w:t>
            </w:r>
          </w:p>
        </w:tc>
        <w:tc>
          <w:tcPr>
            <w:tcW w:w="1276" w:type="dxa"/>
            <w:tcBorders>
              <w:top w:val="nil"/>
              <w:left w:val="nil"/>
              <w:bottom w:val="single" w:sz="4" w:space="0" w:color="auto"/>
              <w:right w:val="single" w:sz="4" w:space="0" w:color="auto"/>
            </w:tcBorders>
            <w:shd w:val="clear" w:color="auto" w:fill="auto"/>
            <w:vAlign w:val="bottom"/>
          </w:tcPr>
          <w:p w14:paraId="1F89FB45" w14:textId="05E143FE"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73.04%</w:t>
            </w:r>
          </w:p>
        </w:tc>
        <w:tc>
          <w:tcPr>
            <w:tcW w:w="1280" w:type="dxa"/>
            <w:tcBorders>
              <w:top w:val="nil"/>
              <w:left w:val="nil"/>
              <w:bottom w:val="single" w:sz="4" w:space="0" w:color="auto"/>
              <w:right w:val="single" w:sz="4" w:space="0" w:color="auto"/>
            </w:tcBorders>
            <w:shd w:val="clear" w:color="auto" w:fill="auto"/>
            <w:vAlign w:val="bottom"/>
          </w:tcPr>
          <w:p w14:paraId="0B7950C6" w14:textId="2DFA07DE"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95,247</w:t>
            </w:r>
          </w:p>
        </w:tc>
      </w:tr>
      <w:tr w:rsidR="00AB76A9" w:rsidRPr="0094482F" w14:paraId="4AAD1BB0" w14:textId="77777777" w:rsidTr="00263D45">
        <w:trPr>
          <w:jc w:val="center"/>
        </w:trPr>
        <w:tc>
          <w:tcPr>
            <w:tcW w:w="461" w:type="dxa"/>
            <w:tcBorders>
              <w:top w:val="single" w:sz="4" w:space="0" w:color="auto"/>
              <w:left w:val="single" w:sz="4" w:space="0" w:color="auto"/>
              <w:bottom w:val="single" w:sz="4" w:space="0" w:color="auto"/>
              <w:right w:val="single" w:sz="4" w:space="0" w:color="auto"/>
            </w:tcBorders>
          </w:tcPr>
          <w:p w14:paraId="3F898CB0"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1AE70AFD" w14:textId="61416644"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re-appoint Keith Williams</w:t>
            </w:r>
            <w:r w:rsidRPr="007407EE" w:rsidDel="0005469A">
              <w:rPr>
                <w:rFonts w:ascii="ChevinLight" w:eastAsia="Calibri" w:hAnsi="ChevinLight" w:cs="Arial"/>
                <w:sz w:val="18"/>
                <w:szCs w:val="18"/>
                <w:lang w:eastAsia="en-GB"/>
              </w:rPr>
              <w:t xml:space="preserve"> </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14:paraId="2C9D5797" w14:textId="4334DB29"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628,994,560</w:t>
            </w:r>
          </w:p>
        </w:tc>
        <w:tc>
          <w:tcPr>
            <w:tcW w:w="865" w:type="dxa"/>
            <w:tcBorders>
              <w:top w:val="nil"/>
              <w:left w:val="nil"/>
              <w:bottom w:val="single" w:sz="4" w:space="0" w:color="auto"/>
              <w:right w:val="single" w:sz="4" w:space="0" w:color="auto"/>
            </w:tcBorders>
            <w:shd w:val="clear" w:color="auto" w:fill="auto"/>
            <w:vAlign w:val="bottom"/>
            <w:hideMark/>
          </w:tcPr>
          <w:p w14:paraId="2B3600DE" w14:textId="5DC898A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92.70</w:t>
            </w:r>
          </w:p>
        </w:tc>
        <w:tc>
          <w:tcPr>
            <w:tcW w:w="1271" w:type="dxa"/>
            <w:tcBorders>
              <w:top w:val="nil"/>
              <w:left w:val="nil"/>
              <w:bottom w:val="single" w:sz="4" w:space="0" w:color="auto"/>
              <w:right w:val="single" w:sz="4" w:space="0" w:color="auto"/>
            </w:tcBorders>
            <w:shd w:val="clear" w:color="auto" w:fill="auto"/>
            <w:vAlign w:val="bottom"/>
            <w:hideMark/>
          </w:tcPr>
          <w:p w14:paraId="51CC034A" w14:textId="7395E41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49,510,845</w:t>
            </w:r>
          </w:p>
        </w:tc>
        <w:tc>
          <w:tcPr>
            <w:tcW w:w="730" w:type="dxa"/>
            <w:tcBorders>
              <w:top w:val="nil"/>
              <w:left w:val="nil"/>
              <w:bottom w:val="single" w:sz="4" w:space="0" w:color="auto"/>
              <w:right w:val="single" w:sz="4" w:space="0" w:color="auto"/>
            </w:tcBorders>
            <w:shd w:val="clear" w:color="auto" w:fill="auto"/>
            <w:vAlign w:val="bottom"/>
            <w:hideMark/>
          </w:tcPr>
          <w:p w14:paraId="1AA70208" w14:textId="585C0585"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w:t>
            </w:r>
          </w:p>
        </w:tc>
        <w:tc>
          <w:tcPr>
            <w:tcW w:w="1393" w:type="dxa"/>
            <w:tcBorders>
              <w:top w:val="nil"/>
              <w:left w:val="nil"/>
              <w:bottom w:val="single" w:sz="4" w:space="0" w:color="auto"/>
              <w:right w:val="single" w:sz="4" w:space="0" w:color="auto"/>
            </w:tcBorders>
            <w:shd w:val="clear" w:color="auto" w:fill="auto"/>
            <w:vAlign w:val="bottom"/>
            <w:hideMark/>
          </w:tcPr>
          <w:p w14:paraId="14059FB6" w14:textId="5D4C9DF3"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678,505,405</w:t>
            </w:r>
          </w:p>
        </w:tc>
        <w:tc>
          <w:tcPr>
            <w:tcW w:w="1276" w:type="dxa"/>
            <w:tcBorders>
              <w:top w:val="nil"/>
              <w:left w:val="nil"/>
              <w:bottom w:val="single" w:sz="4" w:space="0" w:color="auto"/>
              <w:right w:val="single" w:sz="4" w:space="0" w:color="auto"/>
            </w:tcBorders>
            <w:shd w:val="clear" w:color="auto" w:fill="auto"/>
            <w:vAlign w:val="bottom"/>
            <w:hideMark/>
          </w:tcPr>
          <w:p w14:paraId="36CCC270" w14:textId="5F545CED"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70.96%</w:t>
            </w:r>
          </w:p>
        </w:tc>
        <w:tc>
          <w:tcPr>
            <w:tcW w:w="1280" w:type="dxa"/>
            <w:tcBorders>
              <w:top w:val="nil"/>
              <w:left w:val="nil"/>
              <w:bottom w:val="single" w:sz="4" w:space="0" w:color="auto"/>
              <w:right w:val="single" w:sz="4" w:space="0" w:color="auto"/>
            </w:tcBorders>
            <w:shd w:val="clear" w:color="auto" w:fill="auto"/>
            <w:vAlign w:val="bottom"/>
            <w:hideMark/>
          </w:tcPr>
          <w:p w14:paraId="684C1ACD" w14:textId="427DCE48"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19,946,163</w:t>
            </w:r>
          </w:p>
        </w:tc>
      </w:tr>
      <w:tr w:rsidR="00AB76A9" w:rsidRPr="0094482F" w14:paraId="13C34E23" w14:textId="77777777" w:rsidTr="00AC7F5B">
        <w:trPr>
          <w:jc w:val="center"/>
        </w:trPr>
        <w:tc>
          <w:tcPr>
            <w:tcW w:w="461" w:type="dxa"/>
            <w:tcBorders>
              <w:top w:val="single" w:sz="4" w:space="0" w:color="auto"/>
              <w:left w:val="single" w:sz="4" w:space="0" w:color="auto"/>
              <w:bottom w:val="single" w:sz="4" w:space="0" w:color="auto"/>
              <w:right w:val="single" w:sz="4" w:space="0" w:color="auto"/>
            </w:tcBorders>
          </w:tcPr>
          <w:p w14:paraId="6E0C1A62"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615D0D92" w14:textId="45BECD43"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re-appoint Simon Thompson</w:t>
            </w:r>
            <w:r w:rsidRPr="007407EE" w:rsidDel="0005469A">
              <w:rPr>
                <w:rFonts w:ascii="ChevinLight" w:eastAsia="Calibri" w:hAnsi="ChevinLight" w:cs="Arial"/>
                <w:sz w:val="18"/>
                <w:szCs w:val="18"/>
                <w:lang w:eastAsia="en-GB"/>
              </w:rPr>
              <w:t xml:space="preserve"> </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14:paraId="49DE9080" w14:textId="1E89EE85"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696,114,772</w:t>
            </w:r>
          </w:p>
        </w:tc>
        <w:tc>
          <w:tcPr>
            <w:tcW w:w="865" w:type="dxa"/>
            <w:tcBorders>
              <w:top w:val="nil"/>
              <w:left w:val="nil"/>
              <w:bottom w:val="single" w:sz="4" w:space="0" w:color="auto"/>
              <w:right w:val="single" w:sz="4" w:space="0" w:color="auto"/>
            </w:tcBorders>
            <w:shd w:val="clear" w:color="auto" w:fill="auto"/>
            <w:vAlign w:val="bottom"/>
            <w:hideMark/>
          </w:tcPr>
          <w:p w14:paraId="7A5A5F01" w14:textId="2C901A7E"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99.69</w:t>
            </w:r>
          </w:p>
        </w:tc>
        <w:tc>
          <w:tcPr>
            <w:tcW w:w="1271" w:type="dxa"/>
            <w:tcBorders>
              <w:top w:val="nil"/>
              <w:left w:val="nil"/>
              <w:bottom w:val="single" w:sz="4" w:space="0" w:color="auto"/>
              <w:right w:val="single" w:sz="4" w:space="0" w:color="auto"/>
            </w:tcBorders>
            <w:shd w:val="clear" w:color="auto" w:fill="auto"/>
            <w:vAlign w:val="bottom"/>
            <w:hideMark/>
          </w:tcPr>
          <w:p w14:paraId="77FBA7C4" w14:textId="2F5513C3"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2,185,510</w:t>
            </w:r>
          </w:p>
        </w:tc>
        <w:tc>
          <w:tcPr>
            <w:tcW w:w="730" w:type="dxa"/>
            <w:tcBorders>
              <w:top w:val="nil"/>
              <w:left w:val="nil"/>
              <w:bottom w:val="single" w:sz="4" w:space="0" w:color="auto"/>
              <w:right w:val="single" w:sz="4" w:space="0" w:color="auto"/>
            </w:tcBorders>
            <w:shd w:val="clear" w:color="auto" w:fill="auto"/>
            <w:vAlign w:val="bottom"/>
            <w:hideMark/>
          </w:tcPr>
          <w:p w14:paraId="0C5FF488" w14:textId="6DE3FE5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0.31</w:t>
            </w:r>
          </w:p>
        </w:tc>
        <w:tc>
          <w:tcPr>
            <w:tcW w:w="1393" w:type="dxa"/>
            <w:tcBorders>
              <w:top w:val="nil"/>
              <w:left w:val="nil"/>
              <w:bottom w:val="single" w:sz="4" w:space="0" w:color="auto"/>
              <w:right w:val="single" w:sz="4" w:space="0" w:color="auto"/>
            </w:tcBorders>
            <w:shd w:val="clear" w:color="auto" w:fill="auto"/>
            <w:vAlign w:val="bottom"/>
            <w:hideMark/>
          </w:tcPr>
          <w:p w14:paraId="5834AF4A" w14:textId="5EA091DD"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698,300,282</w:t>
            </w:r>
          </w:p>
        </w:tc>
        <w:tc>
          <w:tcPr>
            <w:tcW w:w="1276" w:type="dxa"/>
            <w:tcBorders>
              <w:top w:val="nil"/>
              <w:left w:val="nil"/>
              <w:bottom w:val="single" w:sz="4" w:space="0" w:color="auto"/>
              <w:right w:val="single" w:sz="4" w:space="0" w:color="auto"/>
            </w:tcBorders>
            <w:shd w:val="clear" w:color="auto" w:fill="auto"/>
            <w:vAlign w:val="bottom"/>
            <w:hideMark/>
          </w:tcPr>
          <w:p w14:paraId="78359853" w14:textId="5108B1B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73.03%</w:t>
            </w:r>
          </w:p>
        </w:tc>
        <w:tc>
          <w:tcPr>
            <w:tcW w:w="1280" w:type="dxa"/>
            <w:tcBorders>
              <w:top w:val="nil"/>
              <w:left w:val="nil"/>
              <w:bottom w:val="single" w:sz="4" w:space="0" w:color="auto"/>
              <w:right w:val="single" w:sz="4" w:space="0" w:color="auto"/>
            </w:tcBorders>
            <w:shd w:val="clear" w:color="auto" w:fill="auto"/>
            <w:vAlign w:val="bottom"/>
            <w:hideMark/>
          </w:tcPr>
          <w:p w14:paraId="3B219E51" w14:textId="5596789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160,753</w:t>
            </w:r>
          </w:p>
        </w:tc>
      </w:tr>
      <w:tr w:rsidR="00AB76A9" w:rsidRPr="0094482F" w14:paraId="5B5F90E4" w14:textId="77777777" w:rsidTr="00FB352A">
        <w:trPr>
          <w:jc w:val="center"/>
        </w:trPr>
        <w:tc>
          <w:tcPr>
            <w:tcW w:w="461" w:type="dxa"/>
            <w:tcBorders>
              <w:top w:val="single" w:sz="4" w:space="0" w:color="auto"/>
              <w:left w:val="single" w:sz="4" w:space="0" w:color="auto"/>
              <w:bottom w:val="single" w:sz="4" w:space="0" w:color="auto"/>
              <w:right w:val="single" w:sz="4" w:space="0" w:color="auto"/>
            </w:tcBorders>
          </w:tcPr>
          <w:p w14:paraId="76693BCB"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tcPr>
          <w:p w14:paraId="3E27C43F" w14:textId="55838DE9"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re-appoint Martin Seidenberg</w:t>
            </w:r>
          </w:p>
        </w:tc>
        <w:tc>
          <w:tcPr>
            <w:tcW w:w="1411" w:type="dxa"/>
            <w:tcBorders>
              <w:top w:val="nil"/>
              <w:left w:val="single" w:sz="4" w:space="0" w:color="auto"/>
              <w:bottom w:val="single" w:sz="4" w:space="0" w:color="auto"/>
              <w:right w:val="single" w:sz="4" w:space="0" w:color="auto"/>
            </w:tcBorders>
            <w:shd w:val="clear" w:color="auto" w:fill="auto"/>
            <w:vAlign w:val="bottom"/>
          </w:tcPr>
          <w:p w14:paraId="16A07523" w14:textId="5554966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694,873,288</w:t>
            </w:r>
          </w:p>
        </w:tc>
        <w:tc>
          <w:tcPr>
            <w:tcW w:w="865" w:type="dxa"/>
            <w:tcBorders>
              <w:top w:val="nil"/>
              <w:left w:val="nil"/>
              <w:bottom w:val="single" w:sz="4" w:space="0" w:color="auto"/>
              <w:right w:val="single" w:sz="4" w:space="0" w:color="auto"/>
            </w:tcBorders>
            <w:shd w:val="clear" w:color="auto" w:fill="auto"/>
            <w:vAlign w:val="bottom"/>
          </w:tcPr>
          <w:p w14:paraId="24BA87CC" w14:textId="291A05F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99.52</w:t>
            </w:r>
          </w:p>
        </w:tc>
        <w:tc>
          <w:tcPr>
            <w:tcW w:w="1271" w:type="dxa"/>
            <w:tcBorders>
              <w:top w:val="nil"/>
              <w:left w:val="nil"/>
              <w:bottom w:val="single" w:sz="4" w:space="0" w:color="auto"/>
              <w:right w:val="single" w:sz="4" w:space="0" w:color="auto"/>
            </w:tcBorders>
            <w:shd w:val="clear" w:color="auto" w:fill="auto"/>
            <w:vAlign w:val="bottom"/>
          </w:tcPr>
          <w:p w14:paraId="22F86CE9" w14:textId="6662CE4F"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3,382,318</w:t>
            </w:r>
          </w:p>
        </w:tc>
        <w:tc>
          <w:tcPr>
            <w:tcW w:w="730" w:type="dxa"/>
            <w:tcBorders>
              <w:top w:val="nil"/>
              <w:left w:val="nil"/>
              <w:bottom w:val="single" w:sz="4" w:space="0" w:color="auto"/>
              <w:right w:val="single" w:sz="4" w:space="0" w:color="auto"/>
            </w:tcBorders>
            <w:shd w:val="clear" w:color="auto" w:fill="auto"/>
            <w:vAlign w:val="bottom"/>
          </w:tcPr>
          <w:p w14:paraId="2F76EB48" w14:textId="77918BC8"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0.48</w:t>
            </w:r>
          </w:p>
        </w:tc>
        <w:tc>
          <w:tcPr>
            <w:tcW w:w="1393" w:type="dxa"/>
            <w:tcBorders>
              <w:top w:val="nil"/>
              <w:left w:val="nil"/>
              <w:bottom w:val="single" w:sz="4" w:space="0" w:color="auto"/>
              <w:right w:val="single" w:sz="4" w:space="0" w:color="auto"/>
            </w:tcBorders>
            <w:shd w:val="clear" w:color="auto" w:fill="auto"/>
            <w:vAlign w:val="bottom"/>
          </w:tcPr>
          <w:p w14:paraId="002CEB52" w14:textId="25AC64C1"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698,255,606</w:t>
            </w:r>
          </w:p>
        </w:tc>
        <w:tc>
          <w:tcPr>
            <w:tcW w:w="1276" w:type="dxa"/>
            <w:tcBorders>
              <w:top w:val="nil"/>
              <w:left w:val="nil"/>
              <w:bottom w:val="single" w:sz="4" w:space="0" w:color="auto"/>
              <w:right w:val="single" w:sz="4" w:space="0" w:color="auto"/>
            </w:tcBorders>
            <w:shd w:val="clear" w:color="auto" w:fill="auto"/>
            <w:vAlign w:val="bottom"/>
          </w:tcPr>
          <w:p w14:paraId="564C6B2D" w14:textId="61A2059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73.02%</w:t>
            </w:r>
          </w:p>
        </w:tc>
        <w:tc>
          <w:tcPr>
            <w:tcW w:w="1280" w:type="dxa"/>
            <w:tcBorders>
              <w:top w:val="nil"/>
              <w:left w:val="nil"/>
              <w:bottom w:val="single" w:sz="4" w:space="0" w:color="auto"/>
              <w:right w:val="single" w:sz="4" w:space="0" w:color="auto"/>
            </w:tcBorders>
            <w:shd w:val="clear" w:color="auto" w:fill="auto"/>
            <w:vAlign w:val="bottom"/>
          </w:tcPr>
          <w:p w14:paraId="4CB874A4" w14:textId="1FBC9A7E"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194,062</w:t>
            </w:r>
          </w:p>
        </w:tc>
      </w:tr>
      <w:tr w:rsidR="00AB76A9" w:rsidRPr="0094482F" w14:paraId="43B2B248" w14:textId="77777777" w:rsidTr="00BD6869">
        <w:trPr>
          <w:jc w:val="center"/>
        </w:trPr>
        <w:tc>
          <w:tcPr>
            <w:tcW w:w="461" w:type="dxa"/>
            <w:tcBorders>
              <w:top w:val="single" w:sz="4" w:space="0" w:color="auto"/>
              <w:left w:val="single" w:sz="4" w:space="0" w:color="auto"/>
              <w:bottom w:val="single" w:sz="4" w:space="0" w:color="auto"/>
              <w:right w:val="single" w:sz="4" w:space="0" w:color="auto"/>
            </w:tcBorders>
          </w:tcPr>
          <w:p w14:paraId="2BABEAD0"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tcPr>
          <w:p w14:paraId="7D5BEB4D" w14:textId="253A560B"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re-appoint Mick Jeavons</w:t>
            </w:r>
          </w:p>
        </w:tc>
        <w:tc>
          <w:tcPr>
            <w:tcW w:w="1411" w:type="dxa"/>
            <w:tcBorders>
              <w:top w:val="nil"/>
              <w:left w:val="single" w:sz="4" w:space="0" w:color="auto"/>
              <w:bottom w:val="single" w:sz="4" w:space="0" w:color="auto"/>
              <w:right w:val="single" w:sz="4" w:space="0" w:color="auto"/>
            </w:tcBorders>
            <w:shd w:val="clear" w:color="auto" w:fill="auto"/>
            <w:vAlign w:val="bottom"/>
          </w:tcPr>
          <w:p w14:paraId="4A5EDC96" w14:textId="511ACD94"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694,810,555</w:t>
            </w:r>
          </w:p>
        </w:tc>
        <w:tc>
          <w:tcPr>
            <w:tcW w:w="865" w:type="dxa"/>
            <w:tcBorders>
              <w:top w:val="nil"/>
              <w:left w:val="nil"/>
              <w:bottom w:val="single" w:sz="4" w:space="0" w:color="auto"/>
              <w:right w:val="single" w:sz="4" w:space="0" w:color="auto"/>
            </w:tcBorders>
            <w:shd w:val="clear" w:color="auto" w:fill="auto"/>
            <w:vAlign w:val="bottom"/>
          </w:tcPr>
          <w:p w14:paraId="34414AD2" w14:textId="0C4D892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99.51</w:t>
            </w:r>
          </w:p>
        </w:tc>
        <w:tc>
          <w:tcPr>
            <w:tcW w:w="1271" w:type="dxa"/>
            <w:tcBorders>
              <w:top w:val="nil"/>
              <w:left w:val="nil"/>
              <w:bottom w:val="single" w:sz="4" w:space="0" w:color="auto"/>
              <w:right w:val="single" w:sz="4" w:space="0" w:color="auto"/>
            </w:tcBorders>
            <w:shd w:val="clear" w:color="auto" w:fill="auto"/>
            <w:vAlign w:val="bottom"/>
          </w:tcPr>
          <w:p w14:paraId="47E03C72" w14:textId="15933D3D"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3,444,902</w:t>
            </w:r>
          </w:p>
        </w:tc>
        <w:tc>
          <w:tcPr>
            <w:tcW w:w="730" w:type="dxa"/>
            <w:tcBorders>
              <w:top w:val="nil"/>
              <w:left w:val="nil"/>
              <w:bottom w:val="single" w:sz="4" w:space="0" w:color="auto"/>
              <w:right w:val="single" w:sz="4" w:space="0" w:color="auto"/>
            </w:tcBorders>
            <w:shd w:val="clear" w:color="auto" w:fill="auto"/>
            <w:vAlign w:val="bottom"/>
          </w:tcPr>
          <w:p w14:paraId="007BB94F" w14:textId="4CA11D1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0.49</w:t>
            </w:r>
          </w:p>
        </w:tc>
        <w:tc>
          <w:tcPr>
            <w:tcW w:w="1393" w:type="dxa"/>
            <w:tcBorders>
              <w:top w:val="nil"/>
              <w:left w:val="nil"/>
              <w:bottom w:val="single" w:sz="4" w:space="0" w:color="auto"/>
              <w:right w:val="single" w:sz="4" w:space="0" w:color="auto"/>
            </w:tcBorders>
            <w:shd w:val="clear" w:color="auto" w:fill="auto"/>
            <w:vAlign w:val="bottom"/>
          </w:tcPr>
          <w:p w14:paraId="2580C1A6" w14:textId="5BE68DBE"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698,255,457</w:t>
            </w:r>
          </w:p>
        </w:tc>
        <w:tc>
          <w:tcPr>
            <w:tcW w:w="1276" w:type="dxa"/>
            <w:tcBorders>
              <w:top w:val="nil"/>
              <w:left w:val="nil"/>
              <w:bottom w:val="single" w:sz="4" w:space="0" w:color="auto"/>
              <w:right w:val="single" w:sz="4" w:space="0" w:color="auto"/>
            </w:tcBorders>
            <w:shd w:val="clear" w:color="auto" w:fill="auto"/>
            <w:vAlign w:val="bottom"/>
          </w:tcPr>
          <w:p w14:paraId="5791CEC0" w14:textId="36D8924F"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73.02%</w:t>
            </w:r>
          </w:p>
        </w:tc>
        <w:tc>
          <w:tcPr>
            <w:tcW w:w="1280" w:type="dxa"/>
            <w:tcBorders>
              <w:top w:val="nil"/>
              <w:left w:val="nil"/>
              <w:bottom w:val="single" w:sz="4" w:space="0" w:color="auto"/>
              <w:right w:val="single" w:sz="4" w:space="0" w:color="auto"/>
            </w:tcBorders>
            <w:shd w:val="clear" w:color="auto" w:fill="auto"/>
            <w:vAlign w:val="bottom"/>
          </w:tcPr>
          <w:p w14:paraId="0FB5921A" w14:textId="2D71A3D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193,934</w:t>
            </w:r>
          </w:p>
        </w:tc>
      </w:tr>
      <w:tr w:rsidR="00AB76A9" w:rsidRPr="0094482F" w14:paraId="4CD081FF" w14:textId="77777777" w:rsidTr="00C24618">
        <w:trPr>
          <w:jc w:val="center"/>
        </w:trPr>
        <w:tc>
          <w:tcPr>
            <w:tcW w:w="461" w:type="dxa"/>
            <w:tcBorders>
              <w:top w:val="single" w:sz="4" w:space="0" w:color="auto"/>
              <w:left w:val="single" w:sz="4" w:space="0" w:color="auto"/>
              <w:bottom w:val="single" w:sz="4" w:space="0" w:color="auto"/>
              <w:right w:val="single" w:sz="4" w:space="0" w:color="auto"/>
            </w:tcBorders>
          </w:tcPr>
          <w:p w14:paraId="46995DD8"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04B20C1A" w14:textId="753C6A5A"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re-appoint Baroness Hogg</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14:paraId="3D86F2C0" w14:textId="502179E4"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620,025,275</w:t>
            </w:r>
          </w:p>
        </w:tc>
        <w:tc>
          <w:tcPr>
            <w:tcW w:w="865" w:type="dxa"/>
            <w:tcBorders>
              <w:top w:val="nil"/>
              <w:left w:val="nil"/>
              <w:bottom w:val="single" w:sz="4" w:space="0" w:color="auto"/>
              <w:right w:val="single" w:sz="4" w:space="0" w:color="auto"/>
            </w:tcBorders>
            <w:shd w:val="clear" w:color="auto" w:fill="auto"/>
            <w:vAlign w:val="bottom"/>
            <w:hideMark/>
          </w:tcPr>
          <w:p w14:paraId="7D1B7727" w14:textId="2F4E0DC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88.80</w:t>
            </w:r>
          </w:p>
        </w:tc>
        <w:tc>
          <w:tcPr>
            <w:tcW w:w="1271" w:type="dxa"/>
            <w:tcBorders>
              <w:top w:val="nil"/>
              <w:left w:val="nil"/>
              <w:bottom w:val="single" w:sz="4" w:space="0" w:color="auto"/>
              <w:right w:val="single" w:sz="4" w:space="0" w:color="auto"/>
            </w:tcBorders>
            <w:shd w:val="clear" w:color="auto" w:fill="auto"/>
            <w:vAlign w:val="bottom"/>
            <w:hideMark/>
          </w:tcPr>
          <w:p w14:paraId="21B71758" w14:textId="6072442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78,235,463</w:t>
            </w:r>
          </w:p>
        </w:tc>
        <w:tc>
          <w:tcPr>
            <w:tcW w:w="730" w:type="dxa"/>
            <w:tcBorders>
              <w:top w:val="nil"/>
              <w:left w:val="nil"/>
              <w:bottom w:val="single" w:sz="4" w:space="0" w:color="auto"/>
              <w:right w:val="single" w:sz="4" w:space="0" w:color="auto"/>
            </w:tcBorders>
            <w:shd w:val="clear" w:color="auto" w:fill="auto"/>
            <w:vAlign w:val="bottom"/>
            <w:hideMark/>
          </w:tcPr>
          <w:p w14:paraId="08074E55" w14:textId="1AACADD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11.20</w:t>
            </w:r>
          </w:p>
        </w:tc>
        <w:tc>
          <w:tcPr>
            <w:tcW w:w="1393" w:type="dxa"/>
            <w:tcBorders>
              <w:top w:val="nil"/>
              <w:left w:val="nil"/>
              <w:bottom w:val="single" w:sz="4" w:space="0" w:color="auto"/>
              <w:right w:val="single" w:sz="4" w:space="0" w:color="auto"/>
            </w:tcBorders>
            <w:shd w:val="clear" w:color="auto" w:fill="auto"/>
            <w:vAlign w:val="bottom"/>
            <w:hideMark/>
          </w:tcPr>
          <w:p w14:paraId="1B54D1AC" w14:textId="6D95AA47"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698,260,738</w:t>
            </w:r>
          </w:p>
        </w:tc>
        <w:tc>
          <w:tcPr>
            <w:tcW w:w="1276" w:type="dxa"/>
            <w:tcBorders>
              <w:top w:val="nil"/>
              <w:left w:val="nil"/>
              <w:bottom w:val="single" w:sz="4" w:space="0" w:color="auto"/>
              <w:right w:val="single" w:sz="4" w:space="0" w:color="auto"/>
            </w:tcBorders>
            <w:shd w:val="clear" w:color="auto" w:fill="auto"/>
            <w:vAlign w:val="bottom"/>
            <w:hideMark/>
          </w:tcPr>
          <w:p w14:paraId="1FFC6F34" w14:textId="21B2673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73.03%</w:t>
            </w:r>
          </w:p>
        </w:tc>
        <w:tc>
          <w:tcPr>
            <w:tcW w:w="1280" w:type="dxa"/>
            <w:tcBorders>
              <w:top w:val="nil"/>
              <w:left w:val="nil"/>
              <w:bottom w:val="single" w:sz="4" w:space="0" w:color="auto"/>
              <w:right w:val="single" w:sz="4" w:space="0" w:color="auto"/>
            </w:tcBorders>
            <w:shd w:val="clear" w:color="auto" w:fill="auto"/>
            <w:vAlign w:val="bottom"/>
            <w:hideMark/>
          </w:tcPr>
          <w:p w14:paraId="3242EED0" w14:textId="542DB75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195,201</w:t>
            </w:r>
          </w:p>
        </w:tc>
      </w:tr>
      <w:tr w:rsidR="00AB76A9" w:rsidRPr="0094482F" w14:paraId="51114738" w14:textId="77777777" w:rsidTr="00523E58">
        <w:trPr>
          <w:jc w:val="center"/>
        </w:trPr>
        <w:tc>
          <w:tcPr>
            <w:tcW w:w="461" w:type="dxa"/>
            <w:tcBorders>
              <w:top w:val="single" w:sz="4" w:space="0" w:color="auto"/>
              <w:left w:val="single" w:sz="4" w:space="0" w:color="auto"/>
              <w:bottom w:val="single" w:sz="4" w:space="0" w:color="auto"/>
              <w:right w:val="single" w:sz="4" w:space="0" w:color="auto"/>
            </w:tcBorders>
          </w:tcPr>
          <w:p w14:paraId="59F6ED2D"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70F5BEAC" w14:textId="44CEA76F"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re-appoint Maria da Cunha</w:t>
            </w:r>
            <w:r w:rsidRPr="007407EE" w:rsidDel="0005469A">
              <w:rPr>
                <w:rFonts w:ascii="ChevinLight" w:eastAsia="Calibri" w:hAnsi="ChevinLight" w:cs="Arial"/>
                <w:sz w:val="18"/>
                <w:szCs w:val="18"/>
                <w:lang w:eastAsia="en-GB"/>
              </w:rPr>
              <w:t xml:space="preserve"> </w:t>
            </w:r>
          </w:p>
        </w:tc>
        <w:tc>
          <w:tcPr>
            <w:tcW w:w="1411" w:type="dxa"/>
            <w:tcBorders>
              <w:top w:val="nil"/>
              <w:left w:val="single" w:sz="4" w:space="0" w:color="auto"/>
              <w:bottom w:val="single" w:sz="4" w:space="0" w:color="auto"/>
              <w:right w:val="single" w:sz="4" w:space="0" w:color="auto"/>
            </w:tcBorders>
            <w:shd w:val="clear" w:color="auto" w:fill="auto"/>
            <w:vAlign w:val="bottom"/>
          </w:tcPr>
          <w:p w14:paraId="1EA0B8D5" w14:textId="03A4BC6F"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669,110,518</w:t>
            </w:r>
          </w:p>
        </w:tc>
        <w:tc>
          <w:tcPr>
            <w:tcW w:w="865" w:type="dxa"/>
            <w:tcBorders>
              <w:top w:val="nil"/>
              <w:left w:val="nil"/>
              <w:bottom w:val="single" w:sz="4" w:space="0" w:color="auto"/>
              <w:right w:val="single" w:sz="4" w:space="0" w:color="auto"/>
            </w:tcBorders>
            <w:shd w:val="clear" w:color="auto" w:fill="auto"/>
            <w:vAlign w:val="bottom"/>
          </w:tcPr>
          <w:p w14:paraId="16DF8FE2" w14:textId="61DDAB5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98.62</w:t>
            </w:r>
          </w:p>
        </w:tc>
        <w:tc>
          <w:tcPr>
            <w:tcW w:w="1271" w:type="dxa"/>
            <w:tcBorders>
              <w:top w:val="nil"/>
              <w:left w:val="nil"/>
              <w:bottom w:val="single" w:sz="4" w:space="0" w:color="auto"/>
              <w:right w:val="single" w:sz="4" w:space="0" w:color="auto"/>
            </w:tcBorders>
            <w:shd w:val="clear" w:color="auto" w:fill="auto"/>
            <w:vAlign w:val="bottom"/>
          </w:tcPr>
          <w:p w14:paraId="199F960A" w14:textId="100216B9"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9,383,616</w:t>
            </w:r>
          </w:p>
        </w:tc>
        <w:tc>
          <w:tcPr>
            <w:tcW w:w="730" w:type="dxa"/>
            <w:tcBorders>
              <w:top w:val="nil"/>
              <w:left w:val="nil"/>
              <w:bottom w:val="single" w:sz="4" w:space="0" w:color="auto"/>
              <w:right w:val="single" w:sz="4" w:space="0" w:color="auto"/>
            </w:tcBorders>
            <w:shd w:val="clear" w:color="auto" w:fill="auto"/>
            <w:vAlign w:val="bottom"/>
          </w:tcPr>
          <w:p w14:paraId="1A4BB54F" w14:textId="3B2E77F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1.38</w:t>
            </w:r>
          </w:p>
        </w:tc>
        <w:tc>
          <w:tcPr>
            <w:tcW w:w="1393" w:type="dxa"/>
            <w:tcBorders>
              <w:top w:val="nil"/>
              <w:left w:val="nil"/>
              <w:bottom w:val="single" w:sz="4" w:space="0" w:color="auto"/>
              <w:right w:val="single" w:sz="4" w:space="0" w:color="auto"/>
            </w:tcBorders>
            <w:shd w:val="clear" w:color="auto" w:fill="auto"/>
            <w:vAlign w:val="bottom"/>
          </w:tcPr>
          <w:p w14:paraId="65774999" w14:textId="00BC565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678,494,134</w:t>
            </w:r>
          </w:p>
        </w:tc>
        <w:tc>
          <w:tcPr>
            <w:tcW w:w="1276" w:type="dxa"/>
            <w:tcBorders>
              <w:top w:val="nil"/>
              <w:left w:val="nil"/>
              <w:bottom w:val="single" w:sz="4" w:space="0" w:color="auto"/>
              <w:right w:val="single" w:sz="4" w:space="0" w:color="auto"/>
            </w:tcBorders>
            <w:shd w:val="clear" w:color="auto" w:fill="auto"/>
            <w:vAlign w:val="bottom"/>
          </w:tcPr>
          <w:p w14:paraId="2C4F71BD" w14:textId="5449B9E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70.96%</w:t>
            </w:r>
          </w:p>
        </w:tc>
        <w:tc>
          <w:tcPr>
            <w:tcW w:w="1280" w:type="dxa"/>
            <w:tcBorders>
              <w:top w:val="nil"/>
              <w:left w:val="nil"/>
              <w:bottom w:val="single" w:sz="4" w:space="0" w:color="auto"/>
              <w:right w:val="single" w:sz="4" w:space="0" w:color="auto"/>
            </w:tcBorders>
            <w:shd w:val="clear" w:color="auto" w:fill="auto"/>
            <w:vAlign w:val="bottom"/>
          </w:tcPr>
          <w:p w14:paraId="7ECB1C80" w14:textId="2B6E7CE9"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19,959,799</w:t>
            </w:r>
          </w:p>
        </w:tc>
      </w:tr>
      <w:tr w:rsidR="00AB76A9" w:rsidRPr="0094482F" w14:paraId="3BAF143E" w14:textId="77777777" w:rsidTr="00186A39">
        <w:trPr>
          <w:jc w:val="center"/>
        </w:trPr>
        <w:tc>
          <w:tcPr>
            <w:tcW w:w="461" w:type="dxa"/>
            <w:tcBorders>
              <w:top w:val="single" w:sz="4" w:space="0" w:color="auto"/>
              <w:left w:val="single" w:sz="4" w:space="0" w:color="auto"/>
              <w:bottom w:val="single" w:sz="4" w:space="0" w:color="auto"/>
              <w:right w:val="single" w:sz="4" w:space="0" w:color="auto"/>
            </w:tcBorders>
          </w:tcPr>
          <w:p w14:paraId="1EE61EC4"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7D36FC7F" w14:textId="3215FBB0"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re-appoint Michael Findlay</w:t>
            </w:r>
          </w:p>
        </w:tc>
        <w:tc>
          <w:tcPr>
            <w:tcW w:w="1411" w:type="dxa"/>
            <w:tcBorders>
              <w:top w:val="nil"/>
              <w:left w:val="single" w:sz="4" w:space="0" w:color="auto"/>
              <w:bottom w:val="single" w:sz="4" w:space="0" w:color="auto"/>
              <w:right w:val="single" w:sz="4" w:space="0" w:color="auto"/>
            </w:tcBorders>
            <w:shd w:val="clear" w:color="auto" w:fill="auto"/>
            <w:vAlign w:val="bottom"/>
            <w:hideMark/>
          </w:tcPr>
          <w:p w14:paraId="4181964A" w14:textId="482B72FD" w:rsidR="00AB76A9" w:rsidRPr="00124E08" w:rsidRDefault="00AB76A9" w:rsidP="00AB76A9">
            <w:pPr>
              <w:rPr>
                <w:rFonts w:ascii="ChevinLight" w:eastAsia="Calibri" w:hAnsi="ChevinLight" w:cs="Arial"/>
                <w:sz w:val="20"/>
                <w:szCs w:val="20"/>
                <w:highlight w:val="yellow"/>
              </w:rPr>
            </w:pPr>
            <w:r w:rsidRPr="00124E08">
              <w:rPr>
                <w:rFonts w:ascii="ChevinLight" w:hAnsi="ChevinLight" w:cs="Arial"/>
                <w:sz w:val="20"/>
                <w:szCs w:val="20"/>
              </w:rPr>
              <w:t>687,495,251</w:t>
            </w:r>
          </w:p>
        </w:tc>
        <w:tc>
          <w:tcPr>
            <w:tcW w:w="865" w:type="dxa"/>
            <w:tcBorders>
              <w:top w:val="nil"/>
              <w:left w:val="nil"/>
              <w:bottom w:val="single" w:sz="4" w:space="0" w:color="auto"/>
              <w:right w:val="single" w:sz="4" w:space="0" w:color="auto"/>
            </w:tcBorders>
            <w:shd w:val="clear" w:color="auto" w:fill="auto"/>
            <w:vAlign w:val="bottom"/>
          </w:tcPr>
          <w:p w14:paraId="236F5BFE" w14:textId="45E72129" w:rsidR="00AB76A9" w:rsidRPr="00124E08" w:rsidRDefault="00AB76A9" w:rsidP="00AB76A9">
            <w:pPr>
              <w:rPr>
                <w:rFonts w:ascii="ChevinLight" w:eastAsia="Calibri" w:hAnsi="ChevinLight" w:cs="Arial"/>
                <w:sz w:val="20"/>
                <w:szCs w:val="20"/>
                <w:highlight w:val="yellow"/>
              </w:rPr>
            </w:pPr>
            <w:r w:rsidRPr="00124E08">
              <w:rPr>
                <w:rFonts w:ascii="ChevinLight" w:hAnsi="ChevinLight" w:cs="Arial"/>
                <w:sz w:val="20"/>
                <w:szCs w:val="20"/>
              </w:rPr>
              <w:t>98.46</w:t>
            </w:r>
          </w:p>
        </w:tc>
        <w:tc>
          <w:tcPr>
            <w:tcW w:w="1271" w:type="dxa"/>
            <w:tcBorders>
              <w:top w:val="nil"/>
              <w:left w:val="nil"/>
              <w:bottom w:val="single" w:sz="4" w:space="0" w:color="auto"/>
              <w:right w:val="single" w:sz="4" w:space="0" w:color="auto"/>
            </w:tcBorders>
            <w:shd w:val="clear" w:color="auto" w:fill="auto"/>
            <w:vAlign w:val="bottom"/>
          </w:tcPr>
          <w:p w14:paraId="0228E137" w14:textId="4EF00626" w:rsidR="00AB76A9" w:rsidRPr="00124E08" w:rsidRDefault="00AB76A9" w:rsidP="00AB76A9">
            <w:pPr>
              <w:rPr>
                <w:rFonts w:ascii="ChevinLight" w:eastAsia="Calibri" w:hAnsi="ChevinLight" w:cs="Arial"/>
                <w:sz w:val="20"/>
                <w:szCs w:val="20"/>
                <w:highlight w:val="yellow"/>
              </w:rPr>
            </w:pPr>
            <w:r w:rsidRPr="00124E08">
              <w:rPr>
                <w:rFonts w:ascii="ChevinLight" w:hAnsi="ChevinLight" w:cs="Arial"/>
                <w:sz w:val="20"/>
                <w:szCs w:val="20"/>
              </w:rPr>
              <w:t>10,753,460</w:t>
            </w:r>
          </w:p>
        </w:tc>
        <w:tc>
          <w:tcPr>
            <w:tcW w:w="730" w:type="dxa"/>
            <w:tcBorders>
              <w:top w:val="nil"/>
              <w:left w:val="nil"/>
              <w:bottom w:val="single" w:sz="4" w:space="0" w:color="auto"/>
              <w:right w:val="single" w:sz="4" w:space="0" w:color="auto"/>
            </w:tcBorders>
            <w:shd w:val="clear" w:color="auto" w:fill="auto"/>
            <w:vAlign w:val="bottom"/>
          </w:tcPr>
          <w:p w14:paraId="7554A876" w14:textId="6928BAFD"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1.54</w:t>
            </w:r>
          </w:p>
        </w:tc>
        <w:tc>
          <w:tcPr>
            <w:tcW w:w="1393" w:type="dxa"/>
            <w:tcBorders>
              <w:top w:val="nil"/>
              <w:left w:val="nil"/>
              <w:bottom w:val="single" w:sz="4" w:space="0" w:color="auto"/>
              <w:right w:val="single" w:sz="4" w:space="0" w:color="auto"/>
            </w:tcBorders>
            <w:shd w:val="clear" w:color="auto" w:fill="auto"/>
            <w:vAlign w:val="bottom"/>
          </w:tcPr>
          <w:p w14:paraId="4BCF9A86" w14:textId="5A9A7E49"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698,248,711</w:t>
            </w:r>
          </w:p>
        </w:tc>
        <w:tc>
          <w:tcPr>
            <w:tcW w:w="1276" w:type="dxa"/>
            <w:tcBorders>
              <w:top w:val="nil"/>
              <w:left w:val="nil"/>
              <w:bottom w:val="single" w:sz="4" w:space="0" w:color="auto"/>
              <w:right w:val="single" w:sz="4" w:space="0" w:color="auto"/>
            </w:tcBorders>
            <w:shd w:val="clear" w:color="auto" w:fill="auto"/>
            <w:vAlign w:val="bottom"/>
          </w:tcPr>
          <w:p w14:paraId="7667E769" w14:textId="73EB9274"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73.02%</w:t>
            </w:r>
          </w:p>
        </w:tc>
        <w:tc>
          <w:tcPr>
            <w:tcW w:w="1280" w:type="dxa"/>
            <w:tcBorders>
              <w:top w:val="nil"/>
              <w:left w:val="nil"/>
              <w:bottom w:val="single" w:sz="4" w:space="0" w:color="auto"/>
              <w:right w:val="single" w:sz="4" w:space="0" w:color="auto"/>
            </w:tcBorders>
            <w:shd w:val="clear" w:color="auto" w:fill="auto"/>
            <w:vAlign w:val="bottom"/>
            <w:hideMark/>
          </w:tcPr>
          <w:p w14:paraId="0B259418" w14:textId="2F5E6779"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204,436</w:t>
            </w:r>
          </w:p>
        </w:tc>
      </w:tr>
      <w:tr w:rsidR="00AB76A9" w:rsidRPr="0094482F" w14:paraId="24552BAE" w14:textId="77777777" w:rsidTr="00735951">
        <w:trPr>
          <w:jc w:val="center"/>
        </w:trPr>
        <w:tc>
          <w:tcPr>
            <w:tcW w:w="461" w:type="dxa"/>
            <w:tcBorders>
              <w:top w:val="single" w:sz="4" w:space="0" w:color="auto"/>
              <w:left w:val="single" w:sz="4" w:space="0" w:color="auto"/>
              <w:bottom w:val="single" w:sz="4" w:space="0" w:color="auto"/>
              <w:right w:val="single" w:sz="4" w:space="0" w:color="auto"/>
            </w:tcBorders>
          </w:tcPr>
          <w:p w14:paraId="46A858DA"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4365843A" w14:textId="36D295CE"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re-appoint Lynne Peacock</w:t>
            </w:r>
          </w:p>
        </w:tc>
        <w:tc>
          <w:tcPr>
            <w:tcW w:w="1411" w:type="dxa"/>
            <w:tcBorders>
              <w:top w:val="nil"/>
              <w:left w:val="single" w:sz="4" w:space="0" w:color="auto"/>
              <w:bottom w:val="single" w:sz="4" w:space="0" w:color="auto"/>
              <w:right w:val="single" w:sz="4" w:space="0" w:color="auto"/>
            </w:tcBorders>
            <w:shd w:val="clear" w:color="auto" w:fill="auto"/>
            <w:vAlign w:val="bottom"/>
          </w:tcPr>
          <w:p w14:paraId="288E8787" w14:textId="3156BA3F"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688,911,674</w:t>
            </w:r>
          </w:p>
        </w:tc>
        <w:tc>
          <w:tcPr>
            <w:tcW w:w="865" w:type="dxa"/>
            <w:tcBorders>
              <w:top w:val="nil"/>
              <w:left w:val="nil"/>
              <w:bottom w:val="single" w:sz="4" w:space="0" w:color="auto"/>
              <w:right w:val="single" w:sz="4" w:space="0" w:color="auto"/>
            </w:tcBorders>
            <w:shd w:val="clear" w:color="auto" w:fill="auto"/>
            <w:vAlign w:val="bottom"/>
          </w:tcPr>
          <w:p w14:paraId="7EF21371" w14:textId="6733D95A"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98.66</w:t>
            </w:r>
          </w:p>
        </w:tc>
        <w:tc>
          <w:tcPr>
            <w:tcW w:w="1271" w:type="dxa"/>
            <w:tcBorders>
              <w:top w:val="nil"/>
              <w:left w:val="nil"/>
              <w:bottom w:val="single" w:sz="4" w:space="0" w:color="auto"/>
              <w:right w:val="single" w:sz="4" w:space="0" w:color="auto"/>
            </w:tcBorders>
            <w:shd w:val="clear" w:color="auto" w:fill="auto"/>
            <w:vAlign w:val="bottom"/>
          </w:tcPr>
          <w:p w14:paraId="27E0C83E" w14:textId="4B26431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9,339,083</w:t>
            </w:r>
          </w:p>
        </w:tc>
        <w:tc>
          <w:tcPr>
            <w:tcW w:w="730" w:type="dxa"/>
            <w:tcBorders>
              <w:top w:val="nil"/>
              <w:left w:val="nil"/>
              <w:bottom w:val="single" w:sz="4" w:space="0" w:color="auto"/>
              <w:right w:val="single" w:sz="4" w:space="0" w:color="auto"/>
            </w:tcBorders>
            <w:shd w:val="clear" w:color="auto" w:fill="auto"/>
            <w:vAlign w:val="bottom"/>
          </w:tcPr>
          <w:p w14:paraId="756EC577" w14:textId="15E78FD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1.34</w:t>
            </w:r>
          </w:p>
        </w:tc>
        <w:tc>
          <w:tcPr>
            <w:tcW w:w="1393" w:type="dxa"/>
            <w:tcBorders>
              <w:top w:val="nil"/>
              <w:left w:val="nil"/>
              <w:bottom w:val="single" w:sz="4" w:space="0" w:color="auto"/>
              <w:right w:val="single" w:sz="4" w:space="0" w:color="auto"/>
            </w:tcBorders>
            <w:shd w:val="clear" w:color="auto" w:fill="auto"/>
            <w:vAlign w:val="bottom"/>
          </w:tcPr>
          <w:p w14:paraId="359A695B" w14:textId="6F85C21B"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698,250,757</w:t>
            </w:r>
          </w:p>
        </w:tc>
        <w:tc>
          <w:tcPr>
            <w:tcW w:w="1276" w:type="dxa"/>
            <w:tcBorders>
              <w:top w:val="nil"/>
              <w:left w:val="nil"/>
              <w:bottom w:val="single" w:sz="4" w:space="0" w:color="auto"/>
              <w:right w:val="single" w:sz="4" w:space="0" w:color="auto"/>
            </w:tcBorders>
            <w:shd w:val="clear" w:color="auto" w:fill="auto"/>
            <w:vAlign w:val="bottom"/>
          </w:tcPr>
          <w:p w14:paraId="7FC89CF3" w14:textId="79747CF1"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73.02%</w:t>
            </w:r>
          </w:p>
        </w:tc>
        <w:tc>
          <w:tcPr>
            <w:tcW w:w="1280" w:type="dxa"/>
            <w:tcBorders>
              <w:top w:val="nil"/>
              <w:left w:val="nil"/>
              <w:bottom w:val="single" w:sz="4" w:space="0" w:color="auto"/>
              <w:right w:val="single" w:sz="4" w:space="0" w:color="auto"/>
            </w:tcBorders>
            <w:shd w:val="clear" w:color="auto" w:fill="auto"/>
            <w:vAlign w:val="bottom"/>
          </w:tcPr>
          <w:p w14:paraId="4E3A0EC3" w14:textId="04EA229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201,181</w:t>
            </w:r>
          </w:p>
        </w:tc>
      </w:tr>
      <w:tr w:rsidR="00AB76A9" w:rsidRPr="0094482F" w14:paraId="3610B247" w14:textId="77777777" w:rsidTr="00D3662A">
        <w:trPr>
          <w:jc w:val="center"/>
        </w:trPr>
        <w:tc>
          <w:tcPr>
            <w:tcW w:w="461" w:type="dxa"/>
            <w:tcBorders>
              <w:top w:val="single" w:sz="4" w:space="0" w:color="auto"/>
              <w:left w:val="single" w:sz="4" w:space="0" w:color="auto"/>
              <w:bottom w:val="single" w:sz="4" w:space="0" w:color="auto"/>
              <w:right w:val="single" w:sz="4" w:space="0" w:color="auto"/>
            </w:tcBorders>
          </w:tcPr>
          <w:p w14:paraId="23DCB270"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tcPr>
          <w:p w14:paraId="64B6458E" w14:textId="09E09204"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 xml:space="preserve">To re-appoint </w:t>
            </w:r>
            <w:r>
              <w:rPr>
                <w:rFonts w:ascii="ChevinLight" w:eastAsia="Calibri" w:hAnsi="ChevinLight" w:cs="Arial"/>
                <w:sz w:val="18"/>
                <w:szCs w:val="18"/>
                <w:lang w:eastAsia="en-GB"/>
              </w:rPr>
              <w:t>Shashi Verma</w:t>
            </w:r>
          </w:p>
        </w:tc>
        <w:tc>
          <w:tcPr>
            <w:tcW w:w="1411" w:type="dxa"/>
            <w:tcBorders>
              <w:top w:val="nil"/>
              <w:left w:val="single" w:sz="4" w:space="0" w:color="auto"/>
              <w:bottom w:val="single" w:sz="4" w:space="0" w:color="auto"/>
              <w:right w:val="single" w:sz="4" w:space="0" w:color="auto"/>
            </w:tcBorders>
            <w:shd w:val="clear" w:color="auto" w:fill="auto"/>
            <w:vAlign w:val="bottom"/>
          </w:tcPr>
          <w:p w14:paraId="3F9754BE" w14:textId="1B76ED7C"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694,859,773</w:t>
            </w:r>
          </w:p>
        </w:tc>
        <w:tc>
          <w:tcPr>
            <w:tcW w:w="865" w:type="dxa"/>
            <w:tcBorders>
              <w:top w:val="nil"/>
              <w:left w:val="nil"/>
              <w:bottom w:val="single" w:sz="4" w:space="0" w:color="auto"/>
              <w:right w:val="single" w:sz="4" w:space="0" w:color="auto"/>
            </w:tcBorders>
            <w:shd w:val="clear" w:color="auto" w:fill="auto"/>
            <w:vAlign w:val="bottom"/>
          </w:tcPr>
          <w:p w14:paraId="2B9AD60A" w14:textId="3C815C5A"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99.51</w:t>
            </w:r>
          </w:p>
        </w:tc>
        <w:tc>
          <w:tcPr>
            <w:tcW w:w="1271" w:type="dxa"/>
            <w:tcBorders>
              <w:top w:val="nil"/>
              <w:left w:val="nil"/>
              <w:bottom w:val="single" w:sz="4" w:space="0" w:color="auto"/>
              <w:right w:val="single" w:sz="4" w:space="0" w:color="auto"/>
            </w:tcBorders>
            <w:shd w:val="clear" w:color="auto" w:fill="auto"/>
            <w:vAlign w:val="bottom"/>
          </w:tcPr>
          <w:p w14:paraId="6E120F61" w14:textId="49C0CC46"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3,389,564</w:t>
            </w:r>
          </w:p>
        </w:tc>
        <w:tc>
          <w:tcPr>
            <w:tcW w:w="730" w:type="dxa"/>
            <w:tcBorders>
              <w:top w:val="nil"/>
              <w:left w:val="nil"/>
              <w:bottom w:val="single" w:sz="4" w:space="0" w:color="auto"/>
              <w:right w:val="single" w:sz="4" w:space="0" w:color="auto"/>
            </w:tcBorders>
            <w:shd w:val="clear" w:color="auto" w:fill="auto"/>
            <w:vAlign w:val="bottom"/>
          </w:tcPr>
          <w:p w14:paraId="45E4DC99" w14:textId="046982A2"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0.49</w:t>
            </w:r>
          </w:p>
        </w:tc>
        <w:tc>
          <w:tcPr>
            <w:tcW w:w="1393" w:type="dxa"/>
            <w:tcBorders>
              <w:top w:val="nil"/>
              <w:left w:val="nil"/>
              <w:bottom w:val="single" w:sz="4" w:space="0" w:color="auto"/>
              <w:right w:val="single" w:sz="4" w:space="0" w:color="auto"/>
            </w:tcBorders>
            <w:shd w:val="clear" w:color="auto" w:fill="auto"/>
            <w:vAlign w:val="bottom"/>
          </w:tcPr>
          <w:p w14:paraId="77EFA3D5" w14:textId="5EC5353A"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698,249,337</w:t>
            </w:r>
          </w:p>
        </w:tc>
        <w:tc>
          <w:tcPr>
            <w:tcW w:w="1276" w:type="dxa"/>
            <w:tcBorders>
              <w:top w:val="nil"/>
              <w:left w:val="nil"/>
              <w:bottom w:val="single" w:sz="4" w:space="0" w:color="auto"/>
              <w:right w:val="single" w:sz="4" w:space="0" w:color="auto"/>
            </w:tcBorders>
            <w:shd w:val="clear" w:color="auto" w:fill="auto"/>
            <w:vAlign w:val="bottom"/>
          </w:tcPr>
          <w:p w14:paraId="3F6D22CE" w14:textId="4E97CAA3"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73.02%</w:t>
            </w:r>
          </w:p>
        </w:tc>
        <w:tc>
          <w:tcPr>
            <w:tcW w:w="1280" w:type="dxa"/>
            <w:tcBorders>
              <w:top w:val="nil"/>
              <w:left w:val="nil"/>
              <w:bottom w:val="single" w:sz="4" w:space="0" w:color="auto"/>
              <w:right w:val="single" w:sz="4" w:space="0" w:color="auto"/>
            </w:tcBorders>
            <w:shd w:val="clear" w:color="auto" w:fill="auto"/>
            <w:vAlign w:val="bottom"/>
          </w:tcPr>
          <w:p w14:paraId="58DD1F90" w14:textId="30459D84"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203,494</w:t>
            </w:r>
          </w:p>
        </w:tc>
      </w:tr>
      <w:tr w:rsidR="00AB76A9" w:rsidRPr="0094482F" w14:paraId="7B480202" w14:textId="77777777" w:rsidTr="00622791">
        <w:trPr>
          <w:jc w:val="center"/>
        </w:trPr>
        <w:tc>
          <w:tcPr>
            <w:tcW w:w="461" w:type="dxa"/>
            <w:tcBorders>
              <w:top w:val="single" w:sz="4" w:space="0" w:color="auto"/>
              <w:left w:val="single" w:sz="4" w:space="0" w:color="auto"/>
              <w:bottom w:val="single" w:sz="4" w:space="0" w:color="auto"/>
              <w:right w:val="single" w:sz="4" w:space="0" w:color="auto"/>
            </w:tcBorders>
          </w:tcPr>
          <w:p w14:paraId="4B526F84"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tcPr>
          <w:p w14:paraId="348CFE89" w14:textId="162A18B9"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 xml:space="preserve">To re-appoint </w:t>
            </w:r>
            <w:r>
              <w:rPr>
                <w:rFonts w:ascii="ChevinLight" w:eastAsia="Calibri" w:hAnsi="ChevinLight" w:cs="Arial"/>
                <w:sz w:val="18"/>
                <w:szCs w:val="18"/>
                <w:lang w:eastAsia="en-GB"/>
              </w:rPr>
              <w:t>Jourik Hooghe</w:t>
            </w:r>
          </w:p>
        </w:tc>
        <w:tc>
          <w:tcPr>
            <w:tcW w:w="1411" w:type="dxa"/>
            <w:tcBorders>
              <w:top w:val="nil"/>
              <w:left w:val="single" w:sz="4" w:space="0" w:color="auto"/>
              <w:bottom w:val="single" w:sz="4" w:space="0" w:color="auto"/>
              <w:right w:val="single" w:sz="4" w:space="0" w:color="auto"/>
            </w:tcBorders>
            <w:shd w:val="clear" w:color="auto" w:fill="auto"/>
            <w:vAlign w:val="bottom"/>
          </w:tcPr>
          <w:p w14:paraId="200D909C" w14:textId="1C8F0F9B"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694,860,487</w:t>
            </w:r>
          </w:p>
        </w:tc>
        <w:tc>
          <w:tcPr>
            <w:tcW w:w="865" w:type="dxa"/>
            <w:tcBorders>
              <w:top w:val="nil"/>
              <w:left w:val="nil"/>
              <w:bottom w:val="single" w:sz="4" w:space="0" w:color="auto"/>
              <w:right w:val="single" w:sz="4" w:space="0" w:color="auto"/>
            </w:tcBorders>
            <w:shd w:val="clear" w:color="auto" w:fill="auto"/>
            <w:vAlign w:val="bottom"/>
          </w:tcPr>
          <w:p w14:paraId="4371650C" w14:textId="37566A87"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99.52</w:t>
            </w:r>
          </w:p>
        </w:tc>
        <w:tc>
          <w:tcPr>
            <w:tcW w:w="1271" w:type="dxa"/>
            <w:tcBorders>
              <w:top w:val="nil"/>
              <w:left w:val="nil"/>
              <w:bottom w:val="single" w:sz="4" w:space="0" w:color="auto"/>
              <w:right w:val="single" w:sz="4" w:space="0" w:color="auto"/>
            </w:tcBorders>
            <w:shd w:val="clear" w:color="auto" w:fill="auto"/>
            <w:vAlign w:val="bottom"/>
          </w:tcPr>
          <w:p w14:paraId="703E55EC" w14:textId="09417FE2"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3,383,170</w:t>
            </w:r>
          </w:p>
        </w:tc>
        <w:tc>
          <w:tcPr>
            <w:tcW w:w="730" w:type="dxa"/>
            <w:tcBorders>
              <w:top w:val="nil"/>
              <w:left w:val="nil"/>
              <w:bottom w:val="single" w:sz="4" w:space="0" w:color="auto"/>
              <w:right w:val="single" w:sz="4" w:space="0" w:color="auto"/>
            </w:tcBorders>
            <w:shd w:val="clear" w:color="auto" w:fill="auto"/>
            <w:vAlign w:val="bottom"/>
          </w:tcPr>
          <w:p w14:paraId="22733366" w14:textId="30D3B57A"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0.48</w:t>
            </w:r>
          </w:p>
        </w:tc>
        <w:tc>
          <w:tcPr>
            <w:tcW w:w="1393" w:type="dxa"/>
            <w:tcBorders>
              <w:top w:val="nil"/>
              <w:left w:val="nil"/>
              <w:bottom w:val="single" w:sz="4" w:space="0" w:color="auto"/>
              <w:right w:val="single" w:sz="4" w:space="0" w:color="auto"/>
            </w:tcBorders>
            <w:shd w:val="clear" w:color="auto" w:fill="auto"/>
            <w:vAlign w:val="bottom"/>
          </w:tcPr>
          <w:p w14:paraId="3887A2DA" w14:textId="44E5E1E3"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698,243,657</w:t>
            </w:r>
          </w:p>
        </w:tc>
        <w:tc>
          <w:tcPr>
            <w:tcW w:w="1276" w:type="dxa"/>
            <w:tcBorders>
              <w:top w:val="nil"/>
              <w:left w:val="nil"/>
              <w:bottom w:val="single" w:sz="4" w:space="0" w:color="auto"/>
              <w:right w:val="single" w:sz="4" w:space="0" w:color="auto"/>
            </w:tcBorders>
            <w:shd w:val="clear" w:color="auto" w:fill="auto"/>
            <w:vAlign w:val="bottom"/>
          </w:tcPr>
          <w:p w14:paraId="467F5405" w14:textId="42178FC4"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73.02%</w:t>
            </w:r>
          </w:p>
        </w:tc>
        <w:tc>
          <w:tcPr>
            <w:tcW w:w="1280" w:type="dxa"/>
            <w:tcBorders>
              <w:top w:val="nil"/>
              <w:left w:val="nil"/>
              <w:bottom w:val="single" w:sz="4" w:space="0" w:color="auto"/>
              <w:right w:val="single" w:sz="4" w:space="0" w:color="auto"/>
            </w:tcBorders>
            <w:shd w:val="clear" w:color="auto" w:fill="auto"/>
            <w:vAlign w:val="bottom"/>
          </w:tcPr>
          <w:p w14:paraId="1DC720F4" w14:textId="1CF324ED"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204,112</w:t>
            </w:r>
          </w:p>
        </w:tc>
      </w:tr>
      <w:tr w:rsidR="00AB76A9" w:rsidRPr="0094482F" w14:paraId="5881F655" w14:textId="77777777" w:rsidTr="009B456B">
        <w:trPr>
          <w:jc w:val="center"/>
        </w:trPr>
        <w:tc>
          <w:tcPr>
            <w:tcW w:w="461" w:type="dxa"/>
            <w:tcBorders>
              <w:top w:val="single" w:sz="4" w:space="0" w:color="auto"/>
              <w:left w:val="single" w:sz="4" w:space="0" w:color="auto"/>
              <w:bottom w:val="single" w:sz="4" w:space="0" w:color="auto"/>
              <w:right w:val="single" w:sz="4" w:space="0" w:color="auto"/>
            </w:tcBorders>
          </w:tcPr>
          <w:p w14:paraId="1A09D4DB"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0637952D" w14:textId="2806B48D"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re-appoint KPMG LLP as auditor of the Company</w:t>
            </w:r>
          </w:p>
        </w:tc>
        <w:tc>
          <w:tcPr>
            <w:tcW w:w="1411" w:type="dxa"/>
            <w:tcBorders>
              <w:top w:val="nil"/>
              <w:left w:val="single" w:sz="4" w:space="0" w:color="auto"/>
              <w:bottom w:val="single" w:sz="4" w:space="0" w:color="auto"/>
              <w:right w:val="single" w:sz="4" w:space="0" w:color="auto"/>
            </w:tcBorders>
            <w:shd w:val="clear" w:color="auto" w:fill="auto"/>
            <w:vAlign w:val="bottom"/>
          </w:tcPr>
          <w:p w14:paraId="1D629AFE" w14:textId="5D4836C4"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695,634,192</w:t>
            </w:r>
          </w:p>
        </w:tc>
        <w:tc>
          <w:tcPr>
            <w:tcW w:w="865" w:type="dxa"/>
            <w:tcBorders>
              <w:top w:val="nil"/>
              <w:left w:val="nil"/>
              <w:bottom w:val="single" w:sz="4" w:space="0" w:color="auto"/>
              <w:right w:val="single" w:sz="4" w:space="0" w:color="auto"/>
            </w:tcBorders>
            <w:shd w:val="clear" w:color="auto" w:fill="auto"/>
            <w:vAlign w:val="bottom"/>
          </w:tcPr>
          <w:p w14:paraId="6AE0CC3A" w14:textId="3669E295"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99.62</w:t>
            </w:r>
          </w:p>
        </w:tc>
        <w:tc>
          <w:tcPr>
            <w:tcW w:w="1271" w:type="dxa"/>
            <w:tcBorders>
              <w:top w:val="nil"/>
              <w:left w:val="nil"/>
              <w:bottom w:val="single" w:sz="4" w:space="0" w:color="auto"/>
              <w:right w:val="single" w:sz="4" w:space="0" w:color="auto"/>
            </w:tcBorders>
            <w:shd w:val="clear" w:color="auto" w:fill="auto"/>
            <w:vAlign w:val="bottom"/>
          </w:tcPr>
          <w:p w14:paraId="4D07B1A0" w14:textId="17263EC1"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2,620,838</w:t>
            </w:r>
          </w:p>
        </w:tc>
        <w:tc>
          <w:tcPr>
            <w:tcW w:w="730" w:type="dxa"/>
            <w:tcBorders>
              <w:top w:val="nil"/>
              <w:left w:val="nil"/>
              <w:bottom w:val="single" w:sz="4" w:space="0" w:color="auto"/>
              <w:right w:val="single" w:sz="4" w:space="0" w:color="auto"/>
            </w:tcBorders>
            <w:shd w:val="clear" w:color="auto" w:fill="auto"/>
            <w:vAlign w:val="bottom"/>
          </w:tcPr>
          <w:p w14:paraId="3B3617D3" w14:textId="314236AD"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0.38</w:t>
            </w:r>
          </w:p>
        </w:tc>
        <w:tc>
          <w:tcPr>
            <w:tcW w:w="1393" w:type="dxa"/>
            <w:tcBorders>
              <w:top w:val="nil"/>
              <w:left w:val="nil"/>
              <w:bottom w:val="single" w:sz="4" w:space="0" w:color="auto"/>
              <w:right w:val="single" w:sz="4" w:space="0" w:color="auto"/>
            </w:tcBorders>
            <w:shd w:val="clear" w:color="auto" w:fill="auto"/>
            <w:vAlign w:val="bottom"/>
          </w:tcPr>
          <w:p w14:paraId="253CC52F" w14:textId="5438460A"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698,255,030</w:t>
            </w:r>
          </w:p>
        </w:tc>
        <w:tc>
          <w:tcPr>
            <w:tcW w:w="1276" w:type="dxa"/>
            <w:tcBorders>
              <w:top w:val="nil"/>
              <w:left w:val="nil"/>
              <w:bottom w:val="single" w:sz="4" w:space="0" w:color="auto"/>
              <w:right w:val="single" w:sz="4" w:space="0" w:color="auto"/>
            </w:tcBorders>
            <w:shd w:val="clear" w:color="auto" w:fill="auto"/>
            <w:vAlign w:val="bottom"/>
          </w:tcPr>
          <w:p w14:paraId="27655326" w14:textId="0DE3DA8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73.02%</w:t>
            </w:r>
          </w:p>
        </w:tc>
        <w:tc>
          <w:tcPr>
            <w:tcW w:w="1280" w:type="dxa"/>
            <w:tcBorders>
              <w:top w:val="nil"/>
              <w:left w:val="nil"/>
              <w:bottom w:val="single" w:sz="4" w:space="0" w:color="auto"/>
              <w:right w:val="single" w:sz="4" w:space="0" w:color="auto"/>
            </w:tcBorders>
            <w:shd w:val="clear" w:color="auto" w:fill="auto"/>
            <w:vAlign w:val="bottom"/>
          </w:tcPr>
          <w:p w14:paraId="75339FAF" w14:textId="79425DC7"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189,940</w:t>
            </w:r>
          </w:p>
        </w:tc>
      </w:tr>
      <w:tr w:rsidR="00AB76A9" w:rsidRPr="0094482F" w14:paraId="5CA8C367" w14:textId="77777777" w:rsidTr="00D339B1">
        <w:trPr>
          <w:jc w:val="center"/>
        </w:trPr>
        <w:tc>
          <w:tcPr>
            <w:tcW w:w="461" w:type="dxa"/>
            <w:tcBorders>
              <w:top w:val="single" w:sz="4" w:space="0" w:color="auto"/>
              <w:left w:val="single" w:sz="4" w:space="0" w:color="auto"/>
              <w:bottom w:val="single" w:sz="4" w:space="0" w:color="auto"/>
              <w:right w:val="single" w:sz="4" w:space="0" w:color="auto"/>
            </w:tcBorders>
          </w:tcPr>
          <w:p w14:paraId="0CD3FB2A"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3B573D65" w14:textId="2A88ECCA" w:rsidR="00AB76A9" w:rsidRPr="007407EE" w:rsidRDefault="00AB76A9" w:rsidP="00AB76A9">
            <w:pPr>
              <w:spacing w:after="0"/>
              <w:rPr>
                <w:rFonts w:ascii="ChevinLight" w:eastAsia="Calibri" w:hAnsi="ChevinLight" w:cs="Arial"/>
                <w:sz w:val="18"/>
                <w:szCs w:val="18"/>
                <w:lang w:eastAsia="en-GB"/>
              </w:rPr>
            </w:pPr>
            <w:r w:rsidRPr="007407EE">
              <w:rPr>
                <w:rFonts w:ascii="ChevinLight" w:eastAsia="Calibri" w:hAnsi="ChevinLight" w:cs="Arial"/>
                <w:sz w:val="18"/>
                <w:szCs w:val="18"/>
                <w:lang w:eastAsia="en-GB"/>
              </w:rPr>
              <w:t>To authorise the Company’s Audit and Risk Committee to determine the remuneration of the auditor</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1CDB1BF1" w14:textId="740159B9"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697,648,445</w:t>
            </w:r>
          </w:p>
        </w:tc>
        <w:tc>
          <w:tcPr>
            <w:tcW w:w="865" w:type="dxa"/>
            <w:tcBorders>
              <w:top w:val="single" w:sz="4" w:space="0" w:color="auto"/>
              <w:left w:val="nil"/>
              <w:bottom w:val="single" w:sz="4" w:space="0" w:color="auto"/>
              <w:right w:val="single" w:sz="4" w:space="0" w:color="auto"/>
            </w:tcBorders>
            <w:shd w:val="clear" w:color="auto" w:fill="auto"/>
            <w:vAlign w:val="bottom"/>
          </w:tcPr>
          <w:p w14:paraId="1CCBB4A2" w14:textId="72DBFA4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99.92</w:t>
            </w:r>
          </w:p>
        </w:tc>
        <w:tc>
          <w:tcPr>
            <w:tcW w:w="1271" w:type="dxa"/>
            <w:tcBorders>
              <w:top w:val="single" w:sz="4" w:space="0" w:color="auto"/>
              <w:left w:val="nil"/>
              <w:bottom w:val="single" w:sz="4" w:space="0" w:color="auto"/>
              <w:right w:val="single" w:sz="4" w:space="0" w:color="auto"/>
            </w:tcBorders>
            <w:shd w:val="clear" w:color="auto" w:fill="auto"/>
            <w:vAlign w:val="bottom"/>
          </w:tcPr>
          <w:p w14:paraId="4DDD7AA6" w14:textId="7C1C66C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582,119</w:t>
            </w:r>
          </w:p>
        </w:tc>
        <w:tc>
          <w:tcPr>
            <w:tcW w:w="730" w:type="dxa"/>
            <w:tcBorders>
              <w:top w:val="single" w:sz="4" w:space="0" w:color="auto"/>
              <w:left w:val="nil"/>
              <w:bottom w:val="single" w:sz="4" w:space="0" w:color="auto"/>
              <w:right w:val="single" w:sz="4" w:space="0" w:color="auto"/>
            </w:tcBorders>
            <w:shd w:val="clear" w:color="auto" w:fill="auto"/>
            <w:vAlign w:val="bottom"/>
          </w:tcPr>
          <w:p w14:paraId="44B71D4D" w14:textId="689EDD8A"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0.08</w:t>
            </w:r>
          </w:p>
        </w:tc>
        <w:tc>
          <w:tcPr>
            <w:tcW w:w="1393" w:type="dxa"/>
            <w:tcBorders>
              <w:top w:val="single" w:sz="4" w:space="0" w:color="auto"/>
              <w:left w:val="nil"/>
              <w:bottom w:val="single" w:sz="4" w:space="0" w:color="auto"/>
              <w:right w:val="single" w:sz="4" w:space="0" w:color="auto"/>
            </w:tcBorders>
            <w:shd w:val="clear" w:color="auto" w:fill="auto"/>
            <w:vAlign w:val="bottom"/>
          </w:tcPr>
          <w:p w14:paraId="3FEBFB7F" w14:textId="31A5F8D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698,230,564</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1C1FE3" w14:textId="4747ED54"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61001EC1" w14:textId="2D68833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213,097</w:t>
            </w:r>
          </w:p>
        </w:tc>
      </w:tr>
      <w:tr w:rsidR="00AB76A9" w:rsidRPr="0094482F" w14:paraId="38646EE0" w14:textId="77777777" w:rsidTr="003644FE">
        <w:trPr>
          <w:jc w:val="center"/>
        </w:trPr>
        <w:tc>
          <w:tcPr>
            <w:tcW w:w="461" w:type="dxa"/>
            <w:tcBorders>
              <w:top w:val="single" w:sz="4" w:space="0" w:color="auto"/>
              <w:left w:val="single" w:sz="4" w:space="0" w:color="auto"/>
              <w:bottom w:val="single" w:sz="4" w:space="0" w:color="auto"/>
              <w:right w:val="single" w:sz="4" w:space="0" w:color="auto"/>
            </w:tcBorders>
          </w:tcPr>
          <w:p w14:paraId="515D38D5"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005A2B3C" w14:textId="4A07885C" w:rsidR="00AB76A9" w:rsidRPr="007407EE" w:rsidRDefault="00AB76A9" w:rsidP="00AB76A9">
            <w:pPr>
              <w:spacing w:after="0" w:line="240" w:lineRule="auto"/>
              <w:rPr>
                <w:rFonts w:ascii="ChevinLight" w:eastAsia="Calibri" w:hAnsi="ChevinLight" w:cs="Arial"/>
                <w:sz w:val="18"/>
                <w:szCs w:val="18"/>
                <w:lang w:eastAsia="en-GB"/>
              </w:rPr>
            </w:pPr>
            <w:r w:rsidRPr="007407EE">
              <w:rPr>
                <w:rFonts w:ascii="ChevinLight" w:eastAsia="Calibri" w:hAnsi="ChevinLight" w:cs="Arial"/>
                <w:sz w:val="18"/>
                <w:szCs w:val="18"/>
                <w:lang w:eastAsia="en-GB"/>
              </w:rPr>
              <w:t>To authorise the Company and its subsidiaries to make political donations and incur political expenditure</w:t>
            </w:r>
          </w:p>
        </w:tc>
        <w:tc>
          <w:tcPr>
            <w:tcW w:w="1411" w:type="dxa"/>
            <w:tcBorders>
              <w:top w:val="nil"/>
              <w:left w:val="single" w:sz="4" w:space="0" w:color="auto"/>
              <w:bottom w:val="single" w:sz="4" w:space="0" w:color="auto"/>
              <w:right w:val="single" w:sz="4" w:space="0" w:color="auto"/>
            </w:tcBorders>
            <w:shd w:val="clear" w:color="auto" w:fill="auto"/>
            <w:vAlign w:val="bottom"/>
          </w:tcPr>
          <w:p w14:paraId="1E3946D6" w14:textId="025F8D33"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687,353,248</w:t>
            </w:r>
          </w:p>
        </w:tc>
        <w:tc>
          <w:tcPr>
            <w:tcW w:w="865" w:type="dxa"/>
            <w:tcBorders>
              <w:top w:val="nil"/>
              <w:left w:val="nil"/>
              <w:bottom w:val="single" w:sz="4" w:space="0" w:color="auto"/>
              <w:right w:val="single" w:sz="4" w:space="0" w:color="auto"/>
            </w:tcBorders>
            <w:shd w:val="clear" w:color="auto" w:fill="auto"/>
            <w:vAlign w:val="bottom"/>
          </w:tcPr>
          <w:p w14:paraId="165F2F67" w14:textId="26B887F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98.43</w:t>
            </w:r>
          </w:p>
        </w:tc>
        <w:tc>
          <w:tcPr>
            <w:tcW w:w="1271" w:type="dxa"/>
            <w:tcBorders>
              <w:top w:val="nil"/>
              <w:left w:val="nil"/>
              <w:bottom w:val="single" w:sz="4" w:space="0" w:color="auto"/>
              <w:right w:val="single" w:sz="4" w:space="0" w:color="auto"/>
            </w:tcBorders>
            <w:shd w:val="clear" w:color="auto" w:fill="auto"/>
            <w:vAlign w:val="bottom"/>
          </w:tcPr>
          <w:p w14:paraId="5CAA31FF" w14:textId="1043D4B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10,937,612</w:t>
            </w:r>
          </w:p>
        </w:tc>
        <w:tc>
          <w:tcPr>
            <w:tcW w:w="730" w:type="dxa"/>
            <w:tcBorders>
              <w:top w:val="nil"/>
              <w:left w:val="nil"/>
              <w:bottom w:val="single" w:sz="4" w:space="0" w:color="auto"/>
              <w:right w:val="single" w:sz="4" w:space="0" w:color="auto"/>
            </w:tcBorders>
            <w:shd w:val="clear" w:color="auto" w:fill="auto"/>
            <w:vAlign w:val="bottom"/>
          </w:tcPr>
          <w:p w14:paraId="084CEA98" w14:textId="15432DE5"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1.57</w:t>
            </w:r>
          </w:p>
        </w:tc>
        <w:tc>
          <w:tcPr>
            <w:tcW w:w="1393" w:type="dxa"/>
            <w:tcBorders>
              <w:top w:val="nil"/>
              <w:left w:val="nil"/>
              <w:bottom w:val="single" w:sz="4" w:space="0" w:color="auto"/>
              <w:right w:val="single" w:sz="4" w:space="0" w:color="auto"/>
            </w:tcBorders>
            <w:shd w:val="clear" w:color="auto" w:fill="auto"/>
            <w:vAlign w:val="bottom"/>
          </w:tcPr>
          <w:p w14:paraId="09D06C5D" w14:textId="4D44686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698,290,860</w:t>
            </w:r>
          </w:p>
        </w:tc>
        <w:tc>
          <w:tcPr>
            <w:tcW w:w="1276" w:type="dxa"/>
            <w:tcBorders>
              <w:top w:val="nil"/>
              <w:left w:val="nil"/>
              <w:bottom w:val="single" w:sz="4" w:space="0" w:color="auto"/>
              <w:right w:val="single" w:sz="4" w:space="0" w:color="auto"/>
            </w:tcBorders>
            <w:shd w:val="clear" w:color="auto" w:fill="auto"/>
            <w:vAlign w:val="bottom"/>
          </w:tcPr>
          <w:p w14:paraId="1BD9E688" w14:textId="5465484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73.03%</w:t>
            </w:r>
          </w:p>
        </w:tc>
        <w:tc>
          <w:tcPr>
            <w:tcW w:w="1280" w:type="dxa"/>
            <w:tcBorders>
              <w:top w:val="nil"/>
              <w:left w:val="nil"/>
              <w:bottom w:val="single" w:sz="4" w:space="0" w:color="auto"/>
              <w:right w:val="single" w:sz="4" w:space="0" w:color="auto"/>
            </w:tcBorders>
            <w:shd w:val="clear" w:color="auto" w:fill="auto"/>
            <w:vAlign w:val="bottom"/>
          </w:tcPr>
          <w:p w14:paraId="116DB278" w14:textId="4C937D8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171,075</w:t>
            </w:r>
          </w:p>
        </w:tc>
      </w:tr>
      <w:tr w:rsidR="00AB76A9" w:rsidRPr="0094482F" w14:paraId="47D462FF" w14:textId="77777777" w:rsidTr="005C4A91">
        <w:trPr>
          <w:jc w:val="center"/>
        </w:trPr>
        <w:tc>
          <w:tcPr>
            <w:tcW w:w="461" w:type="dxa"/>
            <w:tcBorders>
              <w:top w:val="single" w:sz="4" w:space="0" w:color="auto"/>
              <w:left w:val="single" w:sz="4" w:space="0" w:color="auto"/>
              <w:bottom w:val="single" w:sz="4" w:space="0" w:color="auto"/>
              <w:right w:val="single" w:sz="4" w:space="0" w:color="auto"/>
            </w:tcBorders>
          </w:tcPr>
          <w:p w14:paraId="7204E1D0"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tcPr>
          <w:p w14:paraId="4057E95D" w14:textId="48B41D54" w:rsidR="00AB76A9" w:rsidRPr="007407EE" w:rsidRDefault="00AB76A9" w:rsidP="00AB76A9">
            <w:pPr>
              <w:spacing w:after="0" w:line="240" w:lineRule="auto"/>
              <w:rPr>
                <w:rFonts w:ascii="ChevinLight" w:eastAsia="Calibri" w:hAnsi="ChevinLight" w:cs="Arial"/>
                <w:sz w:val="18"/>
                <w:szCs w:val="18"/>
                <w:lang w:eastAsia="en-GB"/>
              </w:rPr>
            </w:pPr>
            <w:r>
              <w:rPr>
                <w:rFonts w:ascii="ChevinLight" w:eastAsia="Calibri" w:hAnsi="ChevinLight" w:cs="Arial"/>
                <w:sz w:val="18"/>
                <w:szCs w:val="18"/>
                <w:lang w:eastAsia="en-GB"/>
              </w:rPr>
              <w:t>To authorise the Company’s Share Incentive Plan to continue to operate for a further 10-year period</w:t>
            </w:r>
          </w:p>
        </w:tc>
        <w:tc>
          <w:tcPr>
            <w:tcW w:w="1411" w:type="dxa"/>
            <w:tcBorders>
              <w:top w:val="nil"/>
              <w:left w:val="single" w:sz="4" w:space="0" w:color="auto"/>
              <w:bottom w:val="single" w:sz="4" w:space="0" w:color="auto"/>
              <w:right w:val="single" w:sz="4" w:space="0" w:color="auto"/>
            </w:tcBorders>
            <w:shd w:val="clear" w:color="auto" w:fill="auto"/>
            <w:vAlign w:val="bottom"/>
          </w:tcPr>
          <w:p w14:paraId="07A077EB" w14:textId="51E799CF"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697,618,328</w:t>
            </w:r>
          </w:p>
        </w:tc>
        <w:tc>
          <w:tcPr>
            <w:tcW w:w="865" w:type="dxa"/>
            <w:tcBorders>
              <w:top w:val="nil"/>
              <w:left w:val="nil"/>
              <w:bottom w:val="single" w:sz="4" w:space="0" w:color="auto"/>
              <w:right w:val="single" w:sz="4" w:space="0" w:color="auto"/>
            </w:tcBorders>
            <w:shd w:val="clear" w:color="auto" w:fill="auto"/>
            <w:vAlign w:val="bottom"/>
          </w:tcPr>
          <w:p w14:paraId="322531C3" w14:textId="3D048E6A"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99.90</w:t>
            </w:r>
          </w:p>
        </w:tc>
        <w:tc>
          <w:tcPr>
            <w:tcW w:w="1271" w:type="dxa"/>
            <w:tcBorders>
              <w:top w:val="nil"/>
              <w:left w:val="nil"/>
              <w:bottom w:val="single" w:sz="4" w:space="0" w:color="auto"/>
              <w:right w:val="single" w:sz="4" w:space="0" w:color="auto"/>
            </w:tcBorders>
            <w:shd w:val="clear" w:color="auto" w:fill="auto"/>
            <w:vAlign w:val="bottom"/>
          </w:tcPr>
          <w:p w14:paraId="57F2D2F1" w14:textId="72D847C7"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719,043</w:t>
            </w:r>
          </w:p>
        </w:tc>
        <w:tc>
          <w:tcPr>
            <w:tcW w:w="730" w:type="dxa"/>
            <w:tcBorders>
              <w:top w:val="nil"/>
              <w:left w:val="nil"/>
              <w:bottom w:val="single" w:sz="4" w:space="0" w:color="auto"/>
              <w:right w:val="single" w:sz="4" w:space="0" w:color="auto"/>
            </w:tcBorders>
            <w:shd w:val="clear" w:color="auto" w:fill="auto"/>
            <w:vAlign w:val="bottom"/>
          </w:tcPr>
          <w:p w14:paraId="19933DDF" w14:textId="6E46A43C"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0.10</w:t>
            </w:r>
          </w:p>
        </w:tc>
        <w:tc>
          <w:tcPr>
            <w:tcW w:w="1393" w:type="dxa"/>
            <w:tcBorders>
              <w:top w:val="nil"/>
              <w:left w:val="nil"/>
              <w:bottom w:val="single" w:sz="4" w:space="0" w:color="auto"/>
              <w:right w:val="single" w:sz="4" w:space="0" w:color="auto"/>
            </w:tcBorders>
            <w:shd w:val="clear" w:color="auto" w:fill="auto"/>
            <w:vAlign w:val="bottom"/>
          </w:tcPr>
          <w:p w14:paraId="40B95114" w14:textId="2717973F"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698,337,371</w:t>
            </w:r>
          </w:p>
        </w:tc>
        <w:tc>
          <w:tcPr>
            <w:tcW w:w="1276" w:type="dxa"/>
            <w:tcBorders>
              <w:top w:val="nil"/>
              <w:left w:val="nil"/>
              <w:bottom w:val="single" w:sz="4" w:space="0" w:color="auto"/>
              <w:right w:val="single" w:sz="4" w:space="0" w:color="auto"/>
            </w:tcBorders>
            <w:shd w:val="clear" w:color="auto" w:fill="auto"/>
            <w:vAlign w:val="bottom"/>
          </w:tcPr>
          <w:p w14:paraId="20684788" w14:textId="4F1212B2"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73.03%</w:t>
            </w:r>
          </w:p>
        </w:tc>
        <w:tc>
          <w:tcPr>
            <w:tcW w:w="1280" w:type="dxa"/>
            <w:tcBorders>
              <w:top w:val="nil"/>
              <w:left w:val="nil"/>
              <w:bottom w:val="single" w:sz="4" w:space="0" w:color="auto"/>
              <w:right w:val="single" w:sz="4" w:space="0" w:color="auto"/>
            </w:tcBorders>
            <w:shd w:val="clear" w:color="auto" w:fill="auto"/>
            <w:vAlign w:val="bottom"/>
          </w:tcPr>
          <w:p w14:paraId="5B8CE906" w14:textId="03640318"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117,118</w:t>
            </w:r>
          </w:p>
        </w:tc>
      </w:tr>
      <w:tr w:rsidR="00AB76A9" w:rsidRPr="0094482F" w14:paraId="1506ED61" w14:textId="77777777" w:rsidTr="00217206">
        <w:trPr>
          <w:jc w:val="center"/>
        </w:trPr>
        <w:tc>
          <w:tcPr>
            <w:tcW w:w="461" w:type="dxa"/>
            <w:tcBorders>
              <w:top w:val="single" w:sz="4" w:space="0" w:color="auto"/>
              <w:left w:val="single" w:sz="4" w:space="0" w:color="auto"/>
              <w:bottom w:val="single" w:sz="4" w:space="0" w:color="auto"/>
              <w:right w:val="single" w:sz="4" w:space="0" w:color="auto"/>
            </w:tcBorders>
          </w:tcPr>
          <w:p w14:paraId="7FFE5393"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5AD92430" w14:textId="22D1F755" w:rsidR="00AB76A9" w:rsidRPr="007407EE" w:rsidRDefault="00AB76A9" w:rsidP="00AB76A9">
            <w:pPr>
              <w:spacing w:after="0"/>
              <w:rPr>
                <w:rFonts w:ascii="ChevinLight" w:eastAsia="Calibri" w:hAnsi="ChevinLight" w:cs="Arial"/>
                <w:sz w:val="18"/>
                <w:szCs w:val="18"/>
                <w:highlight w:val="yellow"/>
                <w:lang w:eastAsia="en-GB"/>
              </w:rPr>
            </w:pPr>
            <w:r w:rsidRPr="007407EE">
              <w:rPr>
                <w:rFonts w:ascii="ChevinLight" w:eastAsia="Calibri" w:hAnsi="ChevinLight" w:cs="Arial"/>
                <w:sz w:val="18"/>
                <w:szCs w:val="18"/>
                <w:lang w:eastAsia="en-GB"/>
              </w:rPr>
              <w:t>To authorise the Directors to allot shares</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574E33F5" w14:textId="197AC168"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683,705,898</w:t>
            </w:r>
          </w:p>
        </w:tc>
        <w:tc>
          <w:tcPr>
            <w:tcW w:w="865" w:type="dxa"/>
            <w:tcBorders>
              <w:top w:val="single" w:sz="4" w:space="0" w:color="auto"/>
              <w:left w:val="single" w:sz="4" w:space="0" w:color="auto"/>
              <w:bottom w:val="single" w:sz="4" w:space="0" w:color="auto"/>
              <w:right w:val="single" w:sz="4" w:space="0" w:color="auto"/>
            </w:tcBorders>
            <w:shd w:val="clear" w:color="auto" w:fill="auto"/>
            <w:vAlign w:val="bottom"/>
          </w:tcPr>
          <w:p w14:paraId="6E2C14C5" w14:textId="155A802F"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97.91</w:t>
            </w:r>
          </w:p>
        </w:tc>
        <w:tc>
          <w:tcPr>
            <w:tcW w:w="1271" w:type="dxa"/>
            <w:tcBorders>
              <w:top w:val="single" w:sz="4" w:space="0" w:color="auto"/>
              <w:left w:val="single" w:sz="4" w:space="0" w:color="auto"/>
              <w:bottom w:val="single" w:sz="4" w:space="0" w:color="auto"/>
              <w:right w:val="single" w:sz="4" w:space="0" w:color="auto"/>
            </w:tcBorders>
            <w:shd w:val="clear" w:color="auto" w:fill="auto"/>
            <w:vAlign w:val="bottom"/>
          </w:tcPr>
          <w:p w14:paraId="2C25B072" w14:textId="4BF456E7"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14,591,851</w:t>
            </w:r>
          </w:p>
        </w:tc>
        <w:tc>
          <w:tcPr>
            <w:tcW w:w="730" w:type="dxa"/>
            <w:tcBorders>
              <w:top w:val="single" w:sz="4" w:space="0" w:color="auto"/>
              <w:left w:val="single" w:sz="4" w:space="0" w:color="auto"/>
              <w:bottom w:val="single" w:sz="4" w:space="0" w:color="auto"/>
              <w:right w:val="single" w:sz="4" w:space="0" w:color="auto"/>
            </w:tcBorders>
            <w:shd w:val="clear" w:color="auto" w:fill="auto"/>
            <w:vAlign w:val="bottom"/>
          </w:tcPr>
          <w:p w14:paraId="3CEEC807" w14:textId="77B6AED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2.09</w:t>
            </w:r>
          </w:p>
        </w:tc>
        <w:tc>
          <w:tcPr>
            <w:tcW w:w="1393" w:type="dxa"/>
            <w:tcBorders>
              <w:top w:val="single" w:sz="4" w:space="0" w:color="auto"/>
              <w:left w:val="single" w:sz="4" w:space="0" w:color="auto"/>
              <w:bottom w:val="single" w:sz="4" w:space="0" w:color="auto"/>
              <w:right w:val="single" w:sz="4" w:space="0" w:color="auto"/>
            </w:tcBorders>
            <w:shd w:val="clear" w:color="auto" w:fill="auto"/>
            <w:vAlign w:val="bottom"/>
          </w:tcPr>
          <w:p w14:paraId="2F7C7A61" w14:textId="365F310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698,297,749</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bottom"/>
          </w:tcPr>
          <w:p w14:paraId="556F99CD" w14:textId="7CE96E6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73.03%</w:t>
            </w:r>
          </w:p>
        </w:tc>
        <w:tc>
          <w:tcPr>
            <w:tcW w:w="1280" w:type="dxa"/>
            <w:tcBorders>
              <w:top w:val="single" w:sz="4" w:space="0" w:color="auto"/>
              <w:left w:val="single" w:sz="4" w:space="0" w:color="auto"/>
              <w:bottom w:val="single" w:sz="4" w:space="0" w:color="auto"/>
              <w:right w:val="single" w:sz="4" w:space="0" w:color="auto"/>
            </w:tcBorders>
            <w:shd w:val="clear" w:color="auto" w:fill="auto"/>
            <w:vAlign w:val="bottom"/>
          </w:tcPr>
          <w:p w14:paraId="356C4103" w14:textId="223D457A"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150,112</w:t>
            </w:r>
          </w:p>
        </w:tc>
      </w:tr>
      <w:tr w:rsidR="0094482F" w:rsidRPr="0094482F" w14:paraId="5DEA9B1C" w14:textId="77777777" w:rsidTr="007407EE">
        <w:trPr>
          <w:jc w:val="center"/>
        </w:trPr>
        <w:tc>
          <w:tcPr>
            <w:tcW w:w="461" w:type="dxa"/>
            <w:tcBorders>
              <w:top w:val="single" w:sz="4" w:space="0" w:color="auto"/>
              <w:left w:val="single" w:sz="4" w:space="0" w:color="auto"/>
              <w:bottom w:val="single" w:sz="4" w:space="0" w:color="auto"/>
              <w:right w:val="single" w:sz="4" w:space="0" w:color="auto"/>
            </w:tcBorders>
          </w:tcPr>
          <w:p w14:paraId="5A625F71" w14:textId="77777777" w:rsidR="00EE4E9A" w:rsidRPr="0094482F" w:rsidRDefault="00EE4E9A" w:rsidP="00EE4E9A">
            <w:p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tcPr>
          <w:p w14:paraId="0AF4643F" w14:textId="67679F9D" w:rsidR="00EE4E9A" w:rsidRPr="007407EE" w:rsidRDefault="00EE4E9A" w:rsidP="00BE2214">
            <w:pPr>
              <w:spacing w:after="0"/>
              <w:rPr>
                <w:rFonts w:ascii="ChevinLight" w:eastAsia="Calibri" w:hAnsi="ChevinLight" w:cs="Arial"/>
                <w:b/>
                <w:sz w:val="18"/>
                <w:szCs w:val="18"/>
                <w:lang w:eastAsia="en-GB"/>
              </w:rPr>
            </w:pPr>
            <w:r w:rsidRPr="007407EE">
              <w:rPr>
                <w:rFonts w:ascii="ChevinLight" w:eastAsia="Calibri" w:hAnsi="ChevinLight" w:cs="Arial"/>
                <w:b/>
                <w:sz w:val="18"/>
                <w:szCs w:val="18"/>
                <w:lang w:eastAsia="en-GB"/>
              </w:rPr>
              <w:t>SPECIAL RESOLUTION</w:t>
            </w:r>
          </w:p>
        </w:tc>
        <w:tc>
          <w:tcPr>
            <w:tcW w:w="1411" w:type="dxa"/>
            <w:tcBorders>
              <w:top w:val="single" w:sz="4" w:space="0" w:color="auto"/>
              <w:left w:val="single" w:sz="4" w:space="0" w:color="auto"/>
              <w:bottom w:val="single" w:sz="4" w:space="0" w:color="auto"/>
              <w:right w:val="single" w:sz="4" w:space="0" w:color="auto"/>
            </w:tcBorders>
            <w:vAlign w:val="center"/>
          </w:tcPr>
          <w:p w14:paraId="5CB67178" w14:textId="77777777" w:rsidR="00EE4E9A" w:rsidRPr="00124E08" w:rsidRDefault="00EE4E9A" w:rsidP="00BE2214">
            <w:pPr>
              <w:rPr>
                <w:rFonts w:ascii="ChevinLight" w:eastAsia="Calibri" w:hAnsi="ChevinLight" w:cs="Arial"/>
                <w:sz w:val="18"/>
                <w:szCs w:val="18"/>
                <w:highlight w:val="yellow"/>
              </w:rPr>
            </w:pPr>
          </w:p>
        </w:tc>
        <w:tc>
          <w:tcPr>
            <w:tcW w:w="865" w:type="dxa"/>
            <w:tcBorders>
              <w:top w:val="single" w:sz="4" w:space="0" w:color="auto"/>
              <w:left w:val="nil"/>
              <w:bottom w:val="single" w:sz="4" w:space="0" w:color="auto"/>
              <w:right w:val="single" w:sz="4" w:space="0" w:color="auto"/>
            </w:tcBorders>
            <w:vAlign w:val="center"/>
          </w:tcPr>
          <w:p w14:paraId="5E2BE55A" w14:textId="77777777" w:rsidR="00EE4E9A" w:rsidRPr="00124E08" w:rsidRDefault="00EE4E9A" w:rsidP="00BE2214">
            <w:pPr>
              <w:rPr>
                <w:rFonts w:ascii="ChevinLight" w:eastAsia="Calibri" w:hAnsi="ChevinLight" w:cs="Arial"/>
                <w:sz w:val="18"/>
                <w:szCs w:val="18"/>
                <w:highlight w:val="yellow"/>
              </w:rPr>
            </w:pPr>
          </w:p>
        </w:tc>
        <w:tc>
          <w:tcPr>
            <w:tcW w:w="1271" w:type="dxa"/>
            <w:tcBorders>
              <w:top w:val="single" w:sz="4" w:space="0" w:color="auto"/>
              <w:left w:val="nil"/>
              <w:bottom w:val="single" w:sz="4" w:space="0" w:color="auto"/>
              <w:right w:val="single" w:sz="4" w:space="0" w:color="auto"/>
            </w:tcBorders>
            <w:vAlign w:val="center"/>
          </w:tcPr>
          <w:p w14:paraId="550AA8F4" w14:textId="77777777" w:rsidR="00EE4E9A" w:rsidRPr="00124E08" w:rsidRDefault="00EE4E9A" w:rsidP="00BE2214">
            <w:pPr>
              <w:rPr>
                <w:rFonts w:ascii="ChevinLight" w:eastAsia="Calibri" w:hAnsi="ChevinLight" w:cs="Arial"/>
                <w:sz w:val="18"/>
                <w:szCs w:val="18"/>
                <w:highlight w:val="yellow"/>
              </w:rPr>
            </w:pPr>
          </w:p>
        </w:tc>
        <w:tc>
          <w:tcPr>
            <w:tcW w:w="730" w:type="dxa"/>
            <w:tcBorders>
              <w:top w:val="single" w:sz="4" w:space="0" w:color="auto"/>
              <w:left w:val="nil"/>
              <w:bottom w:val="single" w:sz="4" w:space="0" w:color="auto"/>
              <w:right w:val="single" w:sz="4" w:space="0" w:color="auto"/>
            </w:tcBorders>
            <w:vAlign w:val="center"/>
          </w:tcPr>
          <w:p w14:paraId="15006AC4" w14:textId="77777777" w:rsidR="00EE4E9A" w:rsidRPr="00124E08" w:rsidRDefault="00EE4E9A" w:rsidP="00BE2214">
            <w:pPr>
              <w:rPr>
                <w:rFonts w:ascii="ChevinLight" w:eastAsia="Calibri" w:hAnsi="ChevinLight" w:cs="Arial"/>
                <w:sz w:val="18"/>
                <w:szCs w:val="18"/>
                <w:highlight w:val="yellow"/>
              </w:rPr>
            </w:pPr>
          </w:p>
        </w:tc>
        <w:tc>
          <w:tcPr>
            <w:tcW w:w="1393" w:type="dxa"/>
            <w:tcBorders>
              <w:top w:val="single" w:sz="4" w:space="0" w:color="auto"/>
              <w:left w:val="nil"/>
              <w:bottom w:val="single" w:sz="4" w:space="0" w:color="auto"/>
              <w:right w:val="single" w:sz="4" w:space="0" w:color="auto"/>
            </w:tcBorders>
            <w:vAlign w:val="center"/>
          </w:tcPr>
          <w:p w14:paraId="4C0C97AD" w14:textId="77777777" w:rsidR="00EE4E9A" w:rsidRPr="00124E08" w:rsidRDefault="00EE4E9A" w:rsidP="00BE2214">
            <w:pPr>
              <w:rPr>
                <w:rFonts w:ascii="ChevinLight" w:eastAsia="Calibri" w:hAnsi="ChevinLight" w:cs="Arial"/>
                <w:sz w:val="18"/>
                <w:szCs w:val="18"/>
                <w:highlight w:val="yellow"/>
              </w:rPr>
            </w:pPr>
          </w:p>
        </w:tc>
        <w:tc>
          <w:tcPr>
            <w:tcW w:w="1276" w:type="dxa"/>
            <w:tcBorders>
              <w:top w:val="single" w:sz="4" w:space="0" w:color="auto"/>
              <w:left w:val="nil"/>
              <w:bottom w:val="single" w:sz="4" w:space="0" w:color="auto"/>
              <w:right w:val="single" w:sz="4" w:space="0" w:color="auto"/>
            </w:tcBorders>
            <w:vAlign w:val="center"/>
          </w:tcPr>
          <w:p w14:paraId="1A23A3B6" w14:textId="77777777" w:rsidR="00EE4E9A" w:rsidRPr="00124E08" w:rsidRDefault="00EE4E9A" w:rsidP="00BE2214">
            <w:pPr>
              <w:rPr>
                <w:rFonts w:ascii="ChevinLight" w:eastAsia="Calibri" w:hAnsi="ChevinLight" w:cs="Arial"/>
                <w:sz w:val="18"/>
                <w:szCs w:val="18"/>
                <w:highlight w:val="yellow"/>
              </w:rPr>
            </w:pPr>
          </w:p>
        </w:tc>
        <w:tc>
          <w:tcPr>
            <w:tcW w:w="1280" w:type="dxa"/>
            <w:tcBorders>
              <w:top w:val="single" w:sz="4" w:space="0" w:color="auto"/>
              <w:left w:val="nil"/>
              <w:bottom w:val="single" w:sz="4" w:space="0" w:color="auto"/>
              <w:right w:val="single" w:sz="4" w:space="0" w:color="auto"/>
            </w:tcBorders>
            <w:vAlign w:val="center"/>
          </w:tcPr>
          <w:p w14:paraId="644C4B1E" w14:textId="77777777" w:rsidR="00EE4E9A" w:rsidRPr="00124E08" w:rsidRDefault="00EE4E9A" w:rsidP="00BE2214">
            <w:pPr>
              <w:rPr>
                <w:rFonts w:ascii="ChevinLight" w:eastAsia="Calibri" w:hAnsi="ChevinLight" w:cs="Arial"/>
                <w:sz w:val="18"/>
                <w:szCs w:val="18"/>
                <w:highlight w:val="yellow"/>
              </w:rPr>
            </w:pPr>
          </w:p>
        </w:tc>
      </w:tr>
      <w:tr w:rsidR="00AB76A9" w:rsidRPr="0094482F" w14:paraId="1F1025BE" w14:textId="77777777" w:rsidTr="00E341D1">
        <w:trPr>
          <w:jc w:val="center"/>
        </w:trPr>
        <w:tc>
          <w:tcPr>
            <w:tcW w:w="461" w:type="dxa"/>
            <w:tcBorders>
              <w:top w:val="single" w:sz="4" w:space="0" w:color="auto"/>
              <w:left w:val="single" w:sz="4" w:space="0" w:color="auto"/>
              <w:bottom w:val="single" w:sz="4" w:space="0" w:color="auto"/>
              <w:right w:val="single" w:sz="4" w:space="0" w:color="auto"/>
            </w:tcBorders>
          </w:tcPr>
          <w:p w14:paraId="45CD5B2F"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shd w:val="clear" w:color="auto" w:fill="auto"/>
            <w:hideMark/>
          </w:tcPr>
          <w:p w14:paraId="722FF5B5" w14:textId="0E0B5A4B" w:rsidR="00AB76A9" w:rsidRPr="007407EE" w:rsidRDefault="00AB76A9" w:rsidP="00AB76A9">
            <w:pPr>
              <w:spacing w:after="0" w:line="240" w:lineRule="auto"/>
              <w:rPr>
                <w:rFonts w:ascii="ChevinLight" w:eastAsia="Calibri" w:hAnsi="ChevinLight" w:cs="Arial"/>
                <w:sz w:val="18"/>
                <w:szCs w:val="18"/>
                <w:lang w:eastAsia="en-GB"/>
              </w:rPr>
            </w:pPr>
            <w:r w:rsidRPr="007407EE">
              <w:rPr>
                <w:rFonts w:ascii="ChevinLight" w:eastAsia="Calibri" w:hAnsi="ChevinLight" w:cs="Arial"/>
                <w:sz w:val="18"/>
                <w:szCs w:val="18"/>
                <w:lang w:eastAsia="en-GB"/>
              </w:rPr>
              <w:t>To empower the Directors to disapply pre-emption rights</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34F22694" w14:textId="378444B3"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697,175,082</w:t>
            </w:r>
          </w:p>
        </w:tc>
        <w:tc>
          <w:tcPr>
            <w:tcW w:w="865" w:type="dxa"/>
            <w:tcBorders>
              <w:top w:val="single" w:sz="4" w:space="0" w:color="auto"/>
              <w:left w:val="nil"/>
              <w:bottom w:val="single" w:sz="4" w:space="0" w:color="auto"/>
              <w:right w:val="single" w:sz="4" w:space="0" w:color="auto"/>
            </w:tcBorders>
            <w:shd w:val="clear" w:color="auto" w:fill="auto"/>
            <w:vAlign w:val="bottom"/>
          </w:tcPr>
          <w:p w14:paraId="48BEBEFA" w14:textId="684C5F11"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99.86</w:t>
            </w:r>
          </w:p>
        </w:tc>
        <w:tc>
          <w:tcPr>
            <w:tcW w:w="1271" w:type="dxa"/>
            <w:tcBorders>
              <w:top w:val="single" w:sz="4" w:space="0" w:color="auto"/>
              <w:left w:val="nil"/>
              <w:bottom w:val="single" w:sz="4" w:space="0" w:color="auto"/>
              <w:right w:val="single" w:sz="4" w:space="0" w:color="auto"/>
            </w:tcBorders>
            <w:shd w:val="clear" w:color="auto" w:fill="auto"/>
            <w:vAlign w:val="bottom"/>
          </w:tcPr>
          <w:p w14:paraId="58B15409" w14:textId="54E7F96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1,002,615</w:t>
            </w:r>
          </w:p>
        </w:tc>
        <w:tc>
          <w:tcPr>
            <w:tcW w:w="730" w:type="dxa"/>
            <w:tcBorders>
              <w:top w:val="single" w:sz="4" w:space="0" w:color="auto"/>
              <w:left w:val="nil"/>
              <w:bottom w:val="single" w:sz="4" w:space="0" w:color="auto"/>
              <w:right w:val="single" w:sz="4" w:space="0" w:color="auto"/>
            </w:tcBorders>
            <w:shd w:val="clear" w:color="auto" w:fill="auto"/>
            <w:vAlign w:val="bottom"/>
          </w:tcPr>
          <w:p w14:paraId="25F1C798" w14:textId="625893CD"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0.14</w:t>
            </w:r>
          </w:p>
        </w:tc>
        <w:tc>
          <w:tcPr>
            <w:tcW w:w="1393" w:type="dxa"/>
            <w:tcBorders>
              <w:top w:val="single" w:sz="4" w:space="0" w:color="auto"/>
              <w:left w:val="nil"/>
              <w:bottom w:val="single" w:sz="4" w:space="0" w:color="auto"/>
              <w:right w:val="single" w:sz="4" w:space="0" w:color="auto"/>
            </w:tcBorders>
            <w:shd w:val="clear" w:color="auto" w:fill="auto"/>
            <w:vAlign w:val="bottom"/>
          </w:tcPr>
          <w:p w14:paraId="4782E264" w14:textId="7B2B0B11"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698,177,697</w:t>
            </w:r>
          </w:p>
        </w:tc>
        <w:tc>
          <w:tcPr>
            <w:tcW w:w="1276" w:type="dxa"/>
            <w:tcBorders>
              <w:top w:val="single" w:sz="4" w:space="0" w:color="auto"/>
              <w:left w:val="nil"/>
              <w:bottom w:val="single" w:sz="4" w:space="0" w:color="auto"/>
              <w:right w:val="single" w:sz="4" w:space="0" w:color="auto"/>
            </w:tcBorders>
            <w:shd w:val="clear" w:color="auto" w:fill="auto"/>
            <w:vAlign w:val="bottom"/>
          </w:tcPr>
          <w:p w14:paraId="0333FDCF" w14:textId="3D54851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73.02%</w:t>
            </w:r>
          </w:p>
        </w:tc>
        <w:tc>
          <w:tcPr>
            <w:tcW w:w="1280" w:type="dxa"/>
            <w:tcBorders>
              <w:top w:val="single" w:sz="4" w:space="0" w:color="auto"/>
              <w:left w:val="nil"/>
              <w:bottom w:val="single" w:sz="4" w:space="0" w:color="auto"/>
              <w:right w:val="single" w:sz="4" w:space="0" w:color="auto"/>
            </w:tcBorders>
            <w:shd w:val="clear" w:color="auto" w:fill="auto"/>
            <w:vAlign w:val="bottom"/>
          </w:tcPr>
          <w:p w14:paraId="7C9C9BC1" w14:textId="6E8264D9"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258,860</w:t>
            </w:r>
          </w:p>
        </w:tc>
      </w:tr>
      <w:tr w:rsidR="00AB76A9" w:rsidRPr="0094482F" w14:paraId="01372738" w14:textId="77777777" w:rsidTr="00457719">
        <w:trPr>
          <w:jc w:val="center"/>
        </w:trPr>
        <w:tc>
          <w:tcPr>
            <w:tcW w:w="461" w:type="dxa"/>
            <w:tcBorders>
              <w:top w:val="single" w:sz="4" w:space="0" w:color="auto"/>
              <w:left w:val="single" w:sz="4" w:space="0" w:color="auto"/>
              <w:bottom w:val="single" w:sz="4" w:space="0" w:color="auto"/>
              <w:right w:val="single" w:sz="4" w:space="0" w:color="auto"/>
            </w:tcBorders>
          </w:tcPr>
          <w:p w14:paraId="4984A059" w14:textId="77777777" w:rsidR="00AB76A9" w:rsidRPr="00394995"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shd w:val="clear" w:color="auto" w:fill="auto"/>
            <w:hideMark/>
          </w:tcPr>
          <w:p w14:paraId="00084443" w14:textId="6C15DC1B" w:rsidR="00AB76A9" w:rsidRPr="007407EE" w:rsidRDefault="00AB76A9" w:rsidP="00AB76A9">
            <w:pPr>
              <w:spacing w:after="0" w:line="240" w:lineRule="auto"/>
              <w:rPr>
                <w:rFonts w:ascii="ChevinLight" w:eastAsia="Calibri" w:hAnsi="ChevinLight" w:cs="Arial"/>
                <w:sz w:val="18"/>
                <w:szCs w:val="18"/>
                <w:lang w:eastAsia="en-GB"/>
              </w:rPr>
            </w:pPr>
            <w:r w:rsidRPr="007407EE">
              <w:rPr>
                <w:rFonts w:ascii="ChevinLight" w:eastAsia="Calibri" w:hAnsi="ChevinLight" w:cs="Arial"/>
                <w:sz w:val="18"/>
                <w:szCs w:val="18"/>
                <w:lang w:eastAsia="en-GB"/>
              </w:rPr>
              <w:t>To empower the Directors to disapply pre-emption rights for the purposes of acquisitions or specified capital investments</w:t>
            </w:r>
          </w:p>
        </w:tc>
        <w:tc>
          <w:tcPr>
            <w:tcW w:w="1411" w:type="dxa"/>
            <w:tcBorders>
              <w:top w:val="nil"/>
              <w:left w:val="single" w:sz="4" w:space="0" w:color="auto"/>
              <w:bottom w:val="single" w:sz="4" w:space="0" w:color="auto"/>
              <w:right w:val="single" w:sz="4" w:space="0" w:color="auto"/>
            </w:tcBorders>
            <w:shd w:val="clear" w:color="auto" w:fill="auto"/>
            <w:vAlign w:val="bottom"/>
          </w:tcPr>
          <w:p w14:paraId="582F6E38" w14:textId="5E4E8A51"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689,034,284</w:t>
            </w:r>
          </w:p>
        </w:tc>
        <w:tc>
          <w:tcPr>
            <w:tcW w:w="865" w:type="dxa"/>
            <w:tcBorders>
              <w:top w:val="nil"/>
              <w:left w:val="nil"/>
              <w:bottom w:val="single" w:sz="4" w:space="0" w:color="auto"/>
              <w:right w:val="single" w:sz="4" w:space="0" w:color="auto"/>
            </w:tcBorders>
            <w:shd w:val="clear" w:color="auto" w:fill="auto"/>
            <w:vAlign w:val="bottom"/>
          </w:tcPr>
          <w:p w14:paraId="2EA436CF" w14:textId="061D360C"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98.69</w:t>
            </w:r>
          </w:p>
        </w:tc>
        <w:tc>
          <w:tcPr>
            <w:tcW w:w="1271" w:type="dxa"/>
            <w:tcBorders>
              <w:top w:val="nil"/>
              <w:left w:val="nil"/>
              <w:bottom w:val="single" w:sz="4" w:space="0" w:color="auto"/>
              <w:right w:val="single" w:sz="4" w:space="0" w:color="auto"/>
            </w:tcBorders>
            <w:shd w:val="clear" w:color="auto" w:fill="auto"/>
            <w:vAlign w:val="bottom"/>
          </w:tcPr>
          <w:p w14:paraId="6CD769DB" w14:textId="29AF1E1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9,148,437</w:t>
            </w:r>
          </w:p>
        </w:tc>
        <w:tc>
          <w:tcPr>
            <w:tcW w:w="730" w:type="dxa"/>
            <w:tcBorders>
              <w:top w:val="nil"/>
              <w:left w:val="nil"/>
              <w:bottom w:val="single" w:sz="4" w:space="0" w:color="auto"/>
              <w:right w:val="single" w:sz="4" w:space="0" w:color="auto"/>
            </w:tcBorders>
            <w:shd w:val="clear" w:color="auto" w:fill="auto"/>
            <w:vAlign w:val="bottom"/>
          </w:tcPr>
          <w:p w14:paraId="1F04DB6A" w14:textId="3E210C07"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1.31</w:t>
            </w:r>
          </w:p>
        </w:tc>
        <w:tc>
          <w:tcPr>
            <w:tcW w:w="1393" w:type="dxa"/>
            <w:tcBorders>
              <w:top w:val="nil"/>
              <w:left w:val="nil"/>
              <w:bottom w:val="single" w:sz="4" w:space="0" w:color="auto"/>
              <w:right w:val="single" w:sz="4" w:space="0" w:color="auto"/>
            </w:tcBorders>
            <w:shd w:val="clear" w:color="auto" w:fill="auto"/>
            <w:vAlign w:val="bottom"/>
          </w:tcPr>
          <w:p w14:paraId="186237B8" w14:textId="14D7359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698,182,721</w:t>
            </w:r>
          </w:p>
        </w:tc>
        <w:tc>
          <w:tcPr>
            <w:tcW w:w="1276" w:type="dxa"/>
            <w:tcBorders>
              <w:top w:val="nil"/>
              <w:left w:val="nil"/>
              <w:bottom w:val="single" w:sz="4" w:space="0" w:color="auto"/>
              <w:right w:val="single" w:sz="4" w:space="0" w:color="auto"/>
            </w:tcBorders>
            <w:shd w:val="clear" w:color="auto" w:fill="auto"/>
            <w:vAlign w:val="bottom"/>
          </w:tcPr>
          <w:p w14:paraId="0B0048E4" w14:textId="1F2EF164"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73.02%</w:t>
            </w:r>
          </w:p>
        </w:tc>
        <w:tc>
          <w:tcPr>
            <w:tcW w:w="1280" w:type="dxa"/>
            <w:tcBorders>
              <w:top w:val="nil"/>
              <w:left w:val="nil"/>
              <w:bottom w:val="single" w:sz="4" w:space="0" w:color="auto"/>
              <w:right w:val="single" w:sz="4" w:space="0" w:color="auto"/>
            </w:tcBorders>
            <w:shd w:val="clear" w:color="auto" w:fill="auto"/>
            <w:vAlign w:val="bottom"/>
          </w:tcPr>
          <w:p w14:paraId="24F90B67" w14:textId="66EF4A84"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253,106</w:t>
            </w:r>
          </w:p>
        </w:tc>
      </w:tr>
      <w:tr w:rsidR="00AB76A9" w:rsidRPr="0094482F" w14:paraId="4000996F" w14:textId="77777777" w:rsidTr="001D581B">
        <w:trPr>
          <w:jc w:val="center"/>
        </w:trPr>
        <w:tc>
          <w:tcPr>
            <w:tcW w:w="461" w:type="dxa"/>
            <w:tcBorders>
              <w:top w:val="single" w:sz="4" w:space="0" w:color="auto"/>
              <w:left w:val="single" w:sz="4" w:space="0" w:color="auto"/>
              <w:bottom w:val="single" w:sz="4" w:space="0" w:color="auto"/>
              <w:right w:val="single" w:sz="4" w:space="0" w:color="auto"/>
            </w:tcBorders>
          </w:tcPr>
          <w:p w14:paraId="3BE836AF"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568698E9" w14:textId="1AEB0D7D" w:rsidR="00AB76A9" w:rsidRPr="007407EE" w:rsidRDefault="00AB76A9" w:rsidP="00AB76A9">
            <w:pPr>
              <w:spacing w:after="0" w:line="240" w:lineRule="auto"/>
              <w:rPr>
                <w:rFonts w:ascii="ChevinLight" w:eastAsia="Calibri" w:hAnsi="ChevinLight" w:cs="Arial"/>
                <w:sz w:val="18"/>
                <w:szCs w:val="18"/>
                <w:lang w:eastAsia="en-GB"/>
              </w:rPr>
            </w:pPr>
            <w:r w:rsidRPr="007407EE">
              <w:rPr>
                <w:rFonts w:ascii="ChevinLight" w:eastAsia="Calibri" w:hAnsi="ChevinLight" w:cs="Arial"/>
                <w:sz w:val="18"/>
                <w:szCs w:val="18"/>
                <w:lang w:eastAsia="en-GB"/>
              </w:rPr>
              <w:t>To authorise the Company to purchase its own shares</w:t>
            </w:r>
          </w:p>
        </w:tc>
        <w:tc>
          <w:tcPr>
            <w:tcW w:w="1411" w:type="dxa"/>
            <w:tcBorders>
              <w:top w:val="nil"/>
              <w:left w:val="single" w:sz="4" w:space="0" w:color="auto"/>
              <w:bottom w:val="single" w:sz="4" w:space="0" w:color="auto"/>
              <w:right w:val="single" w:sz="4" w:space="0" w:color="auto"/>
            </w:tcBorders>
            <w:shd w:val="clear" w:color="auto" w:fill="auto"/>
            <w:vAlign w:val="bottom"/>
          </w:tcPr>
          <w:p w14:paraId="04A516F0" w14:textId="4D4754F4"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695,130,466</w:t>
            </w:r>
          </w:p>
        </w:tc>
        <w:tc>
          <w:tcPr>
            <w:tcW w:w="865" w:type="dxa"/>
            <w:tcBorders>
              <w:top w:val="nil"/>
              <w:left w:val="nil"/>
              <w:bottom w:val="single" w:sz="4" w:space="0" w:color="auto"/>
              <w:right w:val="single" w:sz="4" w:space="0" w:color="auto"/>
            </w:tcBorders>
            <w:shd w:val="clear" w:color="auto" w:fill="auto"/>
            <w:vAlign w:val="bottom"/>
          </w:tcPr>
          <w:p w14:paraId="4C6DA511" w14:textId="4492E9AF"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99.62</w:t>
            </w:r>
          </w:p>
        </w:tc>
        <w:tc>
          <w:tcPr>
            <w:tcW w:w="1271" w:type="dxa"/>
            <w:tcBorders>
              <w:top w:val="nil"/>
              <w:left w:val="nil"/>
              <w:bottom w:val="single" w:sz="4" w:space="0" w:color="auto"/>
              <w:right w:val="single" w:sz="4" w:space="0" w:color="auto"/>
            </w:tcBorders>
            <w:shd w:val="clear" w:color="auto" w:fill="auto"/>
            <w:vAlign w:val="bottom"/>
          </w:tcPr>
          <w:p w14:paraId="256259A4" w14:textId="531BBEA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2,673,081</w:t>
            </w:r>
          </w:p>
        </w:tc>
        <w:tc>
          <w:tcPr>
            <w:tcW w:w="730" w:type="dxa"/>
            <w:tcBorders>
              <w:top w:val="nil"/>
              <w:left w:val="nil"/>
              <w:bottom w:val="single" w:sz="4" w:space="0" w:color="auto"/>
              <w:right w:val="single" w:sz="4" w:space="0" w:color="auto"/>
            </w:tcBorders>
            <w:shd w:val="clear" w:color="auto" w:fill="auto"/>
            <w:vAlign w:val="bottom"/>
          </w:tcPr>
          <w:p w14:paraId="4915A199" w14:textId="6A6D2171"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0.38</w:t>
            </w:r>
          </w:p>
        </w:tc>
        <w:tc>
          <w:tcPr>
            <w:tcW w:w="1393" w:type="dxa"/>
            <w:tcBorders>
              <w:top w:val="nil"/>
              <w:left w:val="nil"/>
              <w:bottom w:val="single" w:sz="4" w:space="0" w:color="auto"/>
              <w:right w:val="single" w:sz="4" w:space="0" w:color="auto"/>
            </w:tcBorders>
            <w:shd w:val="clear" w:color="auto" w:fill="auto"/>
            <w:vAlign w:val="bottom"/>
          </w:tcPr>
          <w:p w14:paraId="5DE54D30" w14:textId="77A8EF06"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697,803,547</w:t>
            </w:r>
          </w:p>
        </w:tc>
        <w:tc>
          <w:tcPr>
            <w:tcW w:w="1276" w:type="dxa"/>
            <w:tcBorders>
              <w:top w:val="nil"/>
              <w:left w:val="nil"/>
              <w:bottom w:val="single" w:sz="4" w:space="0" w:color="auto"/>
              <w:right w:val="single" w:sz="4" w:space="0" w:color="auto"/>
            </w:tcBorders>
            <w:shd w:val="clear" w:color="auto" w:fill="auto"/>
            <w:vAlign w:val="bottom"/>
          </w:tcPr>
          <w:p w14:paraId="40CF05C6" w14:textId="26E6A68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72.98%</w:t>
            </w:r>
          </w:p>
        </w:tc>
        <w:tc>
          <w:tcPr>
            <w:tcW w:w="1280" w:type="dxa"/>
            <w:tcBorders>
              <w:top w:val="nil"/>
              <w:left w:val="nil"/>
              <w:bottom w:val="single" w:sz="4" w:space="0" w:color="auto"/>
              <w:right w:val="single" w:sz="4" w:space="0" w:color="auto"/>
            </w:tcBorders>
            <w:shd w:val="clear" w:color="auto" w:fill="auto"/>
            <w:vAlign w:val="bottom"/>
          </w:tcPr>
          <w:p w14:paraId="611D66E0" w14:textId="798E56EF"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651,481</w:t>
            </w:r>
          </w:p>
        </w:tc>
      </w:tr>
      <w:tr w:rsidR="00AB76A9" w:rsidRPr="0094482F" w14:paraId="7CDB64F5" w14:textId="77777777" w:rsidTr="0035234A">
        <w:trPr>
          <w:jc w:val="center"/>
        </w:trPr>
        <w:tc>
          <w:tcPr>
            <w:tcW w:w="461" w:type="dxa"/>
            <w:tcBorders>
              <w:top w:val="single" w:sz="4" w:space="0" w:color="auto"/>
              <w:left w:val="single" w:sz="4" w:space="0" w:color="auto"/>
              <w:bottom w:val="single" w:sz="4" w:space="0" w:color="auto"/>
              <w:right w:val="single" w:sz="4" w:space="0" w:color="auto"/>
            </w:tcBorders>
          </w:tcPr>
          <w:p w14:paraId="720B0D0A"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hideMark/>
          </w:tcPr>
          <w:p w14:paraId="2D00310B" w14:textId="208255D3" w:rsidR="00AB76A9" w:rsidRPr="007407EE" w:rsidRDefault="00AB76A9" w:rsidP="00AB76A9">
            <w:pPr>
              <w:spacing w:after="0" w:line="240" w:lineRule="auto"/>
              <w:rPr>
                <w:rFonts w:ascii="ChevinLight" w:eastAsia="Calibri" w:hAnsi="ChevinLight" w:cs="Arial"/>
                <w:sz w:val="18"/>
                <w:szCs w:val="18"/>
                <w:lang w:eastAsia="en-GB"/>
              </w:rPr>
            </w:pPr>
            <w:r w:rsidRPr="007407EE">
              <w:rPr>
                <w:rFonts w:ascii="ChevinLight" w:eastAsia="Calibri" w:hAnsi="ChevinLight" w:cs="Arial"/>
                <w:sz w:val="18"/>
                <w:szCs w:val="18"/>
                <w:lang w:eastAsia="en-GB"/>
              </w:rPr>
              <w:t>To authorise the Company to call general meetings on not less than 14 clear days’ notice (other than annual general meetings)</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7B6648EF" w14:textId="169C30B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679,239,105</w:t>
            </w:r>
          </w:p>
        </w:tc>
        <w:tc>
          <w:tcPr>
            <w:tcW w:w="865" w:type="dxa"/>
            <w:tcBorders>
              <w:top w:val="single" w:sz="4" w:space="0" w:color="auto"/>
              <w:left w:val="nil"/>
              <w:bottom w:val="single" w:sz="4" w:space="0" w:color="auto"/>
              <w:right w:val="single" w:sz="4" w:space="0" w:color="auto"/>
            </w:tcBorders>
            <w:shd w:val="clear" w:color="auto" w:fill="auto"/>
            <w:vAlign w:val="bottom"/>
          </w:tcPr>
          <w:p w14:paraId="1E090624" w14:textId="0104D8B0"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97.27</w:t>
            </w:r>
          </w:p>
        </w:tc>
        <w:tc>
          <w:tcPr>
            <w:tcW w:w="1271" w:type="dxa"/>
            <w:tcBorders>
              <w:top w:val="single" w:sz="4" w:space="0" w:color="auto"/>
              <w:left w:val="nil"/>
              <w:bottom w:val="single" w:sz="4" w:space="0" w:color="auto"/>
              <w:right w:val="single" w:sz="4" w:space="0" w:color="auto"/>
            </w:tcBorders>
            <w:shd w:val="clear" w:color="auto" w:fill="auto"/>
            <w:vAlign w:val="bottom"/>
          </w:tcPr>
          <w:p w14:paraId="5B3D5C95" w14:textId="31F97802"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19,083,957</w:t>
            </w:r>
          </w:p>
        </w:tc>
        <w:tc>
          <w:tcPr>
            <w:tcW w:w="730" w:type="dxa"/>
            <w:tcBorders>
              <w:top w:val="single" w:sz="4" w:space="0" w:color="auto"/>
              <w:left w:val="nil"/>
              <w:bottom w:val="single" w:sz="4" w:space="0" w:color="auto"/>
              <w:right w:val="single" w:sz="4" w:space="0" w:color="auto"/>
            </w:tcBorders>
            <w:shd w:val="clear" w:color="auto" w:fill="auto"/>
            <w:vAlign w:val="bottom"/>
          </w:tcPr>
          <w:p w14:paraId="5C15A13C" w14:textId="4A7DB4AD"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2.73</w:t>
            </w:r>
          </w:p>
        </w:tc>
        <w:tc>
          <w:tcPr>
            <w:tcW w:w="1393" w:type="dxa"/>
            <w:tcBorders>
              <w:top w:val="single" w:sz="4" w:space="0" w:color="auto"/>
              <w:left w:val="nil"/>
              <w:bottom w:val="single" w:sz="4" w:space="0" w:color="auto"/>
              <w:right w:val="single" w:sz="4" w:space="0" w:color="auto"/>
            </w:tcBorders>
            <w:shd w:val="clear" w:color="auto" w:fill="auto"/>
            <w:vAlign w:val="bottom"/>
          </w:tcPr>
          <w:p w14:paraId="44D76439" w14:textId="53892EEB"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698,323,062</w:t>
            </w:r>
          </w:p>
        </w:tc>
        <w:tc>
          <w:tcPr>
            <w:tcW w:w="1276" w:type="dxa"/>
            <w:tcBorders>
              <w:top w:val="single" w:sz="4" w:space="0" w:color="auto"/>
              <w:left w:val="nil"/>
              <w:bottom w:val="single" w:sz="4" w:space="0" w:color="auto"/>
              <w:right w:val="single" w:sz="4" w:space="0" w:color="auto"/>
            </w:tcBorders>
            <w:shd w:val="clear" w:color="auto" w:fill="auto"/>
            <w:vAlign w:val="bottom"/>
          </w:tcPr>
          <w:p w14:paraId="162CA7FD" w14:textId="50D9DC44"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73.03%</w:t>
            </w:r>
          </w:p>
        </w:tc>
        <w:tc>
          <w:tcPr>
            <w:tcW w:w="1280" w:type="dxa"/>
            <w:tcBorders>
              <w:top w:val="single" w:sz="4" w:space="0" w:color="auto"/>
              <w:left w:val="nil"/>
              <w:bottom w:val="single" w:sz="4" w:space="0" w:color="auto"/>
              <w:right w:val="single" w:sz="4" w:space="0" w:color="auto"/>
            </w:tcBorders>
            <w:shd w:val="clear" w:color="auto" w:fill="auto"/>
            <w:vAlign w:val="bottom"/>
          </w:tcPr>
          <w:p w14:paraId="4A35611D" w14:textId="50E3EFF3" w:rsidR="00AB76A9" w:rsidRPr="00124E08" w:rsidRDefault="00AB76A9" w:rsidP="00AB76A9">
            <w:pPr>
              <w:rPr>
                <w:rFonts w:ascii="ChevinLight" w:eastAsia="Calibri" w:hAnsi="ChevinLight" w:cs="Arial"/>
                <w:sz w:val="18"/>
                <w:szCs w:val="18"/>
                <w:highlight w:val="yellow"/>
              </w:rPr>
            </w:pPr>
            <w:r w:rsidRPr="00124E08">
              <w:rPr>
                <w:rFonts w:ascii="ChevinLight" w:hAnsi="ChevinLight" w:cs="Arial"/>
                <w:sz w:val="20"/>
                <w:szCs w:val="20"/>
              </w:rPr>
              <w:t>123,586</w:t>
            </w:r>
          </w:p>
        </w:tc>
      </w:tr>
      <w:tr w:rsidR="00AB76A9" w:rsidRPr="0094482F" w14:paraId="6BB2B495" w14:textId="77777777" w:rsidTr="00990EB8">
        <w:trPr>
          <w:jc w:val="center"/>
        </w:trPr>
        <w:tc>
          <w:tcPr>
            <w:tcW w:w="461" w:type="dxa"/>
            <w:tcBorders>
              <w:top w:val="single" w:sz="4" w:space="0" w:color="auto"/>
              <w:left w:val="single" w:sz="4" w:space="0" w:color="auto"/>
              <w:bottom w:val="single" w:sz="4" w:space="0" w:color="auto"/>
              <w:right w:val="single" w:sz="4" w:space="0" w:color="auto"/>
            </w:tcBorders>
          </w:tcPr>
          <w:p w14:paraId="4550096A" w14:textId="77777777" w:rsidR="00AB76A9" w:rsidRPr="0094482F" w:rsidRDefault="00AB76A9" w:rsidP="00AB76A9">
            <w:pPr>
              <w:numPr>
                <w:ilvl w:val="0"/>
                <w:numId w:val="2"/>
              </w:numPr>
              <w:spacing w:after="0" w:line="240" w:lineRule="auto"/>
              <w:contextualSpacing/>
              <w:rPr>
                <w:rFonts w:ascii="ChevinLight" w:eastAsia="Times New Roman" w:hAnsi="ChevinLight" w:cs="Arial"/>
                <w:sz w:val="18"/>
                <w:szCs w:val="18"/>
                <w:lang w:eastAsia="en-GB"/>
              </w:rPr>
            </w:pPr>
          </w:p>
        </w:tc>
        <w:tc>
          <w:tcPr>
            <w:tcW w:w="1944" w:type="dxa"/>
            <w:tcBorders>
              <w:top w:val="single" w:sz="4" w:space="0" w:color="auto"/>
              <w:left w:val="single" w:sz="4" w:space="0" w:color="auto"/>
              <w:bottom w:val="single" w:sz="4" w:space="0" w:color="auto"/>
              <w:right w:val="single" w:sz="4" w:space="0" w:color="auto"/>
            </w:tcBorders>
          </w:tcPr>
          <w:p w14:paraId="2A85FBBB" w14:textId="715E80F6" w:rsidR="00AB76A9" w:rsidRPr="007407EE" w:rsidRDefault="00AB76A9" w:rsidP="00AB76A9">
            <w:pPr>
              <w:spacing w:after="0" w:line="240" w:lineRule="auto"/>
              <w:rPr>
                <w:rFonts w:ascii="ChevinLight" w:eastAsia="Calibri" w:hAnsi="ChevinLight" w:cs="Arial"/>
                <w:sz w:val="18"/>
                <w:szCs w:val="18"/>
                <w:lang w:eastAsia="en-GB"/>
              </w:rPr>
            </w:pPr>
            <w:r>
              <w:rPr>
                <w:rFonts w:ascii="ChevinLight" w:eastAsia="Calibri" w:hAnsi="ChevinLight" w:cs="Arial"/>
                <w:sz w:val="18"/>
                <w:szCs w:val="18"/>
                <w:lang w:eastAsia="en-GB"/>
              </w:rPr>
              <w:t xml:space="preserve">To authorise </w:t>
            </w:r>
            <w:r w:rsidRPr="00817E1F">
              <w:rPr>
                <w:rFonts w:ascii="ChevinLight" w:eastAsia="Calibri" w:hAnsi="ChevinLight" w:cs="Arial"/>
                <w:sz w:val="18"/>
                <w:szCs w:val="18"/>
                <w:lang w:eastAsia="en-GB"/>
              </w:rPr>
              <w:t xml:space="preserve">the Company to adopt new articles of association </w:t>
            </w:r>
          </w:p>
        </w:tc>
        <w:tc>
          <w:tcPr>
            <w:tcW w:w="1411" w:type="dxa"/>
            <w:tcBorders>
              <w:top w:val="single" w:sz="4" w:space="0" w:color="auto"/>
              <w:left w:val="single" w:sz="4" w:space="0" w:color="auto"/>
              <w:bottom w:val="single" w:sz="4" w:space="0" w:color="auto"/>
              <w:right w:val="single" w:sz="4" w:space="0" w:color="auto"/>
            </w:tcBorders>
            <w:shd w:val="clear" w:color="auto" w:fill="auto"/>
            <w:vAlign w:val="bottom"/>
          </w:tcPr>
          <w:p w14:paraId="7116EEB3" w14:textId="55CC3153"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697,694,109</w:t>
            </w:r>
          </w:p>
        </w:tc>
        <w:tc>
          <w:tcPr>
            <w:tcW w:w="865" w:type="dxa"/>
            <w:tcBorders>
              <w:top w:val="single" w:sz="4" w:space="0" w:color="auto"/>
              <w:left w:val="nil"/>
              <w:bottom w:val="single" w:sz="4" w:space="0" w:color="auto"/>
              <w:right w:val="single" w:sz="4" w:space="0" w:color="auto"/>
            </w:tcBorders>
            <w:shd w:val="clear" w:color="auto" w:fill="auto"/>
            <w:vAlign w:val="bottom"/>
          </w:tcPr>
          <w:p w14:paraId="17D04AF5" w14:textId="158D2B3A"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99.93</w:t>
            </w:r>
          </w:p>
        </w:tc>
        <w:tc>
          <w:tcPr>
            <w:tcW w:w="1271" w:type="dxa"/>
            <w:tcBorders>
              <w:top w:val="single" w:sz="4" w:space="0" w:color="auto"/>
              <w:left w:val="nil"/>
              <w:bottom w:val="single" w:sz="4" w:space="0" w:color="auto"/>
              <w:right w:val="single" w:sz="4" w:space="0" w:color="auto"/>
            </w:tcBorders>
            <w:shd w:val="clear" w:color="auto" w:fill="auto"/>
            <w:vAlign w:val="bottom"/>
          </w:tcPr>
          <w:p w14:paraId="2CD84B48" w14:textId="63BFFD07"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466,718</w:t>
            </w:r>
          </w:p>
        </w:tc>
        <w:tc>
          <w:tcPr>
            <w:tcW w:w="730" w:type="dxa"/>
            <w:tcBorders>
              <w:top w:val="single" w:sz="4" w:space="0" w:color="auto"/>
              <w:left w:val="nil"/>
              <w:bottom w:val="single" w:sz="4" w:space="0" w:color="auto"/>
              <w:right w:val="single" w:sz="4" w:space="0" w:color="auto"/>
            </w:tcBorders>
            <w:shd w:val="clear" w:color="auto" w:fill="auto"/>
            <w:vAlign w:val="bottom"/>
          </w:tcPr>
          <w:p w14:paraId="00CCDE6E" w14:textId="575ACEC8"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0.07</w:t>
            </w:r>
          </w:p>
        </w:tc>
        <w:tc>
          <w:tcPr>
            <w:tcW w:w="1393" w:type="dxa"/>
            <w:tcBorders>
              <w:top w:val="single" w:sz="4" w:space="0" w:color="auto"/>
              <w:left w:val="nil"/>
              <w:bottom w:val="single" w:sz="4" w:space="0" w:color="auto"/>
              <w:right w:val="single" w:sz="4" w:space="0" w:color="auto"/>
            </w:tcBorders>
            <w:shd w:val="clear" w:color="auto" w:fill="auto"/>
            <w:vAlign w:val="bottom"/>
          </w:tcPr>
          <w:p w14:paraId="4E7DCA32" w14:textId="51BBB54F"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698,160,827</w:t>
            </w:r>
          </w:p>
        </w:tc>
        <w:tc>
          <w:tcPr>
            <w:tcW w:w="1276" w:type="dxa"/>
            <w:tcBorders>
              <w:top w:val="single" w:sz="4" w:space="0" w:color="auto"/>
              <w:left w:val="nil"/>
              <w:bottom w:val="single" w:sz="4" w:space="0" w:color="auto"/>
              <w:right w:val="single" w:sz="4" w:space="0" w:color="auto"/>
            </w:tcBorders>
            <w:shd w:val="clear" w:color="auto" w:fill="auto"/>
            <w:vAlign w:val="bottom"/>
          </w:tcPr>
          <w:p w14:paraId="4AC2CEC2" w14:textId="29276BB2"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73.01%</w:t>
            </w:r>
          </w:p>
        </w:tc>
        <w:tc>
          <w:tcPr>
            <w:tcW w:w="1280" w:type="dxa"/>
            <w:tcBorders>
              <w:top w:val="single" w:sz="4" w:space="0" w:color="auto"/>
              <w:left w:val="nil"/>
              <w:bottom w:val="single" w:sz="4" w:space="0" w:color="auto"/>
              <w:right w:val="single" w:sz="4" w:space="0" w:color="auto"/>
            </w:tcBorders>
            <w:shd w:val="clear" w:color="auto" w:fill="auto"/>
            <w:vAlign w:val="bottom"/>
          </w:tcPr>
          <w:p w14:paraId="2E82D1AD" w14:textId="685B56E4" w:rsidR="00AB76A9" w:rsidRPr="00124E08" w:rsidDel="009837EA" w:rsidRDefault="00AB76A9" w:rsidP="00AB76A9">
            <w:pPr>
              <w:rPr>
                <w:rFonts w:ascii="ChevinLight" w:hAnsi="ChevinLight" w:cs="Arial"/>
                <w:sz w:val="20"/>
                <w:szCs w:val="20"/>
              </w:rPr>
            </w:pPr>
            <w:r w:rsidRPr="00124E08">
              <w:rPr>
                <w:rFonts w:ascii="ChevinLight" w:hAnsi="ChevinLight" w:cs="Arial"/>
                <w:sz w:val="20"/>
                <w:szCs w:val="20"/>
              </w:rPr>
              <w:t>264,923</w:t>
            </w:r>
          </w:p>
        </w:tc>
      </w:tr>
    </w:tbl>
    <w:p w14:paraId="583C7C05" w14:textId="77777777" w:rsidR="009A4592" w:rsidRPr="0094482F" w:rsidRDefault="009A4592" w:rsidP="009A4592">
      <w:pPr>
        <w:shd w:val="clear" w:color="auto" w:fill="FFFFFF"/>
        <w:spacing w:after="0" w:line="240" w:lineRule="auto"/>
        <w:rPr>
          <w:rFonts w:ascii="ChevinLight" w:eastAsia="Times New Roman" w:hAnsi="ChevinLight" w:cs="Arial"/>
          <w:sz w:val="18"/>
          <w:szCs w:val="18"/>
          <w:lang w:eastAsia="en-GB"/>
        </w:rPr>
      </w:pPr>
    </w:p>
    <w:p w14:paraId="236EA6DB" w14:textId="452F639E" w:rsidR="009A4592" w:rsidRPr="0094482F" w:rsidRDefault="009A4592" w:rsidP="009A4592">
      <w:pPr>
        <w:shd w:val="clear" w:color="auto" w:fill="FFFFFF"/>
        <w:spacing w:after="0" w:line="240" w:lineRule="auto"/>
        <w:jc w:val="both"/>
        <w:rPr>
          <w:rFonts w:ascii="ChevinLight" w:eastAsia="Times New Roman" w:hAnsi="ChevinLight" w:cs="Arial"/>
          <w:sz w:val="18"/>
          <w:szCs w:val="18"/>
          <w:lang w:eastAsia="en-GB"/>
        </w:rPr>
      </w:pPr>
      <w:r w:rsidRPr="00D8769B">
        <w:rPr>
          <w:rFonts w:ascii="ChevinLight" w:eastAsia="Times New Roman" w:hAnsi="ChevinLight" w:cs="Arial"/>
          <w:sz w:val="18"/>
          <w:szCs w:val="18"/>
          <w:lang w:eastAsia="en-GB"/>
        </w:rPr>
        <w:t xml:space="preserve">As at 6.30pm on </w:t>
      </w:r>
      <w:r w:rsidR="00D8769B" w:rsidRPr="00D8769B">
        <w:rPr>
          <w:rFonts w:ascii="ChevinLight" w:eastAsia="Times New Roman" w:hAnsi="ChevinLight" w:cs="Arial"/>
          <w:sz w:val="18"/>
          <w:szCs w:val="18"/>
          <w:lang w:eastAsia="en-GB"/>
        </w:rPr>
        <w:t>Monday 1</w:t>
      </w:r>
      <w:r w:rsidR="009837EA">
        <w:rPr>
          <w:rFonts w:ascii="ChevinLight" w:eastAsia="Times New Roman" w:hAnsi="ChevinLight" w:cs="Arial"/>
          <w:sz w:val="18"/>
          <w:szCs w:val="18"/>
          <w:lang w:eastAsia="en-GB"/>
        </w:rPr>
        <w:t>8</w:t>
      </w:r>
      <w:r w:rsidR="00D8769B" w:rsidRPr="00D8769B">
        <w:rPr>
          <w:rFonts w:ascii="ChevinLight" w:eastAsia="Times New Roman" w:hAnsi="ChevinLight" w:cs="Arial"/>
          <w:sz w:val="18"/>
          <w:szCs w:val="18"/>
          <w:lang w:eastAsia="en-GB"/>
        </w:rPr>
        <w:t xml:space="preserve"> July 202</w:t>
      </w:r>
      <w:r w:rsidR="009837EA">
        <w:rPr>
          <w:rFonts w:ascii="ChevinLight" w:eastAsia="Times New Roman" w:hAnsi="ChevinLight" w:cs="Arial"/>
          <w:sz w:val="18"/>
          <w:szCs w:val="18"/>
          <w:lang w:eastAsia="en-GB"/>
        </w:rPr>
        <w:t>2</w:t>
      </w:r>
      <w:r w:rsidRPr="00D8769B">
        <w:rPr>
          <w:rFonts w:ascii="ChevinLight" w:eastAsia="Times New Roman" w:hAnsi="ChevinLight" w:cs="Arial"/>
          <w:sz w:val="18"/>
          <w:szCs w:val="18"/>
          <w:lang w:eastAsia="en-GB"/>
        </w:rPr>
        <w:t>,</w:t>
      </w:r>
      <w:r w:rsidRPr="0094482F">
        <w:rPr>
          <w:rFonts w:ascii="ChevinLight" w:eastAsia="Times New Roman" w:hAnsi="ChevinLight" w:cs="Arial"/>
          <w:sz w:val="18"/>
          <w:szCs w:val="18"/>
          <w:lang w:eastAsia="en-GB"/>
        </w:rPr>
        <w:t xml:space="preserve"> the number of issued shares in the Company was </w:t>
      </w:r>
      <w:r w:rsidR="00F55F4C" w:rsidRPr="00817E1F">
        <w:rPr>
          <w:rFonts w:ascii="ChevinLight" w:eastAsia="Times New Roman" w:hAnsi="ChevinLight" w:cs="Arial"/>
          <w:sz w:val="18"/>
          <w:szCs w:val="18"/>
          <w:lang w:eastAsia="en-GB"/>
        </w:rPr>
        <w:t>956,193,475</w:t>
      </w:r>
      <w:r w:rsidR="00817E1F">
        <w:rPr>
          <w:rFonts w:ascii="ChevinLight" w:eastAsia="Times New Roman" w:hAnsi="ChevinLight" w:cs="Arial"/>
          <w:sz w:val="18"/>
          <w:szCs w:val="18"/>
          <w:lang w:eastAsia="en-GB"/>
        </w:rPr>
        <w:t xml:space="preserve"> </w:t>
      </w:r>
      <w:r w:rsidRPr="0094482F">
        <w:rPr>
          <w:rFonts w:ascii="ChevinLight" w:eastAsia="Times New Roman" w:hAnsi="ChevinLight" w:cs="Arial"/>
          <w:sz w:val="18"/>
          <w:szCs w:val="18"/>
          <w:lang w:eastAsia="en-GB"/>
        </w:rPr>
        <w:t>ordinary shares. This was the total number of shares entitling the holders to attend and vote</w:t>
      </w:r>
      <w:r w:rsidR="001E7FA8" w:rsidRPr="0094482F">
        <w:rPr>
          <w:rFonts w:ascii="ChevinLight" w:eastAsia="Times New Roman" w:hAnsi="ChevinLight" w:cs="Arial"/>
          <w:sz w:val="18"/>
          <w:szCs w:val="18"/>
          <w:lang w:eastAsia="en-GB"/>
        </w:rPr>
        <w:t xml:space="preserve"> </w:t>
      </w:r>
      <w:r w:rsidRPr="0094482F">
        <w:rPr>
          <w:rFonts w:ascii="ChevinLight" w:eastAsia="Times New Roman" w:hAnsi="ChevinLight" w:cs="Arial"/>
          <w:sz w:val="18"/>
          <w:szCs w:val="18"/>
          <w:lang w:eastAsia="en-GB"/>
        </w:rPr>
        <w:t xml:space="preserve">for or against all the resolutions at the AGM. In accordance with the Company's </w:t>
      </w:r>
      <w:r w:rsidR="000775B2" w:rsidRPr="0094482F">
        <w:rPr>
          <w:rFonts w:ascii="ChevinLight" w:eastAsia="Times New Roman" w:hAnsi="ChevinLight" w:cs="Arial"/>
          <w:sz w:val="18"/>
          <w:szCs w:val="18"/>
          <w:lang w:eastAsia="en-GB"/>
        </w:rPr>
        <w:t>a</w:t>
      </w:r>
      <w:r w:rsidRPr="0094482F">
        <w:rPr>
          <w:rFonts w:ascii="ChevinLight" w:eastAsia="Times New Roman" w:hAnsi="ChevinLight" w:cs="Arial"/>
          <w:sz w:val="18"/>
          <w:szCs w:val="18"/>
          <w:lang w:eastAsia="en-GB"/>
        </w:rPr>
        <w:t xml:space="preserve">rticles of </w:t>
      </w:r>
      <w:r w:rsidR="000775B2" w:rsidRPr="0094482F">
        <w:rPr>
          <w:rFonts w:ascii="ChevinLight" w:eastAsia="Times New Roman" w:hAnsi="ChevinLight" w:cs="Arial"/>
          <w:sz w:val="18"/>
          <w:szCs w:val="18"/>
          <w:lang w:eastAsia="en-GB"/>
        </w:rPr>
        <w:t>a</w:t>
      </w:r>
      <w:r w:rsidRPr="0094482F">
        <w:rPr>
          <w:rFonts w:ascii="ChevinLight" w:eastAsia="Times New Roman" w:hAnsi="ChevinLight" w:cs="Arial"/>
          <w:sz w:val="18"/>
          <w:szCs w:val="18"/>
          <w:lang w:eastAsia="en-GB"/>
        </w:rPr>
        <w:t>ssociation, on a poll every member present in person or by proxy has one vote for every share held.</w:t>
      </w:r>
    </w:p>
    <w:p w14:paraId="6703EDA2" w14:textId="77777777" w:rsidR="009A4592" w:rsidRPr="0094482F" w:rsidRDefault="009A4592" w:rsidP="009A4592">
      <w:pPr>
        <w:shd w:val="clear" w:color="auto" w:fill="FFFFFF"/>
        <w:spacing w:after="0" w:line="240" w:lineRule="auto"/>
        <w:jc w:val="both"/>
        <w:rPr>
          <w:rFonts w:ascii="ChevinLight" w:eastAsia="Times New Roman" w:hAnsi="ChevinLight" w:cs="Arial"/>
          <w:sz w:val="18"/>
          <w:szCs w:val="18"/>
          <w:lang w:eastAsia="en-GB"/>
        </w:rPr>
      </w:pPr>
      <w:r w:rsidRPr="0094482F">
        <w:rPr>
          <w:rFonts w:ascii="ChevinLight" w:eastAsia="Times New Roman" w:hAnsi="ChevinLight" w:cs="Arial"/>
          <w:sz w:val="18"/>
          <w:szCs w:val="18"/>
          <w:lang w:eastAsia="en-GB"/>
        </w:rPr>
        <w:t> </w:t>
      </w:r>
    </w:p>
    <w:p w14:paraId="1CC04408" w14:textId="1FEDBCE2" w:rsidR="009A4592" w:rsidRPr="0094482F" w:rsidRDefault="009A4592" w:rsidP="009A4592">
      <w:pPr>
        <w:shd w:val="clear" w:color="auto" w:fill="FFFFFF"/>
        <w:spacing w:after="0" w:line="240" w:lineRule="auto"/>
        <w:jc w:val="both"/>
        <w:rPr>
          <w:rFonts w:ascii="ChevinLight" w:eastAsia="Times New Roman" w:hAnsi="ChevinLight" w:cs="Arial"/>
          <w:sz w:val="18"/>
          <w:szCs w:val="18"/>
          <w:lang w:eastAsia="en-GB"/>
        </w:rPr>
      </w:pPr>
      <w:r w:rsidRPr="0094482F">
        <w:rPr>
          <w:rFonts w:ascii="ChevinLight" w:eastAsia="Times New Roman" w:hAnsi="ChevinLight" w:cs="Arial"/>
          <w:sz w:val="18"/>
          <w:szCs w:val="18"/>
          <w:lang w:eastAsia="en-GB"/>
        </w:rPr>
        <w:t>There were no restrictions on shareholders cast</w:t>
      </w:r>
      <w:r w:rsidR="000775B2" w:rsidRPr="0094482F">
        <w:rPr>
          <w:rFonts w:ascii="ChevinLight" w:eastAsia="Times New Roman" w:hAnsi="ChevinLight" w:cs="Arial"/>
          <w:sz w:val="18"/>
          <w:szCs w:val="18"/>
          <w:lang w:eastAsia="en-GB"/>
        </w:rPr>
        <w:t>ing</w:t>
      </w:r>
      <w:r w:rsidRPr="0094482F">
        <w:rPr>
          <w:rFonts w:ascii="ChevinLight" w:eastAsia="Times New Roman" w:hAnsi="ChevinLight" w:cs="Arial"/>
          <w:sz w:val="18"/>
          <w:szCs w:val="18"/>
          <w:lang w:eastAsia="en-GB"/>
        </w:rPr>
        <w:t xml:space="preserve"> votes on any of the resolutions proposed at the AGM. Votes withheld are not votes in law. Therefore, they have not been counted in the calculation of the proportion of the votes for or against a resolution.</w:t>
      </w:r>
    </w:p>
    <w:p w14:paraId="16FEBB21" w14:textId="77777777" w:rsidR="009A4592" w:rsidRPr="0094482F" w:rsidRDefault="009A4592" w:rsidP="009A4592">
      <w:pPr>
        <w:shd w:val="clear" w:color="auto" w:fill="FFFFFF"/>
        <w:spacing w:after="0" w:line="240" w:lineRule="auto"/>
        <w:jc w:val="both"/>
        <w:rPr>
          <w:rFonts w:ascii="ChevinLight" w:eastAsia="Times New Roman" w:hAnsi="ChevinLight" w:cs="Arial"/>
          <w:sz w:val="18"/>
          <w:szCs w:val="18"/>
          <w:lang w:eastAsia="en-GB"/>
        </w:rPr>
      </w:pPr>
      <w:r w:rsidRPr="0094482F">
        <w:rPr>
          <w:rFonts w:ascii="ChevinLight" w:eastAsia="Times New Roman" w:hAnsi="ChevinLight" w:cs="Arial"/>
          <w:sz w:val="18"/>
          <w:szCs w:val="18"/>
          <w:lang w:eastAsia="en-GB"/>
        </w:rPr>
        <w:t> </w:t>
      </w:r>
    </w:p>
    <w:p w14:paraId="455D9AC2" w14:textId="223F6BF2" w:rsidR="009A4592" w:rsidRDefault="009A4592" w:rsidP="009A4592">
      <w:pPr>
        <w:shd w:val="clear" w:color="auto" w:fill="FFFFFF"/>
        <w:spacing w:after="0" w:line="240" w:lineRule="auto"/>
        <w:jc w:val="both"/>
        <w:rPr>
          <w:rFonts w:ascii="ChevinLight" w:eastAsia="Times New Roman" w:hAnsi="ChevinLight" w:cs="Arial"/>
          <w:sz w:val="18"/>
          <w:szCs w:val="18"/>
          <w:u w:val="single"/>
          <w:lang w:eastAsia="en-GB"/>
        </w:rPr>
      </w:pPr>
      <w:r w:rsidRPr="0094482F">
        <w:rPr>
          <w:rFonts w:ascii="ChevinLight" w:eastAsia="Times New Roman" w:hAnsi="ChevinLight" w:cs="Arial"/>
          <w:sz w:val="18"/>
          <w:szCs w:val="18"/>
          <w:lang w:eastAsia="en-GB"/>
        </w:rPr>
        <w:t>Pursuant to UK Listing Rule 9.6.2R, copies of all resolutions, other than those concerning ordinary business, passed at the AGM today have been submitted to the National Storage Mechanism and will shortly be available to view at </w:t>
      </w:r>
      <w:hyperlink r:id="rId8" w:anchor="/nsm/nationalstoragemechanism" w:history="1">
        <w:r w:rsidR="00C461A3" w:rsidRPr="00C461A3">
          <w:rPr>
            <w:rStyle w:val="Hyperlink"/>
            <w:rFonts w:ascii="ChevinLight" w:eastAsia="Times New Roman" w:hAnsi="ChevinLight" w:cs="Arial"/>
            <w:sz w:val="18"/>
            <w:szCs w:val="18"/>
            <w:lang w:eastAsia="en-GB"/>
          </w:rPr>
          <w:t>https://data.fca.org.uk/#/nsm/nationalstoragemechanism</w:t>
        </w:r>
      </w:hyperlink>
    </w:p>
    <w:p w14:paraId="037AED34" w14:textId="1DEA9439" w:rsidR="00D705CF" w:rsidRDefault="00D705CF" w:rsidP="009A4592">
      <w:pPr>
        <w:shd w:val="clear" w:color="auto" w:fill="FFFFFF"/>
        <w:spacing w:after="0" w:line="240" w:lineRule="auto"/>
        <w:jc w:val="both"/>
        <w:rPr>
          <w:rFonts w:ascii="ChevinLight" w:eastAsia="Times New Roman" w:hAnsi="ChevinLight" w:cs="Arial"/>
          <w:sz w:val="18"/>
          <w:szCs w:val="18"/>
          <w:u w:val="single"/>
          <w:lang w:eastAsia="en-GB"/>
        </w:rPr>
      </w:pPr>
    </w:p>
    <w:p w14:paraId="4B450840" w14:textId="691676B9" w:rsidR="00D705CF" w:rsidRDefault="00D705CF" w:rsidP="009A4592">
      <w:pPr>
        <w:shd w:val="clear" w:color="auto" w:fill="FFFFFF"/>
        <w:spacing w:after="0" w:line="240" w:lineRule="auto"/>
        <w:jc w:val="both"/>
        <w:rPr>
          <w:rFonts w:ascii="ChevinLight" w:eastAsia="Times New Roman" w:hAnsi="ChevinLight" w:cs="Arial"/>
          <w:sz w:val="18"/>
          <w:szCs w:val="18"/>
          <w:lang w:eastAsia="en-GB"/>
        </w:rPr>
      </w:pPr>
      <w:r>
        <w:rPr>
          <w:rFonts w:ascii="ChevinLight" w:eastAsia="Times New Roman" w:hAnsi="ChevinLight" w:cs="Arial"/>
          <w:sz w:val="18"/>
          <w:szCs w:val="18"/>
          <w:lang w:eastAsia="en-GB"/>
        </w:rPr>
        <w:t xml:space="preserve">The AGM results are also available to view on the Company’s website at </w:t>
      </w:r>
      <w:hyperlink r:id="rId9" w:history="1">
        <w:r w:rsidRPr="00D84927">
          <w:rPr>
            <w:rStyle w:val="Hyperlink"/>
            <w:rFonts w:ascii="ChevinLight" w:eastAsia="Times New Roman" w:hAnsi="ChevinLight" w:cs="Arial"/>
            <w:sz w:val="18"/>
            <w:szCs w:val="18"/>
            <w:lang w:eastAsia="en-GB"/>
          </w:rPr>
          <w:t>www.royalmailgroup.com/en/investors/annual-general-meetings/</w:t>
        </w:r>
      </w:hyperlink>
    </w:p>
    <w:p w14:paraId="541D6AF5" w14:textId="0CAB77DF" w:rsidR="009A4592" w:rsidRPr="0094482F" w:rsidRDefault="009A4592" w:rsidP="009A4592">
      <w:pPr>
        <w:shd w:val="clear" w:color="auto" w:fill="FFFFFF"/>
        <w:spacing w:after="0" w:line="240" w:lineRule="auto"/>
        <w:jc w:val="both"/>
        <w:rPr>
          <w:rFonts w:ascii="ChevinLight" w:eastAsia="Times New Roman" w:hAnsi="ChevinLight" w:cs="Arial"/>
          <w:sz w:val="18"/>
          <w:szCs w:val="18"/>
          <w:lang w:eastAsia="en-GB"/>
        </w:rPr>
      </w:pPr>
      <w:r w:rsidRPr="0094482F">
        <w:rPr>
          <w:rFonts w:ascii="ChevinLight" w:eastAsia="Times New Roman" w:hAnsi="ChevinLight" w:cs="Arial"/>
          <w:sz w:val="18"/>
          <w:szCs w:val="18"/>
          <w:lang w:eastAsia="en-GB"/>
        </w:rPr>
        <w:t> </w:t>
      </w:r>
    </w:p>
    <w:p w14:paraId="7713135B" w14:textId="6854B7B8" w:rsidR="002F00C6" w:rsidRPr="002F00C6" w:rsidRDefault="002F00C6" w:rsidP="002F00C6">
      <w:pPr>
        <w:autoSpaceDE w:val="0"/>
        <w:autoSpaceDN w:val="0"/>
        <w:adjustRightInd w:val="0"/>
        <w:spacing w:after="0" w:line="240" w:lineRule="auto"/>
        <w:rPr>
          <w:rFonts w:ascii="ChevinLight" w:hAnsi="ChevinLight" w:cs="Arial"/>
          <w:b/>
          <w:color w:val="000000"/>
          <w:sz w:val="20"/>
          <w:szCs w:val="20"/>
        </w:rPr>
      </w:pPr>
      <w:r w:rsidRPr="002F00C6">
        <w:rPr>
          <w:rFonts w:ascii="ChevinLight" w:hAnsi="ChevinLight" w:cs="Arial"/>
          <w:b/>
          <w:color w:val="000000"/>
          <w:sz w:val="20"/>
          <w:szCs w:val="20"/>
        </w:rPr>
        <w:lastRenderedPageBreak/>
        <w:t>Enquir</w:t>
      </w:r>
      <w:r w:rsidR="009D2238">
        <w:rPr>
          <w:rFonts w:ascii="ChevinLight" w:hAnsi="ChevinLight" w:cs="Arial"/>
          <w:b/>
          <w:color w:val="000000"/>
          <w:sz w:val="20"/>
          <w:szCs w:val="20"/>
        </w:rPr>
        <w:t>i</w:t>
      </w:r>
      <w:r w:rsidRPr="002F00C6">
        <w:rPr>
          <w:rFonts w:ascii="ChevinLight" w:hAnsi="ChevinLight" w:cs="Arial"/>
          <w:b/>
          <w:color w:val="000000"/>
          <w:sz w:val="20"/>
          <w:szCs w:val="20"/>
        </w:rPr>
        <w:t>es:</w:t>
      </w:r>
    </w:p>
    <w:p w14:paraId="31DA882A" w14:textId="77777777" w:rsidR="002F00C6" w:rsidRPr="002F00C6" w:rsidRDefault="002F00C6" w:rsidP="002F00C6">
      <w:pPr>
        <w:autoSpaceDE w:val="0"/>
        <w:autoSpaceDN w:val="0"/>
        <w:adjustRightInd w:val="0"/>
        <w:spacing w:after="0" w:line="240" w:lineRule="auto"/>
        <w:jc w:val="both"/>
        <w:rPr>
          <w:rFonts w:ascii="ChevinLight" w:hAnsi="ChevinLight" w:cs="Arial"/>
          <w:b/>
          <w:color w:val="000000"/>
          <w:sz w:val="20"/>
          <w:szCs w:val="20"/>
        </w:rPr>
      </w:pPr>
    </w:p>
    <w:p w14:paraId="27A681B6" w14:textId="77777777" w:rsidR="002F00C6" w:rsidRPr="002F00C6" w:rsidRDefault="002F00C6" w:rsidP="002F00C6">
      <w:pPr>
        <w:autoSpaceDE w:val="0"/>
        <w:autoSpaceDN w:val="0"/>
        <w:adjustRightInd w:val="0"/>
        <w:spacing w:after="0" w:line="240" w:lineRule="auto"/>
        <w:jc w:val="both"/>
        <w:rPr>
          <w:rFonts w:ascii="ChevinLight" w:hAnsi="ChevinLight" w:cs="ChevinLight"/>
          <w:b/>
          <w:bCs/>
          <w:color w:val="000000"/>
          <w:sz w:val="20"/>
          <w:szCs w:val="20"/>
        </w:rPr>
      </w:pPr>
      <w:r w:rsidRPr="002F00C6">
        <w:rPr>
          <w:rFonts w:ascii="ChevinLight" w:hAnsi="ChevinLight" w:cs="ChevinLight"/>
          <w:b/>
          <w:bCs/>
          <w:sz w:val="20"/>
          <w:szCs w:val="20"/>
        </w:rPr>
        <w:t>Investor Relations</w:t>
      </w:r>
    </w:p>
    <w:p w14:paraId="39CADD69" w14:textId="77777777" w:rsidR="002F00C6" w:rsidRPr="002F00C6" w:rsidRDefault="002F00C6" w:rsidP="002F00C6">
      <w:pPr>
        <w:autoSpaceDE w:val="0"/>
        <w:autoSpaceDN w:val="0"/>
        <w:adjustRightInd w:val="0"/>
        <w:spacing w:after="0" w:line="240" w:lineRule="auto"/>
        <w:jc w:val="both"/>
        <w:rPr>
          <w:rFonts w:ascii="ChevinLight" w:hAnsi="ChevinLight" w:cs="ChevinLight"/>
          <w:color w:val="000000"/>
          <w:sz w:val="20"/>
          <w:szCs w:val="20"/>
        </w:rPr>
      </w:pPr>
      <w:r w:rsidRPr="002F00C6">
        <w:rPr>
          <w:rFonts w:ascii="ChevinLight" w:hAnsi="ChevinLight" w:cs="ChevinLight"/>
          <w:sz w:val="20"/>
          <w:szCs w:val="20"/>
        </w:rPr>
        <w:t>John Crosse</w:t>
      </w:r>
    </w:p>
    <w:p w14:paraId="369CEB1F" w14:textId="77777777" w:rsidR="002F00C6" w:rsidRPr="002F00C6" w:rsidRDefault="002F00C6" w:rsidP="002F00C6">
      <w:pPr>
        <w:autoSpaceDE w:val="0"/>
        <w:autoSpaceDN w:val="0"/>
        <w:adjustRightInd w:val="0"/>
        <w:spacing w:after="0" w:line="240" w:lineRule="auto"/>
        <w:jc w:val="both"/>
        <w:rPr>
          <w:rFonts w:ascii="ChevinLight" w:hAnsi="ChevinLight" w:cs="ChevinLight"/>
          <w:color w:val="000000"/>
          <w:sz w:val="20"/>
          <w:szCs w:val="20"/>
        </w:rPr>
      </w:pPr>
      <w:r w:rsidRPr="002F00C6">
        <w:rPr>
          <w:rFonts w:ascii="ChevinLight" w:hAnsi="ChevinLight" w:cs="ChevinLight"/>
          <w:sz w:val="20"/>
          <w:szCs w:val="20"/>
        </w:rPr>
        <w:t>Email:</w:t>
      </w:r>
      <w:r w:rsidRPr="002F00C6">
        <w:rPr>
          <w:rFonts w:ascii="ChevinLight" w:hAnsi="ChevinLight" w:cs="ChevinLight"/>
          <w:color w:val="786860"/>
          <w:sz w:val="20"/>
          <w:szCs w:val="20"/>
        </w:rPr>
        <w:t> </w:t>
      </w:r>
      <w:hyperlink r:id="rId10" w:history="1">
        <w:r w:rsidRPr="002F00C6">
          <w:rPr>
            <w:rFonts w:ascii="ChevinLight" w:hAnsi="ChevinLight" w:cs="ChevinLight"/>
            <w:color w:val="0000FF"/>
            <w:sz w:val="20"/>
            <w:szCs w:val="20"/>
            <w:u w:val="single"/>
          </w:rPr>
          <w:t>investorrelations@royalmail.com</w:t>
        </w:r>
      </w:hyperlink>
      <w:r w:rsidRPr="002F00C6">
        <w:rPr>
          <w:rFonts w:ascii="ChevinLight" w:hAnsi="ChevinLight" w:cs="ChevinLight"/>
          <w:color w:val="000000"/>
          <w:sz w:val="20"/>
          <w:szCs w:val="20"/>
        </w:rPr>
        <w:t xml:space="preserve"> </w:t>
      </w:r>
    </w:p>
    <w:p w14:paraId="3CF4E645" w14:textId="77777777" w:rsidR="002F00C6" w:rsidRPr="002F00C6" w:rsidRDefault="002F00C6" w:rsidP="002F00C6">
      <w:pPr>
        <w:autoSpaceDE w:val="0"/>
        <w:autoSpaceDN w:val="0"/>
        <w:adjustRightInd w:val="0"/>
        <w:spacing w:after="0" w:line="240" w:lineRule="auto"/>
        <w:jc w:val="both"/>
        <w:rPr>
          <w:rFonts w:ascii="ChevinLight" w:hAnsi="ChevinLight" w:cs="ChevinLight"/>
          <w:color w:val="000000"/>
          <w:sz w:val="20"/>
          <w:szCs w:val="20"/>
        </w:rPr>
      </w:pPr>
      <w:r w:rsidRPr="002F00C6">
        <w:rPr>
          <w:rFonts w:ascii="ChevinLight" w:hAnsi="ChevinLight" w:cs="ChevinLight"/>
          <w:sz w:val="20"/>
          <w:szCs w:val="20"/>
        </w:rPr>
        <w:t>Royal Mail investor relations line:</w:t>
      </w:r>
      <w:r w:rsidRPr="002F00C6">
        <w:rPr>
          <w:rFonts w:ascii="ChevinLight" w:hAnsi="ChevinLight" w:cs="ChevinLight"/>
          <w:b/>
          <w:bCs/>
          <w:sz w:val="20"/>
          <w:szCs w:val="20"/>
        </w:rPr>
        <w:t xml:space="preserve"> </w:t>
      </w:r>
      <w:r w:rsidRPr="002F00C6">
        <w:rPr>
          <w:rFonts w:ascii="ChevinLight" w:hAnsi="ChevinLight" w:cs="ChevinLight"/>
          <w:sz w:val="20"/>
          <w:szCs w:val="20"/>
        </w:rPr>
        <w:t>020 7449 8183</w:t>
      </w:r>
    </w:p>
    <w:p w14:paraId="1A32AF06" w14:textId="77777777" w:rsidR="002F00C6" w:rsidRPr="002F00C6" w:rsidRDefault="002F00C6" w:rsidP="002F00C6">
      <w:pPr>
        <w:autoSpaceDE w:val="0"/>
        <w:autoSpaceDN w:val="0"/>
        <w:adjustRightInd w:val="0"/>
        <w:spacing w:after="0" w:line="240" w:lineRule="auto"/>
        <w:jc w:val="both"/>
        <w:rPr>
          <w:rFonts w:ascii="ChevinLight" w:hAnsi="ChevinLight" w:cs="ChevinLight"/>
          <w:b/>
          <w:bCs/>
          <w:sz w:val="20"/>
          <w:szCs w:val="20"/>
        </w:rPr>
      </w:pPr>
      <w:r w:rsidRPr="002F00C6">
        <w:rPr>
          <w:rFonts w:ascii="ChevinLight" w:hAnsi="ChevinLight" w:cs="ChevinLight"/>
          <w:b/>
          <w:bCs/>
          <w:sz w:val="20"/>
          <w:szCs w:val="20"/>
        </w:rPr>
        <w:t> </w:t>
      </w:r>
    </w:p>
    <w:p w14:paraId="2571375F" w14:textId="77777777" w:rsidR="002F00C6" w:rsidRPr="002F00C6" w:rsidRDefault="002F00C6" w:rsidP="002F00C6">
      <w:pPr>
        <w:autoSpaceDE w:val="0"/>
        <w:autoSpaceDN w:val="0"/>
        <w:adjustRightInd w:val="0"/>
        <w:spacing w:after="0" w:line="240" w:lineRule="auto"/>
        <w:jc w:val="both"/>
        <w:rPr>
          <w:rFonts w:ascii="ChevinLight" w:hAnsi="ChevinLight" w:cs="ChevinLight"/>
          <w:b/>
          <w:bCs/>
          <w:sz w:val="20"/>
          <w:szCs w:val="20"/>
        </w:rPr>
      </w:pPr>
      <w:r w:rsidRPr="002F00C6">
        <w:rPr>
          <w:rFonts w:ascii="ChevinLight" w:hAnsi="ChevinLight" w:cs="ChevinLight"/>
          <w:b/>
          <w:bCs/>
          <w:sz w:val="20"/>
          <w:szCs w:val="20"/>
        </w:rPr>
        <w:t>Media Relations </w:t>
      </w:r>
    </w:p>
    <w:p w14:paraId="03660837" w14:textId="20489AA5" w:rsidR="002F00C6" w:rsidRPr="002F00C6" w:rsidRDefault="009837EA" w:rsidP="002F00C6">
      <w:pPr>
        <w:autoSpaceDE w:val="0"/>
        <w:autoSpaceDN w:val="0"/>
        <w:adjustRightInd w:val="0"/>
        <w:spacing w:after="0" w:line="240" w:lineRule="auto"/>
        <w:jc w:val="both"/>
        <w:rPr>
          <w:rFonts w:ascii="ChevinLight" w:hAnsi="ChevinLight" w:cs="ChevinLight"/>
          <w:color w:val="000000"/>
          <w:sz w:val="20"/>
          <w:szCs w:val="20"/>
        </w:rPr>
      </w:pPr>
      <w:r>
        <w:rPr>
          <w:rFonts w:ascii="ChevinLight" w:hAnsi="ChevinLight" w:cs="ChevinLight"/>
          <w:color w:val="000000"/>
          <w:sz w:val="20"/>
          <w:szCs w:val="20"/>
        </w:rPr>
        <w:t>Greg Sage</w:t>
      </w:r>
    </w:p>
    <w:p w14:paraId="7C55CB24" w14:textId="61E662E4" w:rsidR="002F00C6" w:rsidRPr="002F00C6" w:rsidRDefault="002F00C6" w:rsidP="002F00C6">
      <w:pPr>
        <w:autoSpaceDE w:val="0"/>
        <w:autoSpaceDN w:val="0"/>
        <w:adjustRightInd w:val="0"/>
        <w:spacing w:after="0" w:line="240" w:lineRule="auto"/>
        <w:jc w:val="both"/>
        <w:rPr>
          <w:rFonts w:ascii="ChevinLight" w:hAnsi="ChevinLight" w:cs="ChevinLight"/>
          <w:color w:val="000000"/>
          <w:sz w:val="20"/>
          <w:szCs w:val="20"/>
        </w:rPr>
      </w:pPr>
      <w:r w:rsidRPr="002F00C6">
        <w:rPr>
          <w:rFonts w:ascii="ChevinLight" w:hAnsi="ChevinLight" w:cs="ChevinLight"/>
          <w:color w:val="000000"/>
          <w:sz w:val="20"/>
          <w:szCs w:val="20"/>
        </w:rPr>
        <w:t xml:space="preserve">Phone: </w:t>
      </w:r>
      <w:r w:rsidR="00343ADD" w:rsidRPr="00343ADD">
        <w:rPr>
          <w:rFonts w:ascii="ChevinLight" w:hAnsi="ChevinLight" w:cs="ChevinLight"/>
          <w:sz w:val="20"/>
          <w:szCs w:val="20"/>
        </w:rPr>
        <w:t>07483 421374</w:t>
      </w:r>
    </w:p>
    <w:p w14:paraId="025F27E2" w14:textId="77777777" w:rsidR="002F00C6" w:rsidRPr="002F00C6" w:rsidRDefault="002F00C6" w:rsidP="002F00C6">
      <w:pPr>
        <w:autoSpaceDE w:val="0"/>
        <w:autoSpaceDN w:val="0"/>
        <w:adjustRightInd w:val="0"/>
        <w:spacing w:after="0" w:line="240" w:lineRule="auto"/>
        <w:jc w:val="both"/>
        <w:rPr>
          <w:rFonts w:ascii="ChevinLight" w:hAnsi="ChevinLight" w:cs="ChevinLight"/>
          <w:color w:val="000000"/>
          <w:sz w:val="20"/>
          <w:szCs w:val="20"/>
        </w:rPr>
      </w:pPr>
      <w:r w:rsidRPr="002F00C6">
        <w:rPr>
          <w:rFonts w:ascii="ChevinLight" w:hAnsi="ChevinLight" w:cs="ChevinLight"/>
          <w:color w:val="000000"/>
          <w:sz w:val="20"/>
          <w:szCs w:val="20"/>
        </w:rPr>
        <w:t xml:space="preserve">Royal Mail press office: </w:t>
      </w:r>
      <w:hyperlink r:id="rId11" w:history="1">
        <w:r w:rsidRPr="002F00C6">
          <w:rPr>
            <w:rFonts w:ascii="ChevinLight" w:hAnsi="ChevinLight" w:cs="ChevinLight"/>
            <w:color w:val="0000FF"/>
            <w:sz w:val="20"/>
            <w:szCs w:val="20"/>
            <w:u w:val="single"/>
          </w:rPr>
          <w:t>press.office@royalmail.com</w:t>
        </w:r>
      </w:hyperlink>
    </w:p>
    <w:p w14:paraId="1789A9B3" w14:textId="221EDCE6" w:rsidR="002F00C6" w:rsidRDefault="002F00C6" w:rsidP="002F00C6">
      <w:pPr>
        <w:autoSpaceDE w:val="0"/>
        <w:autoSpaceDN w:val="0"/>
        <w:adjustRightInd w:val="0"/>
        <w:spacing w:after="0" w:line="240" w:lineRule="auto"/>
        <w:jc w:val="both"/>
        <w:rPr>
          <w:rFonts w:ascii="ChevinLight" w:hAnsi="ChevinLight" w:cs="ChevinLight"/>
          <w:b/>
          <w:bCs/>
          <w:color w:val="000000"/>
          <w:sz w:val="20"/>
          <w:szCs w:val="20"/>
        </w:rPr>
      </w:pPr>
    </w:p>
    <w:p w14:paraId="338C9052" w14:textId="77777777" w:rsidR="00D853BB" w:rsidRPr="00343ADD" w:rsidRDefault="00D853BB" w:rsidP="00D853BB">
      <w:pPr>
        <w:autoSpaceDE w:val="0"/>
        <w:autoSpaceDN w:val="0"/>
        <w:adjustRightInd w:val="0"/>
        <w:spacing w:after="0" w:line="240" w:lineRule="auto"/>
        <w:jc w:val="both"/>
        <w:rPr>
          <w:rFonts w:ascii="ChevinLight" w:hAnsi="ChevinLight" w:cs="ChevinLight"/>
          <w:color w:val="000000"/>
          <w:sz w:val="20"/>
          <w:szCs w:val="20"/>
        </w:rPr>
      </w:pPr>
      <w:r w:rsidRPr="00343ADD">
        <w:rPr>
          <w:rFonts w:ascii="ChevinLight" w:hAnsi="ChevinLight" w:cs="ChevinLight"/>
          <w:color w:val="000000"/>
          <w:sz w:val="20"/>
          <w:szCs w:val="20"/>
        </w:rPr>
        <w:t xml:space="preserve">Jenny Hall </w:t>
      </w:r>
    </w:p>
    <w:p w14:paraId="32895941" w14:textId="77777777" w:rsidR="00D853BB" w:rsidRPr="00343ADD" w:rsidRDefault="00D853BB" w:rsidP="00D853BB">
      <w:pPr>
        <w:autoSpaceDE w:val="0"/>
        <w:autoSpaceDN w:val="0"/>
        <w:adjustRightInd w:val="0"/>
        <w:spacing w:after="0" w:line="240" w:lineRule="auto"/>
        <w:jc w:val="both"/>
        <w:rPr>
          <w:rFonts w:ascii="ChevinLight" w:hAnsi="ChevinLight" w:cs="ChevinLight"/>
          <w:color w:val="000000"/>
          <w:sz w:val="20"/>
          <w:szCs w:val="20"/>
        </w:rPr>
      </w:pPr>
      <w:r w:rsidRPr="00343ADD">
        <w:rPr>
          <w:rFonts w:ascii="ChevinLight" w:hAnsi="ChevinLight" w:cs="ChevinLight"/>
          <w:color w:val="000000"/>
          <w:sz w:val="20"/>
          <w:szCs w:val="20"/>
        </w:rPr>
        <w:t>Phone: 07776 993 036</w:t>
      </w:r>
    </w:p>
    <w:p w14:paraId="150D1FE0" w14:textId="6F895A40" w:rsidR="00D853BB" w:rsidRPr="00D853BB" w:rsidRDefault="00D853BB" w:rsidP="00D853BB">
      <w:pPr>
        <w:autoSpaceDE w:val="0"/>
        <w:autoSpaceDN w:val="0"/>
        <w:adjustRightInd w:val="0"/>
        <w:spacing w:after="120" w:line="240" w:lineRule="auto"/>
        <w:jc w:val="both"/>
        <w:rPr>
          <w:rFonts w:cstheme="minorHAnsi"/>
          <w:color w:val="000000"/>
          <w:sz w:val="20"/>
          <w:szCs w:val="20"/>
        </w:rPr>
      </w:pPr>
      <w:r>
        <w:rPr>
          <w:rFonts w:cstheme="minorHAnsi"/>
          <w:color w:val="000000"/>
          <w:sz w:val="20"/>
          <w:szCs w:val="20"/>
        </w:rPr>
        <w:t xml:space="preserve">Email: </w:t>
      </w:r>
      <w:hyperlink r:id="rId12" w:history="1">
        <w:r>
          <w:rPr>
            <w:rStyle w:val="Hyperlink"/>
            <w:rFonts w:cstheme="minorHAnsi"/>
            <w:sz w:val="20"/>
            <w:szCs w:val="20"/>
          </w:rPr>
          <w:t>jenny.hall@royalmail.com</w:t>
        </w:r>
      </w:hyperlink>
    </w:p>
    <w:p w14:paraId="173FEC08" w14:textId="77777777" w:rsidR="002F00C6" w:rsidRPr="002F00C6" w:rsidRDefault="002F00C6" w:rsidP="002F00C6">
      <w:pPr>
        <w:autoSpaceDE w:val="0"/>
        <w:autoSpaceDN w:val="0"/>
        <w:adjustRightInd w:val="0"/>
        <w:spacing w:after="0" w:line="240" w:lineRule="auto"/>
        <w:jc w:val="both"/>
        <w:rPr>
          <w:rFonts w:ascii="ChevinLight" w:hAnsi="ChevinLight" w:cs="ChevinLight"/>
          <w:b/>
          <w:bCs/>
          <w:sz w:val="20"/>
          <w:szCs w:val="20"/>
        </w:rPr>
      </w:pPr>
      <w:r w:rsidRPr="002F00C6">
        <w:rPr>
          <w:rFonts w:ascii="ChevinLight" w:hAnsi="ChevinLight" w:cs="ChevinLight"/>
          <w:b/>
          <w:bCs/>
          <w:sz w:val="20"/>
          <w:szCs w:val="20"/>
        </w:rPr>
        <w:t>Company Secretary</w:t>
      </w:r>
    </w:p>
    <w:p w14:paraId="0A4EBBA3" w14:textId="77777777" w:rsidR="002F00C6" w:rsidRPr="002F00C6" w:rsidRDefault="002F00C6" w:rsidP="002F00C6">
      <w:pPr>
        <w:autoSpaceDE w:val="0"/>
        <w:autoSpaceDN w:val="0"/>
        <w:adjustRightInd w:val="0"/>
        <w:spacing w:after="0" w:line="240" w:lineRule="auto"/>
        <w:jc w:val="both"/>
        <w:rPr>
          <w:rFonts w:ascii="ChevinLight" w:hAnsi="ChevinLight" w:cs="ChevinLight"/>
          <w:color w:val="000000"/>
          <w:sz w:val="20"/>
          <w:szCs w:val="20"/>
        </w:rPr>
      </w:pPr>
      <w:r w:rsidRPr="002F00C6">
        <w:rPr>
          <w:rFonts w:ascii="ChevinLight" w:hAnsi="ChevinLight" w:cs="ChevinLight"/>
          <w:sz w:val="20"/>
          <w:szCs w:val="20"/>
        </w:rPr>
        <w:t>Mark Amsden</w:t>
      </w:r>
    </w:p>
    <w:p w14:paraId="2770E4A9" w14:textId="196F38D4" w:rsidR="00515A28" w:rsidRPr="00933AEB" w:rsidRDefault="002F00C6" w:rsidP="00933AEB">
      <w:pPr>
        <w:autoSpaceDE w:val="0"/>
        <w:autoSpaceDN w:val="0"/>
        <w:adjustRightInd w:val="0"/>
        <w:spacing w:after="0" w:line="240" w:lineRule="auto"/>
        <w:jc w:val="both"/>
        <w:rPr>
          <w:rFonts w:ascii="ChevinLight" w:hAnsi="ChevinLight" w:cs="ChevinLight"/>
          <w:color w:val="0000FF"/>
          <w:sz w:val="20"/>
          <w:szCs w:val="20"/>
        </w:rPr>
      </w:pPr>
      <w:r w:rsidRPr="002F00C6">
        <w:rPr>
          <w:rFonts w:ascii="ChevinLight" w:hAnsi="ChevinLight" w:cs="ChevinLight"/>
          <w:sz w:val="20"/>
          <w:szCs w:val="20"/>
        </w:rPr>
        <w:t>Email:</w:t>
      </w:r>
      <w:r w:rsidRPr="002F00C6">
        <w:rPr>
          <w:rFonts w:ascii="ChevinLight" w:hAnsi="ChevinLight" w:cs="ChevinLight"/>
          <w:color w:val="000000"/>
          <w:sz w:val="20"/>
          <w:szCs w:val="20"/>
        </w:rPr>
        <w:t xml:space="preserve"> </w:t>
      </w:r>
      <w:hyperlink r:id="rId13" w:history="1">
        <w:r w:rsidRPr="002F00C6">
          <w:rPr>
            <w:rFonts w:ascii="ChevinLight" w:hAnsi="ChevinLight" w:cs="ChevinLight"/>
            <w:color w:val="0000FF"/>
            <w:sz w:val="20"/>
            <w:szCs w:val="20"/>
            <w:u w:val="single"/>
          </w:rPr>
          <w:t>cosec@royalmail.com</w:t>
        </w:r>
      </w:hyperlink>
      <w:r w:rsidRPr="002F00C6">
        <w:rPr>
          <w:rFonts w:ascii="ChevinLight" w:hAnsi="ChevinLight" w:cs="ChevinLight"/>
          <w:color w:val="000000"/>
          <w:sz w:val="20"/>
          <w:szCs w:val="20"/>
        </w:rPr>
        <w:t xml:space="preserve"> </w:t>
      </w:r>
      <w:r w:rsidRPr="002F00C6">
        <w:rPr>
          <w:rFonts w:ascii="ChevinLight" w:hAnsi="ChevinLight" w:cs="ChevinLight"/>
          <w:color w:val="0000FF"/>
          <w:sz w:val="20"/>
          <w:szCs w:val="20"/>
        </w:rPr>
        <w:t> </w:t>
      </w:r>
    </w:p>
    <w:sectPr w:rsidR="00515A28" w:rsidRPr="00933AEB" w:rsidSect="0001396F">
      <w:headerReference w:type="default" r:id="rId14"/>
      <w:footerReference w:type="default" r:id="rId15"/>
      <w:pgSz w:w="11906" w:h="16838"/>
      <w:pgMar w:top="1134" w:right="1440" w:bottom="993" w:left="1440" w:header="27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BB8924" w14:textId="77777777" w:rsidR="007044E0" w:rsidRDefault="007044E0" w:rsidP="004E227F">
      <w:pPr>
        <w:spacing w:after="0" w:line="240" w:lineRule="auto"/>
      </w:pPr>
      <w:r>
        <w:separator/>
      </w:r>
    </w:p>
  </w:endnote>
  <w:endnote w:type="continuationSeparator" w:id="0">
    <w:p w14:paraId="590F040D" w14:textId="77777777" w:rsidR="007044E0" w:rsidRDefault="007044E0" w:rsidP="004E2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hevinLight">
    <w:panose1 w:val="02000300000000000000"/>
    <w:charset w:val="00"/>
    <w:family w:val="auto"/>
    <w:pitch w:val="variable"/>
    <w:sig w:usb0="80000027" w:usb1="0000004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D10FAD" w14:textId="1589A945" w:rsidR="004A7619" w:rsidRDefault="004A7619">
    <w:pPr>
      <w:pStyle w:val="Footer"/>
    </w:pPr>
    <w:r>
      <w:rPr>
        <w:noProof/>
      </w:rPr>
      <mc:AlternateContent>
        <mc:Choice Requires="wps">
          <w:drawing>
            <wp:anchor distT="0" distB="0" distL="114300" distR="114300" simplePos="0" relativeHeight="251659264" behindDoc="0" locked="0" layoutInCell="0" allowOverlap="1" wp14:anchorId="5D2F826C" wp14:editId="15D8F35D">
              <wp:simplePos x="0" y="0"/>
              <wp:positionH relativeFrom="page">
                <wp:posOffset>0</wp:posOffset>
              </wp:positionH>
              <wp:positionV relativeFrom="page">
                <wp:posOffset>10234930</wp:posOffset>
              </wp:positionV>
              <wp:extent cx="7560310" cy="266700"/>
              <wp:effectExtent l="0" t="0" r="0" b="0"/>
              <wp:wrapNone/>
              <wp:docPr id="1" name="MSIPCMac6b4674832c196852b47b7e" descr="{&quot;HashCode&quot;:-68532670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23642B" w14:textId="3EAA9043" w:rsidR="004A7619" w:rsidRPr="004A7619" w:rsidRDefault="004A7619" w:rsidP="004A7619">
                          <w:pPr>
                            <w:spacing w:after="0"/>
                            <w:rPr>
                              <w:rFonts w:ascii="Calibri" w:hAnsi="Calibri" w:cs="Calibri"/>
                              <w:color w:val="000000"/>
                              <w:sz w:val="20"/>
                            </w:rPr>
                          </w:pPr>
                          <w:r w:rsidRPr="004A7619">
                            <w:rPr>
                              <w:rFonts w:ascii="Calibri" w:hAnsi="Calibri" w:cs="Calibri"/>
                              <w:color w:val="000000"/>
                              <w:sz w:val="20"/>
                            </w:rPr>
                            <w:t>Classified: RMG – Internal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5D2F826C" id="_x0000_t202" coordsize="21600,21600" o:spt="202" path="m,l,21600r21600,l21600,xe">
              <v:stroke joinstyle="miter"/>
              <v:path gradientshapeok="t" o:connecttype="rect"/>
            </v:shapetype>
            <v:shape id="MSIPCMac6b4674832c196852b47b7e" o:spid="_x0000_s1026" type="#_x0000_t202" alt="{&quot;HashCode&quot;:-685326706,&quot;Height&quot;:841.0,&quot;Width&quot;:595.0,&quot;Placement&quot;:&quot;Footer&quot;,&quot;Index&quot;:&quot;Primary&quot;,&quot;Section&quot;:1,&quot;Top&quot;:0.0,&quot;Left&quot;:0.0}" style="position:absolute;margin-left:0;margin-top:805.9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" o:allowincell="f" filled="f" stroked="f" strokeweight=".5pt">
              <v:textbox inset="20pt,0,,0">
                <w:txbxContent>
                  <w:p w14:paraId="0F23642B" w14:textId="3EAA9043" w:rsidR="004A7619" w:rsidRPr="004A7619" w:rsidRDefault="004A7619" w:rsidP="004A7619">
                    <w:pPr>
                      <w:spacing w:after="0"/>
                      <w:rPr>
                        <w:rFonts w:ascii="Calibri" w:hAnsi="Calibri" w:cs="Calibri"/>
                        <w:color w:val="000000"/>
                        <w:sz w:val="20"/>
                      </w:rPr>
                    </w:pPr>
                    <w:r w:rsidRPr="004A7619">
                      <w:rPr>
                        <w:rFonts w:ascii="Calibri" w:hAnsi="Calibri" w:cs="Calibri"/>
                        <w:color w:val="000000"/>
                        <w:sz w:val="20"/>
                      </w:rPr>
                      <w:t>Classified: RMG – 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8D0E2E" w14:textId="77777777" w:rsidR="007044E0" w:rsidRDefault="007044E0" w:rsidP="004E227F">
      <w:pPr>
        <w:spacing w:after="0" w:line="240" w:lineRule="auto"/>
      </w:pPr>
      <w:r>
        <w:separator/>
      </w:r>
    </w:p>
  </w:footnote>
  <w:footnote w:type="continuationSeparator" w:id="0">
    <w:p w14:paraId="67DC7169" w14:textId="77777777" w:rsidR="007044E0" w:rsidRDefault="007044E0" w:rsidP="004E22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B45473" w14:textId="163D15CC" w:rsidR="00297EF1" w:rsidRPr="00727E01" w:rsidRDefault="00297EF1" w:rsidP="007F4585">
    <w:pPr>
      <w:pStyle w:val="Header"/>
      <w:jc w:val="center"/>
      <w:rPr>
        <w:b/>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2946D08"/>
    <w:multiLevelType w:val="hybridMultilevel"/>
    <w:tmpl w:val="3746C87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74A2"/>
    <w:rsid w:val="000000D8"/>
    <w:rsid w:val="00000870"/>
    <w:rsid w:val="0001396F"/>
    <w:rsid w:val="00034565"/>
    <w:rsid w:val="000371E6"/>
    <w:rsid w:val="000434FF"/>
    <w:rsid w:val="00052A3C"/>
    <w:rsid w:val="0005469A"/>
    <w:rsid w:val="0005769B"/>
    <w:rsid w:val="0007162E"/>
    <w:rsid w:val="00073767"/>
    <w:rsid w:val="000775B2"/>
    <w:rsid w:val="000A09B6"/>
    <w:rsid w:val="000F173E"/>
    <w:rsid w:val="001101DF"/>
    <w:rsid w:val="00112EF1"/>
    <w:rsid w:val="0012141C"/>
    <w:rsid w:val="00124E08"/>
    <w:rsid w:val="0012515E"/>
    <w:rsid w:val="00157566"/>
    <w:rsid w:val="00176FD9"/>
    <w:rsid w:val="00177900"/>
    <w:rsid w:val="001B52A3"/>
    <w:rsid w:val="001C4E5A"/>
    <w:rsid w:val="001D4502"/>
    <w:rsid w:val="001E5984"/>
    <w:rsid w:val="001E7FA8"/>
    <w:rsid w:val="001F1D9D"/>
    <w:rsid w:val="002279F3"/>
    <w:rsid w:val="00240E80"/>
    <w:rsid w:val="00247E15"/>
    <w:rsid w:val="002710A6"/>
    <w:rsid w:val="00271B91"/>
    <w:rsid w:val="002815C6"/>
    <w:rsid w:val="00297EF1"/>
    <w:rsid w:val="002A276F"/>
    <w:rsid w:val="002B45E8"/>
    <w:rsid w:val="002C78FD"/>
    <w:rsid w:val="002E10C7"/>
    <w:rsid w:val="002E15FA"/>
    <w:rsid w:val="002F00C6"/>
    <w:rsid w:val="002F6DC7"/>
    <w:rsid w:val="002F7440"/>
    <w:rsid w:val="0031437A"/>
    <w:rsid w:val="0031786D"/>
    <w:rsid w:val="00323D75"/>
    <w:rsid w:val="003371A0"/>
    <w:rsid w:val="00343ADD"/>
    <w:rsid w:val="0034437A"/>
    <w:rsid w:val="00354522"/>
    <w:rsid w:val="00364FDB"/>
    <w:rsid w:val="00371144"/>
    <w:rsid w:val="00394988"/>
    <w:rsid w:val="00394995"/>
    <w:rsid w:val="003D6FFD"/>
    <w:rsid w:val="003E1335"/>
    <w:rsid w:val="003E58EE"/>
    <w:rsid w:val="003E73D7"/>
    <w:rsid w:val="004030EF"/>
    <w:rsid w:val="004038E8"/>
    <w:rsid w:val="00421C82"/>
    <w:rsid w:val="00422206"/>
    <w:rsid w:val="0042284C"/>
    <w:rsid w:val="00430CB1"/>
    <w:rsid w:val="00461F5D"/>
    <w:rsid w:val="00462244"/>
    <w:rsid w:val="00462BBC"/>
    <w:rsid w:val="00471A7B"/>
    <w:rsid w:val="00496A40"/>
    <w:rsid w:val="004A7619"/>
    <w:rsid w:val="004B1DC4"/>
    <w:rsid w:val="004B6519"/>
    <w:rsid w:val="004D600D"/>
    <w:rsid w:val="004E227F"/>
    <w:rsid w:val="004F1938"/>
    <w:rsid w:val="004F53DD"/>
    <w:rsid w:val="00510C46"/>
    <w:rsid w:val="00515A28"/>
    <w:rsid w:val="0053063E"/>
    <w:rsid w:val="00567B71"/>
    <w:rsid w:val="00573FF1"/>
    <w:rsid w:val="00593192"/>
    <w:rsid w:val="005B4629"/>
    <w:rsid w:val="005C0BF2"/>
    <w:rsid w:val="00607EFE"/>
    <w:rsid w:val="00640B48"/>
    <w:rsid w:val="006555FA"/>
    <w:rsid w:val="00673CD4"/>
    <w:rsid w:val="006B5733"/>
    <w:rsid w:val="006F642E"/>
    <w:rsid w:val="007044E0"/>
    <w:rsid w:val="007142FC"/>
    <w:rsid w:val="00727E01"/>
    <w:rsid w:val="0073718F"/>
    <w:rsid w:val="007407EE"/>
    <w:rsid w:val="00744980"/>
    <w:rsid w:val="007674A2"/>
    <w:rsid w:val="007A3FF3"/>
    <w:rsid w:val="007D7766"/>
    <w:rsid w:val="007E1E68"/>
    <w:rsid w:val="007E2F9F"/>
    <w:rsid w:val="007F4585"/>
    <w:rsid w:val="007F5DAE"/>
    <w:rsid w:val="00804187"/>
    <w:rsid w:val="008109BA"/>
    <w:rsid w:val="00812E76"/>
    <w:rsid w:val="008171A8"/>
    <w:rsid w:val="00817E1F"/>
    <w:rsid w:val="00831C91"/>
    <w:rsid w:val="00835D8C"/>
    <w:rsid w:val="00857129"/>
    <w:rsid w:val="00871FBE"/>
    <w:rsid w:val="00884843"/>
    <w:rsid w:val="008B241F"/>
    <w:rsid w:val="008C2CEB"/>
    <w:rsid w:val="008D0D08"/>
    <w:rsid w:val="008F1650"/>
    <w:rsid w:val="008F6310"/>
    <w:rsid w:val="00910F7E"/>
    <w:rsid w:val="00933AEB"/>
    <w:rsid w:val="0093632C"/>
    <w:rsid w:val="00937F47"/>
    <w:rsid w:val="0094482F"/>
    <w:rsid w:val="00945A21"/>
    <w:rsid w:val="009837EA"/>
    <w:rsid w:val="00990EA7"/>
    <w:rsid w:val="009A1217"/>
    <w:rsid w:val="009A4592"/>
    <w:rsid w:val="009D2238"/>
    <w:rsid w:val="00A41329"/>
    <w:rsid w:val="00AA5C61"/>
    <w:rsid w:val="00AB76A9"/>
    <w:rsid w:val="00B03C02"/>
    <w:rsid w:val="00B260BB"/>
    <w:rsid w:val="00B300A7"/>
    <w:rsid w:val="00B577C5"/>
    <w:rsid w:val="00B9355C"/>
    <w:rsid w:val="00B96A08"/>
    <w:rsid w:val="00BA3BBB"/>
    <w:rsid w:val="00BA75EE"/>
    <w:rsid w:val="00BB65BF"/>
    <w:rsid w:val="00BC4ECB"/>
    <w:rsid w:val="00BC5443"/>
    <w:rsid w:val="00BE2214"/>
    <w:rsid w:val="00C119E9"/>
    <w:rsid w:val="00C2541A"/>
    <w:rsid w:val="00C33DD1"/>
    <w:rsid w:val="00C461A3"/>
    <w:rsid w:val="00C67153"/>
    <w:rsid w:val="00C77642"/>
    <w:rsid w:val="00C8130A"/>
    <w:rsid w:val="00CB2F30"/>
    <w:rsid w:val="00CC7247"/>
    <w:rsid w:val="00CC768E"/>
    <w:rsid w:val="00D52F80"/>
    <w:rsid w:val="00D705CF"/>
    <w:rsid w:val="00D8418F"/>
    <w:rsid w:val="00D853BB"/>
    <w:rsid w:val="00D8769B"/>
    <w:rsid w:val="00D94131"/>
    <w:rsid w:val="00DB4DE6"/>
    <w:rsid w:val="00DB58E8"/>
    <w:rsid w:val="00DD517E"/>
    <w:rsid w:val="00DD7CCD"/>
    <w:rsid w:val="00DF5103"/>
    <w:rsid w:val="00E2043E"/>
    <w:rsid w:val="00E25F11"/>
    <w:rsid w:val="00E73856"/>
    <w:rsid w:val="00E771D7"/>
    <w:rsid w:val="00EA6161"/>
    <w:rsid w:val="00EA7D37"/>
    <w:rsid w:val="00EB0773"/>
    <w:rsid w:val="00ED63A9"/>
    <w:rsid w:val="00EE4E9A"/>
    <w:rsid w:val="00EE546A"/>
    <w:rsid w:val="00F17DDA"/>
    <w:rsid w:val="00F25648"/>
    <w:rsid w:val="00F33021"/>
    <w:rsid w:val="00F52926"/>
    <w:rsid w:val="00F55F4C"/>
    <w:rsid w:val="00F76E58"/>
    <w:rsid w:val="00F9092D"/>
    <w:rsid w:val="00F917AA"/>
    <w:rsid w:val="00FC26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5DEBE43D"/>
  <w15:docId w15:val="{007A42B8-9E8F-4E25-9262-2E8035A4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v">
    <w:name w:val="bv"/>
    <w:basedOn w:val="Normal"/>
    <w:rsid w:val="007674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w">
    <w:name w:val="bw"/>
    <w:basedOn w:val="Normal"/>
    <w:rsid w:val="007674A2"/>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bx">
    <w:name w:val="bx"/>
    <w:basedOn w:val="Normal"/>
    <w:rsid w:val="007674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7674A2"/>
  </w:style>
  <w:style w:type="paragraph" w:customStyle="1" w:styleId="by">
    <w:name w:val="by"/>
    <w:basedOn w:val="Normal"/>
    <w:rsid w:val="007674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bz">
    <w:name w:val="bz"/>
    <w:basedOn w:val="DefaultParagraphFont"/>
    <w:rsid w:val="007674A2"/>
  </w:style>
  <w:style w:type="paragraph" w:customStyle="1" w:styleId="cb">
    <w:name w:val="cb"/>
    <w:basedOn w:val="Normal"/>
    <w:rsid w:val="007674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74A2"/>
    <w:rPr>
      <w:color w:val="0000FF"/>
      <w:u w:val="single"/>
    </w:rPr>
  </w:style>
  <w:style w:type="character" w:customStyle="1" w:styleId="aw">
    <w:name w:val="aw"/>
    <w:basedOn w:val="DefaultParagraphFont"/>
    <w:rsid w:val="007674A2"/>
  </w:style>
  <w:style w:type="paragraph" w:customStyle="1" w:styleId="cc">
    <w:name w:val="cc"/>
    <w:basedOn w:val="Normal"/>
    <w:rsid w:val="007674A2"/>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v">
    <w:name w:val="av"/>
    <w:basedOn w:val="DefaultParagraphFont"/>
    <w:rsid w:val="007674A2"/>
  </w:style>
  <w:style w:type="paragraph" w:styleId="ListParagraph">
    <w:name w:val="List Paragraph"/>
    <w:basedOn w:val="Normal"/>
    <w:uiPriority w:val="34"/>
    <w:qFormat/>
    <w:rsid w:val="007674A2"/>
    <w:pPr>
      <w:ind w:left="720"/>
      <w:contextualSpacing/>
    </w:pPr>
  </w:style>
  <w:style w:type="paragraph" w:styleId="BalloonText">
    <w:name w:val="Balloon Text"/>
    <w:basedOn w:val="Normal"/>
    <w:link w:val="BalloonTextChar"/>
    <w:uiPriority w:val="99"/>
    <w:semiHidden/>
    <w:unhideWhenUsed/>
    <w:rsid w:val="008848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843"/>
    <w:rPr>
      <w:rFonts w:ascii="Tahoma" w:hAnsi="Tahoma" w:cs="Tahoma"/>
      <w:sz w:val="16"/>
      <w:szCs w:val="16"/>
    </w:rPr>
  </w:style>
  <w:style w:type="paragraph" w:styleId="Header">
    <w:name w:val="header"/>
    <w:basedOn w:val="Normal"/>
    <w:link w:val="HeaderChar"/>
    <w:uiPriority w:val="99"/>
    <w:unhideWhenUsed/>
    <w:rsid w:val="004E22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E227F"/>
  </w:style>
  <w:style w:type="paragraph" w:styleId="Footer">
    <w:name w:val="footer"/>
    <w:basedOn w:val="Normal"/>
    <w:link w:val="FooterChar"/>
    <w:uiPriority w:val="99"/>
    <w:unhideWhenUsed/>
    <w:rsid w:val="004E22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E227F"/>
  </w:style>
  <w:style w:type="character" w:styleId="CommentReference">
    <w:name w:val="annotation reference"/>
    <w:basedOn w:val="DefaultParagraphFont"/>
    <w:uiPriority w:val="99"/>
    <w:semiHidden/>
    <w:unhideWhenUsed/>
    <w:rsid w:val="001E7FA8"/>
    <w:rPr>
      <w:sz w:val="16"/>
      <w:szCs w:val="16"/>
    </w:rPr>
  </w:style>
  <w:style w:type="paragraph" w:styleId="CommentText">
    <w:name w:val="annotation text"/>
    <w:basedOn w:val="Normal"/>
    <w:link w:val="CommentTextChar"/>
    <w:uiPriority w:val="99"/>
    <w:semiHidden/>
    <w:unhideWhenUsed/>
    <w:rsid w:val="001E7FA8"/>
    <w:pPr>
      <w:spacing w:line="240" w:lineRule="auto"/>
    </w:pPr>
    <w:rPr>
      <w:sz w:val="20"/>
      <w:szCs w:val="20"/>
    </w:rPr>
  </w:style>
  <w:style w:type="character" w:customStyle="1" w:styleId="CommentTextChar">
    <w:name w:val="Comment Text Char"/>
    <w:basedOn w:val="DefaultParagraphFont"/>
    <w:link w:val="CommentText"/>
    <w:uiPriority w:val="99"/>
    <w:semiHidden/>
    <w:rsid w:val="001E7FA8"/>
    <w:rPr>
      <w:sz w:val="20"/>
      <w:szCs w:val="20"/>
    </w:rPr>
  </w:style>
  <w:style w:type="paragraph" w:styleId="CommentSubject">
    <w:name w:val="annotation subject"/>
    <w:basedOn w:val="CommentText"/>
    <w:next w:val="CommentText"/>
    <w:link w:val="CommentSubjectChar"/>
    <w:uiPriority w:val="99"/>
    <w:semiHidden/>
    <w:unhideWhenUsed/>
    <w:rsid w:val="001E7FA8"/>
    <w:rPr>
      <w:b/>
      <w:bCs/>
    </w:rPr>
  </w:style>
  <w:style w:type="character" w:customStyle="1" w:styleId="CommentSubjectChar">
    <w:name w:val="Comment Subject Char"/>
    <w:basedOn w:val="CommentTextChar"/>
    <w:link w:val="CommentSubject"/>
    <w:uiPriority w:val="99"/>
    <w:semiHidden/>
    <w:rsid w:val="001E7FA8"/>
    <w:rPr>
      <w:b/>
      <w:bCs/>
      <w:sz w:val="20"/>
      <w:szCs w:val="20"/>
    </w:rPr>
  </w:style>
  <w:style w:type="paragraph" w:styleId="Revision">
    <w:name w:val="Revision"/>
    <w:hidden/>
    <w:uiPriority w:val="99"/>
    <w:semiHidden/>
    <w:rsid w:val="001E7FA8"/>
    <w:pPr>
      <w:spacing w:after="0" w:line="240" w:lineRule="auto"/>
    </w:pPr>
  </w:style>
  <w:style w:type="paragraph" w:customStyle="1" w:styleId="ba">
    <w:name w:val="ba"/>
    <w:basedOn w:val="Normal"/>
    <w:rsid w:val="00ED63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
    <w:name w:val="p"/>
    <w:basedOn w:val="DefaultParagraphFont"/>
    <w:rsid w:val="00ED63A9"/>
  </w:style>
  <w:style w:type="paragraph" w:customStyle="1" w:styleId="bb">
    <w:name w:val="bb"/>
    <w:basedOn w:val="Normal"/>
    <w:rsid w:val="00ED63A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k">
    <w:name w:val="ak"/>
    <w:basedOn w:val="DefaultParagraphFont"/>
    <w:rsid w:val="00ED63A9"/>
  </w:style>
  <w:style w:type="character" w:customStyle="1" w:styleId="n">
    <w:name w:val="n"/>
    <w:basedOn w:val="DefaultParagraphFont"/>
    <w:rsid w:val="00ED63A9"/>
  </w:style>
  <w:style w:type="character" w:customStyle="1" w:styleId="is">
    <w:name w:val="is"/>
    <w:basedOn w:val="DefaultParagraphFont"/>
    <w:rsid w:val="00573FF1"/>
  </w:style>
  <w:style w:type="character" w:styleId="BookTitle">
    <w:name w:val="Book Title"/>
    <w:basedOn w:val="DefaultParagraphFont"/>
    <w:uiPriority w:val="33"/>
    <w:qFormat/>
    <w:rsid w:val="00C2541A"/>
    <w:rPr>
      <w:b/>
      <w:bCs/>
      <w:i/>
      <w:iCs/>
      <w:spacing w:val="5"/>
    </w:rPr>
  </w:style>
  <w:style w:type="character" w:styleId="UnresolvedMention">
    <w:name w:val="Unresolved Mention"/>
    <w:basedOn w:val="DefaultParagraphFont"/>
    <w:uiPriority w:val="99"/>
    <w:semiHidden/>
    <w:unhideWhenUsed/>
    <w:rsid w:val="00C461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2409790">
      <w:bodyDiv w:val="1"/>
      <w:marLeft w:val="0"/>
      <w:marRight w:val="0"/>
      <w:marTop w:val="0"/>
      <w:marBottom w:val="0"/>
      <w:divBdr>
        <w:top w:val="none" w:sz="0" w:space="0" w:color="auto"/>
        <w:left w:val="none" w:sz="0" w:space="0" w:color="auto"/>
        <w:bottom w:val="none" w:sz="0" w:space="0" w:color="auto"/>
        <w:right w:val="none" w:sz="0" w:space="0" w:color="auto"/>
      </w:divBdr>
    </w:div>
    <w:div w:id="859202837">
      <w:bodyDiv w:val="1"/>
      <w:marLeft w:val="0"/>
      <w:marRight w:val="0"/>
      <w:marTop w:val="0"/>
      <w:marBottom w:val="0"/>
      <w:divBdr>
        <w:top w:val="none" w:sz="0" w:space="0" w:color="auto"/>
        <w:left w:val="none" w:sz="0" w:space="0" w:color="auto"/>
        <w:bottom w:val="none" w:sz="0" w:space="0" w:color="auto"/>
        <w:right w:val="none" w:sz="0" w:space="0" w:color="auto"/>
      </w:divBdr>
    </w:div>
    <w:div w:id="889537943">
      <w:bodyDiv w:val="1"/>
      <w:marLeft w:val="0"/>
      <w:marRight w:val="0"/>
      <w:marTop w:val="0"/>
      <w:marBottom w:val="0"/>
      <w:divBdr>
        <w:top w:val="none" w:sz="0" w:space="0" w:color="auto"/>
        <w:left w:val="none" w:sz="0" w:space="0" w:color="auto"/>
        <w:bottom w:val="none" w:sz="0" w:space="0" w:color="auto"/>
        <w:right w:val="none" w:sz="0" w:space="0" w:color="auto"/>
      </w:divBdr>
    </w:div>
    <w:div w:id="1170683740">
      <w:bodyDiv w:val="1"/>
      <w:marLeft w:val="0"/>
      <w:marRight w:val="0"/>
      <w:marTop w:val="0"/>
      <w:marBottom w:val="0"/>
      <w:divBdr>
        <w:top w:val="none" w:sz="0" w:space="0" w:color="auto"/>
        <w:left w:val="none" w:sz="0" w:space="0" w:color="auto"/>
        <w:bottom w:val="none" w:sz="0" w:space="0" w:color="auto"/>
        <w:right w:val="none" w:sz="0" w:space="0" w:color="auto"/>
      </w:divBdr>
    </w:div>
    <w:div w:id="1387604622">
      <w:bodyDiv w:val="1"/>
      <w:marLeft w:val="0"/>
      <w:marRight w:val="0"/>
      <w:marTop w:val="0"/>
      <w:marBottom w:val="0"/>
      <w:divBdr>
        <w:top w:val="none" w:sz="0" w:space="0" w:color="auto"/>
        <w:left w:val="none" w:sz="0" w:space="0" w:color="auto"/>
        <w:bottom w:val="none" w:sz="0" w:space="0" w:color="auto"/>
        <w:right w:val="none" w:sz="0" w:space="0" w:color="auto"/>
      </w:divBdr>
    </w:div>
    <w:div w:id="1482621814">
      <w:bodyDiv w:val="1"/>
      <w:marLeft w:val="0"/>
      <w:marRight w:val="0"/>
      <w:marTop w:val="0"/>
      <w:marBottom w:val="0"/>
      <w:divBdr>
        <w:top w:val="none" w:sz="0" w:space="0" w:color="auto"/>
        <w:left w:val="none" w:sz="0" w:space="0" w:color="auto"/>
        <w:bottom w:val="none" w:sz="0" w:space="0" w:color="auto"/>
        <w:right w:val="none" w:sz="0" w:space="0" w:color="auto"/>
      </w:divBdr>
    </w:div>
    <w:div w:id="1507867908">
      <w:bodyDiv w:val="1"/>
      <w:marLeft w:val="0"/>
      <w:marRight w:val="0"/>
      <w:marTop w:val="0"/>
      <w:marBottom w:val="0"/>
      <w:divBdr>
        <w:top w:val="none" w:sz="0" w:space="0" w:color="auto"/>
        <w:left w:val="none" w:sz="0" w:space="0" w:color="auto"/>
        <w:bottom w:val="none" w:sz="0" w:space="0" w:color="auto"/>
        <w:right w:val="none" w:sz="0" w:space="0" w:color="auto"/>
      </w:divBdr>
    </w:div>
    <w:div w:id="1745761390">
      <w:bodyDiv w:val="1"/>
      <w:marLeft w:val="0"/>
      <w:marRight w:val="0"/>
      <w:marTop w:val="0"/>
      <w:marBottom w:val="0"/>
      <w:divBdr>
        <w:top w:val="none" w:sz="0" w:space="0" w:color="auto"/>
        <w:left w:val="none" w:sz="0" w:space="0" w:color="auto"/>
        <w:bottom w:val="none" w:sz="0" w:space="0" w:color="auto"/>
        <w:right w:val="none" w:sz="0" w:space="0" w:color="auto"/>
      </w:divBdr>
    </w:div>
    <w:div w:id="1752968994">
      <w:bodyDiv w:val="1"/>
      <w:marLeft w:val="0"/>
      <w:marRight w:val="0"/>
      <w:marTop w:val="0"/>
      <w:marBottom w:val="0"/>
      <w:divBdr>
        <w:top w:val="none" w:sz="0" w:space="0" w:color="auto"/>
        <w:left w:val="none" w:sz="0" w:space="0" w:color="auto"/>
        <w:bottom w:val="none" w:sz="0" w:space="0" w:color="auto"/>
        <w:right w:val="none" w:sz="0" w:space="0" w:color="auto"/>
      </w:divBdr>
    </w:div>
    <w:div w:id="1862863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ata.fca.org.uk/" TargetMode="External"/><Relationship Id="rId13" Type="http://schemas.openxmlformats.org/officeDocument/2006/relationships/hyperlink" Target="mailto:cosec@royal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enny.hall@royalmail.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ress.office@royalmail.c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investorrelations@royalmail.com" TargetMode="External"/><Relationship Id="rId4" Type="http://schemas.openxmlformats.org/officeDocument/2006/relationships/settings" Target="settings.xml"/><Relationship Id="rId9" Type="http://schemas.openxmlformats.org/officeDocument/2006/relationships/hyperlink" Target="http://www.royalmailgroup.com/en/investors/annual-general-meeting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381CFF-B7C3-4A2D-8DE3-38366E5C0B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764</Words>
  <Characters>4528</Characters>
  <Application>Microsoft Office Word</Application>
  <DocSecurity>0</DocSecurity>
  <Lines>566</Lines>
  <Paragraphs>407</Paragraphs>
  <ScaleCrop>false</ScaleCrop>
  <HeadingPairs>
    <vt:vector size="2" baseType="variant">
      <vt:variant>
        <vt:lpstr>Title</vt:lpstr>
      </vt:variant>
      <vt:variant>
        <vt:i4>1</vt:i4>
      </vt:variant>
    </vt:vector>
  </HeadingPairs>
  <TitlesOfParts>
    <vt:vector size="1" baseType="lpstr">
      <vt:lpstr/>
    </vt:vector>
  </TitlesOfParts>
  <Company>RMG</Company>
  <LinksUpToDate>false</LinksUpToDate>
  <CharactersWithSpaces>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Newell</dc:creator>
  <cp:lastModifiedBy>Lisa Kniveton</cp:lastModifiedBy>
  <cp:revision>3</cp:revision>
  <cp:lastPrinted>2019-07-17T18:41:00Z</cp:lastPrinted>
  <dcterms:created xsi:type="dcterms:W3CDTF">2022-07-20T12:33:00Z</dcterms:created>
  <dcterms:modified xsi:type="dcterms:W3CDTF">2022-07-20T12:34:00Z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980f36f3-41a5-4f45-a6a2-e224f336accd_Enabled">
    <vt:lpwstr>true</vt:lpwstr>
  </property>
  <property fmtid="{D5CDD505-2E9C-101B-9397-08002B2CF9AE}" pid="4" name="MSIP_Label_980f36f3-41a5-4f45-a6a2-e224f336accd_SetDate">
    <vt:lpwstr>2022-07-20T12:34:06Z</vt:lpwstr>
  </property>
  <property fmtid="{D5CDD505-2E9C-101B-9397-08002B2CF9AE}" pid="5" name="MSIP_Label_980f36f3-41a5-4f45-a6a2-e224f336accd_Method">
    <vt:lpwstr>Standard</vt:lpwstr>
  </property>
  <property fmtid="{D5CDD505-2E9C-101B-9397-08002B2CF9AE}" pid="6" name="MSIP_Label_980f36f3-41a5-4f45-a6a2-e224f336accd_Name">
    <vt:lpwstr>980f36f3-41a5-4f45-a6a2-e224f336accd</vt:lpwstr>
  </property>
  <property fmtid="{D5CDD505-2E9C-101B-9397-08002B2CF9AE}" pid="7" name="MSIP_Label_980f36f3-41a5-4f45-a6a2-e224f336accd_SiteId">
    <vt:lpwstr>7a082108-90dd-41ac-be41-9b8feabee2da</vt:lpwstr>
  </property>
  <property fmtid="{D5CDD505-2E9C-101B-9397-08002B2CF9AE}" pid="8" name="MSIP_Label_980f36f3-41a5-4f45-a6a2-e224f336accd_ActionId">
    <vt:lpwstr/>
  </property>
  <property fmtid="{D5CDD505-2E9C-101B-9397-08002B2CF9AE}" pid="9" name="MSIP_Label_980f36f3-41a5-4f45-a6a2-e224f336accd_ContentBits">
    <vt:lpwstr>2</vt:lpwstr>
  </property>
</Properties>
</file>