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A45" w:rsidRPr="00994F23"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RESUMEN DE ACUERDOS ADOPTADOS EN LA </w:t>
      </w:r>
    </w:p>
    <w:p w:rsidR="00671EED"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ASAMBLEA GENERAL ORDINARIA </w:t>
      </w:r>
      <w:r w:rsidR="00671EED">
        <w:rPr>
          <w:rFonts w:ascii="Arial" w:hAnsi="Arial" w:cs="Arial"/>
          <w:b/>
          <w:bCs/>
          <w:sz w:val="22"/>
          <w:szCs w:val="22"/>
        </w:rPr>
        <w:t xml:space="preserve">Y EXTRAORDINARIA </w:t>
      </w:r>
    </w:p>
    <w:p w:rsidR="00671EED" w:rsidRDefault="002F6A45">
      <w:pPr>
        <w:pStyle w:val="Textoindependiente2"/>
        <w:jc w:val="center"/>
        <w:rPr>
          <w:rFonts w:ascii="Arial" w:hAnsi="Arial" w:cs="Arial"/>
          <w:b/>
          <w:bCs/>
          <w:sz w:val="22"/>
          <w:szCs w:val="22"/>
        </w:rPr>
      </w:pPr>
      <w:r w:rsidRPr="00994F23">
        <w:rPr>
          <w:rFonts w:ascii="Arial" w:hAnsi="Arial" w:cs="Arial"/>
          <w:b/>
          <w:bCs/>
          <w:sz w:val="22"/>
          <w:szCs w:val="22"/>
        </w:rPr>
        <w:t xml:space="preserve">DE ACCIONISTAS DE GRUPO FINANCIERO INTERACCIONES, </w:t>
      </w:r>
    </w:p>
    <w:p w:rsidR="002F6A45" w:rsidRDefault="002F6A45">
      <w:pPr>
        <w:pStyle w:val="Textoindependiente2"/>
        <w:jc w:val="center"/>
        <w:rPr>
          <w:rFonts w:ascii="Arial" w:hAnsi="Arial" w:cs="Arial"/>
          <w:b/>
          <w:bCs/>
          <w:sz w:val="22"/>
          <w:szCs w:val="22"/>
        </w:rPr>
      </w:pPr>
      <w:r w:rsidRPr="00994F23">
        <w:rPr>
          <w:rFonts w:ascii="Arial" w:hAnsi="Arial" w:cs="Arial"/>
          <w:b/>
          <w:bCs/>
          <w:sz w:val="22"/>
          <w:szCs w:val="22"/>
        </w:rPr>
        <w:t>S.A.</w:t>
      </w:r>
      <w:r w:rsidR="00355520" w:rsidRPr="00994F23">
        <w:rPr>
          <w:rFonts w:ascii="Arial" w:hAnsi="Arial" w:cs="Arial"/>
          <w:b/>
          <w:bCs/>
          <w:sz w:val="22"/>
          <w:szCs w:val="22"/>
        </w:rPr>
        <w:t>B.</w:t>
      </w:r>
      <w:r w:rsidRPr="00994F23">
        <w:rPr>
          <w:rFonts w:ascii="Arial" w:hAnsi="Arial" w:cs="Arial"/>
          <w:b/>
          <w:bCs/>
          <w:sz w:val="22"/>
          <w:szCs w:val="22"/>
        </w:rPr>
        <w:t xml:space="preserve"> DE C.V., CELEBRADA EL DÍA </w:t>
      </w:r>
      <w:r w:rsidR="00671EED">
        <w:rPr>
          <w:rFonts w:ascii="Arial" w:hAnsi="Arial" w:cs="Arial"/>
          <w:b/>
          <w:bCs/>
          <w:sz w:val="22"/>
          <w:szCs w:val="22"/>
        </w:rPr>
        <w:t>4</w:t>
      </w:r>
      <w:r w:rsidRPr="00994F23">
        <w:rPr>
          <w:rFonts w:ascii="Arial" w:hAnsi="Arial" w:cs="Arial"/>
          <w:b/>
          <w:bCs/>
          <w:sz w:val="22"/>
          <w:szCs w:val="22"/>
        </w:rPr>
        <w:t xml:space="preserve"> DE </w:t>
      </w:r>
      <w:r w:rsidR="00671EED">
        <w:rPr>
          <w:rFonts w:ascii="Arial" w:hAnsi="Arial" w:cs="Arial"/>
          <w:b/>
          <w:bCs/>
          <w:sz w:val="22"/>
          <w:szCs w:val="22"/>
        </w:rPr>
        <w:t>JULIO</w:t>
      </w:r>
      <w:r w:rsidRPr="00994F23">
        <w:rPr>
          <w:rFonts w:ascii="Arial" w:hAnsi="Arial" w:cs="Arial"/>
          <w:b/>
          <w:bCs/>
          <w:sz w:val="22"/>
          <w:szCs w:val="22"/>
        </w:rPr>
        <w:t xml:space="preserve"> DE 20</w:t>
      </w:r>
      <w:r w:rsidR="003B5DDE" w:rsidRPr="00994F23">
        <w:rPr>
          <w:rFonts w:ascii="Arial" w:hAnsi="Arial" w:cs="Arial"/>
          <w:b/>
          <w:bCs/>
          <w:sz w:val="22"/>
          <w:szCs w:val="22"/>
        </w:rPr>
        <w:t>1</w:t>
      </w:r>
      <w:r w:rsidR="00671EED">
        <w:rPr>
          <w:rFonts w:ascii="Arial" w:hAnsi="Arial" w:cs="Arial"/>
          <w:b/>
          <w:bCs/>
          <w:sz w:val="22"/>
          <w:szCs w:val="22"/>
        </w:rPr>
        <w:t>8</w:t>
      </w:r>
    </w:p>
    <w:p w:rsidR="00671EED" w:rsidRPr="00994F23" w:rsidRDefault="00671EED">
      <w:pPr>
        <w:pStyle w:val="Textoindependiente2"/>
        <w:jc w:val="center"/>
        <w:rPr>
          <w:rFonts w:ascii="Arial" w:hAnsi="Arial" w:cs="Arial"/>
          <w:b/>
          <w:bCs/>
          <w:sz w:val="22"/>
          <w:szCs w:val="22"/>
        </w:rPr>
      </w:pPr>
      <w:r>
        <w:rPr>
          <w:rFonts w:ascii="Arial" w:hAnsi="Arial" w:cs="Arial"/>
          <w:b/>
          <w:bCs/>
          <w:sz w:val="22"/>
          <w:szCs w:val="22"/>
        </w:rPr>
        <w:t>A LAS 12:30 HORAS</w:t>
      </w:r>
    </w:p>
    <w:p w:rsidR="00355520" w:rsidRPr="00994F23" w:rsidRDefault="00355520" w:rsidP="00994F23">
      <w:pPr>
        <w:jc w:val="center"/>
        <w:rPr>
          <w:rFonts w:ascii="Arial" w:hAnsi="Arial" w:cs="Arial"/>
          <w:b/>
          <w:sz w:val="22"/>
          <w:szCs w:val="22"/>
          <w:lang w:val="es-ES"/>
        </w:rPr>
      </w:pPr>
    </w:p>
    <w:p w:rsidR="00994F23" w:rsidRPr="00994F23" w:rsidRDefault="00671EED" w:rsidP="00994F23">
      <w:pPr>
        <w:jc w:val="center"/>
        <w:rPr>
          <w:rFonts w:ascii="Arial" w:hAnsi="Arial" w:cs="Arial"/>
          <w:b/>
          <w:sz w:val="22"/>
          <w:szCs w:val="22"/>
          <w:lang w:val="es-ES"/>
        </w:rPr>
      </w:pPr>
      <w:r>
        <w:rPr>
          <w:rFonts w:ascii="Arial" w:hAnsi="Arial" w:cs="Arial"/>
          <w:b/>
          <w:sz w:val="22"/>
          <w:szCs w:val="22"/>
          <w:lang w:val="es-ES"/>
        </w:rPr>
        <w:t>RESOLUCIONES:</w:t>
      </w:r>
      <w:bookmarkStart w:id="0" w:name="_GoBack"/>
      <w:bookmarkEnd w:id="0"/>
    </w:p>
    <w:p w:rsidR="00671EED" w:rsidRDefault="00671EED" w:rsidP="00766EF1">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 xml:space="preserve">I.1 </w:t>
      </w:r>
      <w:r w:rsidRPr="00671EED">
        <w:rPr>
          <w:rFonts w:ascii="Arial" w:hAnsi="Arial" w:cs="Arial"/>
          <w:sz w:val="22"/>
          <w:szCs w:val="22"/>
          <w:lang w:val="es-ES"/>
        </w:rPr>
        <w:tab/>
        <w:t>“Se aprueban los estados financieros y la información financiera de la Sociedad al 30 de abril del 2018, los cuales reflejan que: (i) la cuenta de “Capital Social”, tiene un saldo a esta fecha de $2,346’213,573.778410 M.N. (dos mil trescientos cuarenta y seis millones doscientos trece mil quinientos setenta y tres Pesos 778410/100, moneda nacional); (ii) la cuenta “Resultado de Ejercicios Anteriores”, tiene un saldo a esta fecha de $11,569’656, 119.00 M.N. (once mil quinientos sesenta y nueve millones seiscientos cincuenta y seis mil ciento diecinueve Pesos 00/100, moneda nacional), y (iii) la cuenta “Resultado Neto” tiene un saldo a la fecha de $753’566,094.00 M.N. (setecientos cincuenta y tres millones quinientos sesenta y seis mil noventa y cuatro Pesos 00/100, moneda nacional). Copia de los estados financieros y de dicha información financiera se agregan al apéndice de la presente acta como Anexo “4”.”</w:t>
      </w:r>
    </w:p>
    <w:p w:rsidR="00671EED" w:rsidRPr="00671EED" w:rsidRDefault="00671EED" w:rsidP="00766EF1">
      <w:pPr>
        <w:jc w:val="both"/>
        <w:rPr>
          <w:rFonts w:ascii="Arial" w:hAnsi="Arial" w:cs="Arial"/>
          <w:b/>
          <w:sz w:val="22"/>
          <w:szCs w:val="22"/>
          <w:lang w:val="es-ES"/>
        </w:rPr>
      </w:pPr>
    </w:p>
    <w:p w:rsidR="00671EED" w:rsidRDefault="00671EED" w:rsidP="00766EF1">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II.1</w:t>
      </w:r>
      <w:r w:rsidRPr="00671EED">
        <w:rPr>
          <w:rFonts w:ascii="Arial" w:hAnsi="Arial" w:cs="Arial"/>
          <w:sz w:val="22"/>
          <w:szCs w:val="22"/>
          <w:lang w:val="es-ES"/>
        </w:rPr>
        <w:tab/>
        <w:t>“Se aprueba llevar a cabo un reembolso a los accionistas de la Sociedad por la cantidad de $13,712’587,103.60 M.N. (trece mil setecientos doce millones quinientos ochenta y siete mil ciento tres Pesos 60/100, moneda nacional), afectando para tal efecto, la siguientes partidas en los montos que se indican a continuación: (i) la cantidad de $2,075’425,689.75 (dos mil setenta y cinco millones cuatrocientos veinticinco mil seiscientos ochenta y nueve Pesos 75/100, moneda nacional) de la cuenta “Capital Social”; (ii) la cantidad de $10,816’255,617.85 M.N (diez mil ochocientos dieciséis millones doscientos cincuenta y cinco mil seiscientos diecisiete Pesos 85/100, moneda nacional) proveniente de las cuentas de “Resultados de Ejercicios Anteriores”; (iii) la cantidad de $757’257,801.00 M.N.(setecientos cincuenta y siete millones doscientos cincuenta y siete mil ochocientos un Pesos 00/100, moneda nacional) proveniente de la cuenta “Reserva de Capital” y (iv) la cantidad de $63’647,995.00 M.N.  (</w:t>
      </w:r>
      <w:proofErr w:type="gramStart"/>
      <w:r w:rsidRPr="00671EED">
        <w:rPr>
          <w:rFonts w:ascii="Arial" w:hAnsi="Arial" w:cs="Arial"/>
          <w:sz w:val="22"/>
          <w:szCs w:val="22"/>
          <w:lang w:val="es-ES"/>
        </w:rPr>
        <w:t>sesenta</w:t>
      </w:r>
      <w:proofErr w:type="gramEnd"/>
      <w:r w:rsidRPr="00671EED">
        <w:rPr>
          <w:rFonts w:ascii="Arial" w:hAnsi="Arial" w:cs="Arial"/>
          <w:sz w:val="22"/>
          <w:szCs w:val="22"/>
          <w:lang w:val="es-ES"/>
        </w:rPr>
        <w:t xml:space="preserve"> y tres millones seiscientos cuarenta y siete mil novecientos noventa y cinco Pesos 00/100, moneda nacional), proveniente de la cuenta “Resultado Neto”.</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II.2</w:t>
      </w:r>
      <w:r w:rsidRPr="00671EED">
        <w:rPr>
          <w:rFonts w:ascii="Arial" w:hAnsi="Arial" w:cs="Arial"/>
          <w:sz w:val="22"/>
          <w:szCs w:val="22"/>
          <w:lang w:val="es-ES"/>
        </w:rPr>
        <w:tab/>
        <w:t>“Se aprueba que el reembolso a los accionistas de la Sociedad de las cantidades referidas en la resolución II.1 previa, se lleve a cabo con cargo a: (i) un monto de $5,931’779,477.88 M.N. (cinco mil novecientos treinta y un millones setecientos setenta y nueve mil cuatrocientos setenta y siete Pesos 88/100, moneda nacional), correspondiente a la “Cuenta de Capital de Aportación” de la Sociedad; (ii) un monto de $2,338’118,967.30 M.N. (dos mil trescientos treinta y ocho millones ciento dieciocho mil novecientos sesenta y siete Pesos 30/100, moneda nacional), correspondiente a la “Cuenta de Utilidad Fiscal Neta”, mismo que fue generado hasta e inclusive el 31 de diciembre de 2013; y (iii) en un monto de $5,442’688,658.42 M.N. (cinco mil cuatrocientos cuarenta y dos millones seiscientos ochenta y ocho mil seiscientos cincuenta y ocho Pesos 42/100, moneda nacional), correspondiente a la “Cuenta de Utilidad Fiscal Neta”, mismo que fue generado a partir e inclusive del 1 de enero de 2014.”</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II.3</w:t>
      </w:r>
      <w:r w:rsidRPr="00671EED">
        <w:rPr>
          <w:rFonts w:ascii="Arial" w:hAnsi="Arial" w:cs="Arial"/>
          <w:sz w:val="22"/>
          <w:szCs w:val="22"/>
          <w:lang w:val="es-ES"/>
        </w:rPr>
        <w:tab/>
        <w:t xml:space="preserve">“Se reconoce y aprueba que, en relación con las resoluciones II.1 a II.2 anteriores, el reembolso total a los accionistas de la Sociedad ascendería a </w:t>
      </w:r>
      <w:bookmarkStart w:id="1" w:name="_Hlk514866583"/>
      <w:r w:rsidRPr="00671EED">
        <w:rPr>
          <w:rFonts w:ascii="Arial" w:hAnsi="Arial" w:cs="Arial"/>
          <w:sz w:val="22"/>
          <w:szCs w:val="22"/>
          <w:lang w:val="es-ES"/>
        </w:rPr>
        <w:t>$13,712’587,103.60 M.N. (trece mil setecientos doce millones quinientos ochenta y siete mil ciento tres Pesos 60/100, moneda nacional)</w:t>
      </w:r>
      <w:bookmarkEnd w:id="1"/>
      <w:r w:rsidRPr="00671EED">
        <w:rPr>
          <w:rFonts w:ascii="Arial" w:hAnsi="Arial" w:cs="Arial"/>
          <w:sz w:val="22"/>
          <w:szCs w:val="22"/>
          <w:lang w:val="es-ES"/>
        </w:rPr>
        <w:t xml:space="preserve">, y se llevaría a cabo a razón de $50.80 M.N. (cincuenta Pesos </w:t>
      </w:r>
      <w:r w:rsidRPr="00671EED">
        <w:rPr>
          <w:rFonts w:ascii="Arial" w:hAnsi="Arial" w:cs="Arial"/>
          <w:sz w:val="22"/>
          <w:szCs w:val="22"/>
          <w:lang w:val="es-ES"/>
        </w:rPr>
        <w:lastRenderedPageBreak/>
        <w:t>80/100, moneda nacional), por cada una de las 269’932,817 (doscientos sesenta y nueve millones novecientos treinta y dos mil ochocientas diecisiete) acciones representativas del capital social de la Sociedad, emitida y en circulación en la fecha de esta Asamblea.”</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II.4</w:t>
      </w:r>
      <w:r w:rsidRPr="00671EED">
        <w:rPr>
          <w:rFonts w:ascii="Arial" w:hAnsi="Arial" w:cs="Arial"/>
          <w:sz w:val="22"/>
          <w:szCs w:val="22"/>
          <w:lang w:val="es-ES"/>
        </w:rPr>
        <w:tab/>
        <w:t xml:space="preserve">“Se aprueba y reconoce que la validez de las resoluciones II.1 a II.3 anteriores queda sujeta a la condición suspensiva consistente en la obtención de las Autorizaciones Gubernamentales.”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II.5</w:t>
      </w:r>
      <w:r w:rsidRPr="00671EED">
        <w:rPr>
          <w:rFonts w:ascii="Arial" w:hAnsi="Arial" w:cs="Arial"/>
          <w:sz w:val="22"/>
          <w:szCs w:val="22"/>
          <w:lang w:val="es-ES"/>
        </w:rPr>
        <w:tab/>
        <w:t xml:space="preserve">“Se aprueba y reconoce que, sin perjuicio de lo anterior, el pago correspondiente al monto total de reembolso, conforme a lo descrito en las resoluciones II.1 a II.4 anteriores, quede sujeto a la condición suspensiva consistente en el surtimiento de efectos de la Fusión. Lo anterior, en el entendido que, cumplida la condición e simultáneamente a que surta efectos la Fusión, el pago correspondiente deberá ser realizado por S.D. </w:t>
      </w:r>
      <w:proofErr w:type="spellStart"/>
      <w:r w:rsidRPr="00671EED">
        <w:rPr>
          <w:rFonts w:ascii="Arial" w:hAnsi="Arial" w:cs="Arial"/>
          <w:sz w:val="22"/>
          <w:szCs w:val="22"/>
          <w:lang w:val="es-ES"/>
        </w:rPr>
        <w:t>Indeval</w:t>
      </w:r>
      <w:proofErr w:type="spellEnd"/>
      <w:r w:rsidRPr="00671EED">
        <w:rPr>
          <w:rFonts w:ascii="Arial" w:hAnsi="Arial" w:cs="Arial"/>
          <w:sz w:val="22"/>
          <w:szCs w:val="22"/>
          <w:lang w:val="es-ES"/>
        </w:rPr>
        <w:t>, Institución para el Depósito de Valores, S.A. de C.V., por nombre y cuenta de Interacciones, en las oficinas ubicadas en Avenida Paseo de la Reforma 255, 3er piso, Colonia Cuauhtémoc, Delegación Cuauhtémoc, 06500, Ciudad de México, México, conforme a las disposiciones legales y administrativas aplicables respecto de los títulos depositados en dicha institución.”</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II.6</w:t>
      </w:r>
      <w:r w:rsidRPr="00671EED">
        <w:rPr>
          <w:rFonts w:ascii="Arial" w:hAnsi="Arial" w:cs="Arial"/>
          <w:sz w:val="22"/>
          <w:szCs w:val="22"/>
          <w:lang w:val="es-ES"/>
        </w:rPr>
        <w:tab/>
        <w:t xml:space="preserve">“Se ordena al Órgano de Administración de la Sociedad o, en caso de ajuste al monto del reembolso a los accionistas de la Sociedad, a los Apoderados, que para efectos de lo dispuesto en las resoluciones II.1 a II.4 anteriores, dar aviso del monto correspondiente al reembolso resuelto en las resoluciones II.1 a II.4 anteriores, a </w:t>
      </w:r>
      <w:proofErr w:type="spellStart"/>
      <w:r w:rsidRPr="00671EED">
        <w:rPr>
          <w:rFonts w:ascii="Arial" w:hAnsi="Arial" w:cs="Arial"/>
          <w:sz w:val="22"/>
          <w:szCs w:val="22"/>
          <w:lang w:val="es-ES"/>
        </w:rPr>
        <w:t>Indeval</w:t>
      </w:r>
      <w:proofErr w:type="spellEnd"/>
      <w:r w:rsidRPr="00671EED">
        <w:rPr>
          <w:rFonts w:ascii="Arial" w:hAnsi="Arial" w:cs="Arial"/>
          <w:sz w:val="22"/>
          <w:szCs w:val="22"/>
          <w:lang w:val="es-ES"/>
        </w:rPr>
        <w:t>, en cualquier momento dentro del periodo comprendido entre: (a) la fecha del cumplimiento de la condición a que quedó sujeta la resolución respecto al reembolso citado conforme lo antes dispuesto en la resolución II.5; y (b) la fecha en que la escritura pública mediante la cual se formalice la Fusión (incluyendo, la autorización emitida, en su caso, por la Secretaría de Hacienda y Crédito Público), sea presentada para su inscripción ante el Registro Público de Comercio. En el entendido de que se entregarán los recursos para el pago simultáneamente a que surta efectos la Fusión.”</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II.7</w:t>
      </w:r>
      <w:r w:rsidRPr="00671EED">
        <w:rPr>
          <w:rFonts w:ascii="Arial" w:hAnsi="Arial" w:cs="Arial"/>
          <w:sz w:val="22"/>
          <w:szCs w:val="22"/>
          <w:lang w:val="es-ES"/>
        </w:rPr>
        <w:tab/>
        <w:t xml:space="preserve">“Se autoriza a los señores Carlos Alberto Rojo Macedo, Alejandro </w:t>
      </w:r>
      <w:proofErr w:type="spellStart"/>
      <w:r w:rsidRPr="00671EED">
        <w:rPr>
          <w:rFonts w:ascii="Arial" w:hAnsi="Arial" w:cs="Arial"/>
          <w:sz w:val="22"/>
          <w:szCs w:val="22"/>
          <w:lang w:val="es-ES"/>
        </w:rPr>
        <w:t>Frigolet</w:t>
      </w:r>
      <w:proofErr w:type="spellEnd"/>
      <w:r w:rsidRPr="00671EED">
        <w:rPr>
          <w:rFonts w:ascii="Arial" w:hAnsi="Arial" w:cs="Arial"/>
          <w:sz w:val="22"/>
          <w:szCs w:val="22"/>
          <w:lang w:val="es-ES"/>
        </w:rPr>
        <w:t xml:space="preserve"> Vázquez-Vela y Manuel Velasco Velázquez para que, individual o conjuntamente, en este último caso cualesquiera de ellos, lleven a cabo cualquier ajuste que sea necesario y que esté plenamente justificado al monto del reembolso referido en las resoluciones II.1 a II.4 anteriores, así como que realicen cualesquier acto para que la Sociedad entregue a los accionistas de la misma, a través del </w:t>
      </w:r>
      <w:proofErr w:type="spellStart"/>
      <w:r w:rsidRPr="00671EED">
        <w:rPr>
          <w:rFonts w:ascii="Arial" w:hAnsi="Arial" w:cs="Arial"/>
          <w:sz w:val="22"/>
          <w:szCs w:val="22"/>
          <w:lang w:val="es-ES"/>
        </w:rPr>
        <w:t>Indeval</w:t>
      </w:r>
      <w:proofErr w:type="spellEnd"/>
      <w:r w:rsidRPr="00671EED">
        <w:rPr>
          <w:rFonts w:ascii="Arial" w:hAnsi="Arial" w:cs="Arial"/>
          <w:sz w:val="22"/>
          <w:szCs w:val="22"/>
          <w:lang w:val="es-ES"/>
        </w:rPr>
        <w:t>, el monto objeto de tal reembolso.</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ab/>
        <w:t>Además, dichas personas están autorizadas para llevar a cabo cualquier acto que sea necesario o conveniente para dar efectos plenos, de ser el caso, al citado ajuste a los montos del reembolso a los accionistas resuelto por esta Asamblea. La autorización anterior se otorga para dar cumplimiento a los acuerdos previstos en el Convenio Marco de Fusión.”</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II.8</w:t>
      </w:r>
      <w:r w:rsidRPr="00671EED">
        <w:rPr>
          <w:rFonts w:ascii="Arial" w:hAnsi="Arial" w:cs="Arial"/>
          <w:sz w:val="22"/>
          <w:szCs w:val="22"/>
          <w:lang w:val="es-ES"/>
        </w:rPr>
        <w:tab/>
        <w:t xml:space="preserve">“Se otorga a los señores Carlos Alberto Rojo Macedo, Alejandro </w:t>
      </w:r>
      <w:proofErr w:type="spellStart"/>
      <w:r w:rsidRPr="00671EED">
        <w:rPr>
          <w:rFonts w:ascii="Arial" w:hAnsi="Arial" w:cs="Arial"/>
          <w:sz w:val="22"/>
          <w:szCs w:val="22"/>
          <w:lang w:val="es-ES"/>
        </w:rPr>
        <w:t>Frigolet</w:t>
      </w:r>
      <w:proofErr w:type="spellEnd"/>
      <w:r w:rsidRPr="00671EED">
        <w:rPr>
          <w:rFonts w:ascii="Arial" w:hAnsi="Arial" w:cs="Arial"/>
          <w:sz w:val="22"/>
          <w:szCs w:val="22"/>
          <w:lang w:val="es-ES"/>
        </w:rPr>
        <w:t xml:space="preserve"> Vázquez-Vela y Manuel Velasco Velázquez (los “Apoderados”), PODER ESPECIAL, tan amplio como en derecho proceda, pero limitado en su objeto, para que cualesquiera de ellos, en lo individual o conjuntamente, en este último caso, cualquiera de ellos de manera indistinta, lleven a cabo todos los actos que sean convenientes o necesarios, a fin de realizar: (i) cualquier ajuste al monto del reembolso a los accionistas resuelto en términos de las resoluciones anteriores, incluyendo entre ellas, las referidas en los incisos II.1 a II.4 previas; y (ii) que dicho monto sea entregado a los accionistas de la Sociedad simultáneamente a la fusión de la misma con Grupo Financiero Banorte, S.A.B. de C.V.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ab/>
        <w:t>Para tal efecto cada uno de los Apoderados dentro de la especialidad del presente poder gozará de las facultades a las que se refieren: (a) los tres primeros párrafos del artículo 2554 del Código Civil Federal y de los artículos correlativos del Código Civil para el Distrito Federal y de los códigos civiles de las demás entidades federativas que integran a los Estados Unidos Mexicanos; y (b) el artículo 9 de la Ley General de Títulos y Operaciones de Crédito.”</w:t>
      </w:r>
    </w:p>
    <w:p w:rsidR="00671EED" w:rsidRDefault="00671EED" w:rsidP="00766EF1">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III.1</w:t>
      </w:r>
      <w:r w:rsidRPr="00671EED">
        <w:rPr>
          <w:rFonts w:ascii="Arial" w:hAnsi="Arial" w:cs="Arial"/>
          <w:sz w:val="22"/>
          <w:szCs w:val="22"/>
          <w:lang w:val="es-ES"/>
        </w:rPr>
        <w:tab/>
        <w:t>“Como consecuencia del reembolso a los accionistas de la Sociedad, conforme a lo descrito en las resoluciones II.1 a II.4 anteriores, se aprueba reducir el capital social de la Sociedad, en su parte fija, en la cantidad total de $2,075,425,689.75 M.N. (dos mil setenta y cinco millones cuatrocientos veinticinco mil seiscientos ochenta y nueve Pesos 75/100, moneda nacional), mediante la disminución del valor nominal de las 269’932,817 (doscientos sesenta y nueve millones novecientos treinta y dos mil ochocientas diecisiete) acciones en que se divide el capital social, actualmente con un valor nominal cada una de ellas de $8.691842658680550 M.N. (ocho pesos 691842658680550/100, moneda nacional), en la cantidad de $7.688674955553850 M.N. (siete Pesos 688674955553850/100, moneda nacional) por acción representativa del capital social de la Sociedad actualmente en circulación, para que en lo sucesivo el valor nominal de cada una de esas acciones sea de $1.00316770312670 M.N. (un Peso 003167703012670/100, moneda nacional).”</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III.2</w:t>
      </w:r>
      <w:r w:rsidRPr="00671EED">
        <w:rPr>
          <w:rFonts w:ascii="Arial" w:hAnsi="Arial" w:cs="Arial"/>
          <w:sz w:val="22"/>
          <w:szCs w:val="22"/>
          <w:lang w:val="es-ES"/>
        </w:rPr>
        <w:tab/>
        <w:t xml:space="preserve">“Se aprueba y reconoce que la validez de la resolución anterior queda sujeta a la condición suspensiva consistente en la obtención de las Autorizaciones Gubernamentales.”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III.3</w:t>
      </w:r>
      <w:r w:rsidRPr="00671EED">
        <w:rPr>
          <w:rFonts w:ascii="Arial" w:hAnsi="Arial" w:cs="Arial"/>
          <w:sz w:val="22"/>
          <w:szCs w:val="22"/>
          <w:lang w:val="es-ES"/>
        </w:rPr>
        <w:tab/>
        <w:t xml:space="preserve">“Se aprueba y reconoce que, sin perjuicio de lo anterior, la reducción del capital social de la Sociedad, conforme a lo descrito en la resolución III.1 anterior, queda sujeta a la condición suspensiva consistente en el surtimiento de efectos de la Fusión. Lo anterior, en el entendido que, cumplida la condición, el pago correspondiente deberá ser realizado por </w:t>
      </w:r>
      <w:proofErr w:type="spellStart"/>
      <w:r w:rsidRPr="00671EED">
        <w:rPr>
          <w:rFonts w:ascii="Arial" w:hAnsi="Arial" w:cs="Arial"/>
          <w:sz w:val="22"/>
          <w:szCs w:val="22"/>
          <w:lang w:val="es-ES"/>
        </w:rPr>
        <w:t>Indeval</w:t>
      </w:r>
      <w:proofErr w:type="spellEnd"/>
      <w:r w:rsidRPr="00671EED">
        <w:rPr>
          <w:rFonts w:ascii="Arial" w:hAnsi="Arial" w:cs="Arial"/>
          <w:sz w:val="22"/>
          <w:szCs w:val="22"/>
          <w:lang w:val="es-ES"/>
        </w:rPr>
        <w:t xml:space="preserve"> por nombre y cuenta de Interacciones, simultáneamente a que surta efectos la Fusión, en las oficinas ubicadas en Paseo de la Reforma 255, 3er. Piso, Colonia Cuauhtémoc, Delegación Cuauhtémoc, 06500, Ciudad de México, México, conforme a las disposiciones legales y administrativas aplicables respecto de los títulos depositados en dicha institución.”</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III.4</w:t>
      </w:r>
      <w:r w:rsidRPr="00671EED">
        <w:rPr>
          <w:rFonts w:ascii="Arial" w:hAnsi="Arial" w:cs="Arial"/>
          <w:sz w:val="22"/>
          <w:szCs w:val="22"/>
          <w:lang w:val="es-ES"/>
        </w:rPr>
        <w:tab/>
        <w:t xml:space="preserve">“Se ordena al Órgano de Administración de la Sociedad la publicación del aviso correspondiente a la reducción de capital social, por disminución de valor nominal de acciones y reembolso a accionistas, en el Sistema Electrónico de Publicaciones establecido por la Secretaría de Economía.”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III.5</w:t>
      </w:r>
      <w:r w:rsidRPr="00671EED">
        <w:rPr>
          <w:rFonts w:ascii="Arial" w:hAnsi="Arial" w:cs="Arial"/>
          <w:sz w:val="22"/>
          <w:szCs w:val="22"/>
          <w:lang w:val="es-ES"/>
        </w:rPr>
        <w:tab/>
        <w:t xml:space="preserve">“Como consecuencia de la reducción del capital social de la Sociedad, el mismo queda fijado a partir de esta fecha en la cantidad de $270’787,884.0284150 M.N. (doscientos setenta millones setecientos ochenta y siete mil ochocientos ochenta y cuatro Pesos 0284150/100, moneda nacional), representado por 269’932,817 (doscientos sesenta y nueve millones novecientos treinta y dos mil ochocientas diecisiete) acciones ordinarias y nominativas, con valor nominal de $1.00316770312670 M.N. (un Peso 00316770312670/100, moneda nacional), cada una, de la Clase “I”, Serie “O”, representativas de la parte fija de su capital social, sin que se encuentren emitidas ni suscritas acciones representativas de la parte variable del capital social. Lo anterior, sujeto a la condición suspensiva mencionada en la resolución III.3.”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lastRenderedPageBreak/>
        <w:t>III.6.</w:t>
      </w:r>
      <w:r w:rsidRPr="00671EED">
        <w:rPr>
          <w:rFonts w:ascii="Arial" w:hAnsi="Arial" w:cs="Arial"/>
          <w:sz w:val="22"/>
          <w:szCs w:val="22"/>
          <w:lang w:val="es-ES"/>
        </w:rPr>
        <w:tab/>
        <w:t xml:space="preserve">“Se ordena al Órgano de Administración de la Sociedad o, en caso de ajuste al monto de capital social disminuido, a los Apoderados, que para efectos de los dispuesto en las resoluciones III.1 a III.3 y III.5 anteriores, dar el aviso del monto correspondiente a la reducción de capital resuelta en la resolución III.1 anterior, a </w:t>
      </w:r>
      <w:proofErr w:type="spellStart"/>
      <w:r w:rsidRPr="00671EED">
        <w:rPr>
          <w:rFonts w:ascii="Arial" w:hAnsi="Arial" w:cs="Arial"/>
          <w:sz w:val="22"/>
          <w:szCs w:val="22"/>
          <w:lang w:val="es-ES"/>
        </w:rPr>
        <w:t>Indeval</w:t>
      </w:r>
      <w:proofErr w:type="spellEnd"/>
      <w:r w:rsidRPr="00671EED">
        <w:rPr>
          <w:rFonts w:ascii="Arial" w:hAnsi="Arial" w:cs="Arial"/>
          <w:sz w:val="22"/>
          <w:szCs w:val="22"/>
          <w:lang w:val="es-ES"/>
        </w:rPr>
        <w:t>, en cualquier momento dentro del periodo comprendido entre: (a) la fecha del cumplimiento de la condición a que quedó sujeta la resolución respecto a la disminución de capital social conforme a lo dispuesto en la resolución III.2 y III.3 anteriores, y (b) la fecha en la que la escritura pública mediante la cual se formalice la Fusión (incluyendo, la autorización emitida, en su caso, por la Secretaría de Hacienda y Crédito Público), sea presentada para su inscripción en el Registro Público de Comercio.”</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III.7</w:t>
      </w:r>
      <w:r w:rsidRPr="00671EED">
        <w:rPr>
          <w:rFonts w:ascii="Arial" w:hAnsi="Arial" w:cs="Arial"/>
          <w:sz w:val="22"/>
          <w:szCs w:val="22"/>
          <w:lang w:val="es-ES"/>
        </w:rPr>
        <w:tab/>
        <w:t xml:space="preserve">“Se autoriza a los señores Carlos Alberto Rojo Macedo, Alejandro </w:t>
      </w:r>
      <w:proofErr w:type="spellStart"/>
      <w:r w:rsidRPr="00671EED">
        <w:rPr>
          <w:rFonts w:ascii="Arial" w:hAnsi="Arial" w:cs="Arial"/>
          <w:sz w:val="22"/>
          <w:szCs w:val="22"/>
          <w:lang w:val="es-ES"/>
        </w:rPr>
        <w:t>Frigolet</w:t>
      </w:r>
      <w:proofErr w:type="spellEnd"/>
      <w:r w:rsidRPr="00671EED">
        <w:rPr>
          <w:rFonts w:ascii="Arial" w:hAnsi="Arial" w:cs="Arial"/>
          <w:sz w:val="22"/>
          <w:szCs w:val="22"/>
          <w:lang w:val="es-ES"/>
        </w:rPr>
        <w:t xml:space="preserve"> Vázquez-Vela y Manuel Velasco Velázquez para que, individual o conjuntamente, en este último caso cualesquiera de ellos, lleven a cabo cualquier ajuste que sea necesario y que esté plenamente justificado al monto de la disminución de capital social, según se refiere en las resoluciones III.1 a III.3 anteriores.”</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ab/>
        <w:t>Además, dichas personas están autorizadas para llevar a cabo cualquier acto que sea necesario o conveniente para dar efectos plenos, de ser el caso, al citado ajuste al monto de la disminución de capital resuelto por esta Asamblea. La autorización anterior se otorga para dar cumplimiento a los acuerdos previstos en el Convenio Marco de Fusión.”</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III.8</w:t>
      </w:r>
      <w:r w:rsidRPr="00671EED">
        <w:rPr>
          <w:rFonts w:ascii="Arial" w:hAnsi="Arial" w:cs="Arial"/>
          <w:sz w:val="22"/>
          <w:szCs w:val="22"/>
          <w:lang w:val="es-ES"/>
        </w:rPr>
        <w:tab/>
        <w:t xml:space="preserve">“Se otorga a los señores Carlos Alberto Rojo Macedo, Alejandro </w:t>
      </w:r>
      <w:proofErr w:type="spellStart"/>
      <w:r w:rsidRPr="00671EED">
        <w:rPr>
          <w:rFonts w:ascii="Arial" w:hAnsi="Arial" w:cs="Arial"/>
          <w:sz w:val="22"/>
          <w:szCs w:val="22"/>
          <w:lang w:val="es-ES"/>
        </w:rPr>
        <w:t>Frigolet</w:t>
      </w:r>
      <w:proofErr w:type="spellEnd"/>
      <w:r w:rsidRPr="00671EED">
        <w:rPr>
          <w:rFonts w:ascii="Arial" w:hAnsi="Arial" w:cs="Arial"/>
          <w:sz w:val="22"/>
          <w:szCs w:val="22"/>
          <w:lang w:val="es-ES"/>
        </w:rPr>
        <w:t xml:space="preserve"> Vázquez-Vela y Manuel Velasco Velázquez (los “Apoderados”), PODER ESPECIAL, tan amplio como en derecho proceda, pero limitado en su objeto, para que cualesquiera de ellos, en lo individual o conjuntamente, en este último caso, cualquiera de ellos de manera indistinta, lleven a cabo todos los actos que sean convenientes o necesarios, a fin de realizar cualquier ajuste al monto del reembolso a los accionistas y, en su caso, de la reducción del capital social, en términos de las resoluciones anteriores. </w:t>
      </w:r>
    </w:p>
    <w:p w:rsidR="00671EED" w:rsidRPr="00671EED" w:rsidRDefault="00671EED" w:rsidP="00671EED">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ab/>
        <w:t>Para tal efecto cada uno de los Apoderados dentro de la especialidad del presente poder gozará de las facultades a las que se refieren: (a) los tres primeros párrafos del artículo 2554 del Código Civil Federal y de los artículos correlativos del Código Civil para el Distrito Federal y de los códigos civiles de las demás entidades federativas que integran a los Estados Unidos Mexicanos; y (b) el artículo 9 de la Ley General de Títulos y Operaciones de Crédito.”</w:t>
      </w:r>
    </w:p>
    <w:p w:rsidR="00671EED" w:rsidRDefault="00671EED" w:rsidP="00766EF1">
      <w:pPr>
        <w:jc w:val="both"/>
        <w:rPr>
          <w:rFonts w:ascii="Arial" w:hAnsi="Arial" w:cs="Arial"/>
          <w:sz w:val="22"/>
          <w:szCs w:val="22"/>
          <w:lang w:val="es-ES"/>
        </w:rPr>
      </w:pPr>
    </w:p>
    <w:p w:rsidR="00671EED" w:rsidRPr="00671EED" w:rsidRDefault="00671EED" w:rsidP="00671EED">
      <w:pPr>
        <w:jc w:val="both"/>
        <w:rPr>
          <w:rFonts w:ascii="Arial" w:hAnsi="Arial" w:cs="Arial"/>
          <w:sz w:val="22"/>
          <w:szCs w:val="22"/>
          <w:lang w:val="es-ES"/>
        </w:rPr>
      </w:pPr>
      <w:r w:rsidRPr="00671EED">
        <w:rPr>
          <w:rFonts w:ascii="Arial" w:hAnsi="Arial" w:cs="Arial"/>
          <w:sz w:val="22"/>
          <w:szCs w:val="22"/>
          <w:lang w:val="es-ES"/>
        </w:rPr>
        <w:t>IV.1</w:t>
      </w:r>
      <w:r w:rsidRPr="00671EED">
        <w:rPr>
          <w:rFonts w:ascii="Arial" w:hAnsi="Arial" w:cs="Arial"/>
          <w:sz w:val="22"/>
          <w:szCs w:val="22"/>
          <w:lang w:val="es-ES"/>
        </w:rPr>
        <w:tab/>
        <w:t xml:space="preserve">“Se designan como Delegados Especiales de esta Asamblea a los licenciados Carlos Alberto Rojo Macedo, Manuel Velasco Velázquez, Alejandro Quiroz Vázquez, Diego Martínez Rueda </w:t>
      </w:r>
      <w:proofErr w:type="spellStart"/>
      <w:r w:rsidRPr="00671EED">
        <w:rPr>
          <w:rFonts w:ascii="Arial" w:hAnsi="Arial" w:cs="Arial"/>
          <w:sz w:val="22"/>
          <w:szCs w:val="22"/>
          <w:lang w:val="es-ES"/>
        </w:rPr>
        <w:t>Chapital</w:t>
      </w:r>
      <w:proofErr w:type="spellEnd"/>
      <w:r w:rsidRPr="00671EED">
        <w:rPr>
          <w:rFonts w:ascii="Arial" w:hAnsi="Arial" w:cs="Arial"/>
          <w:sz w:val="22"/>
          <w:szCs w:val="22"/>
          <w:lang w:val="es-ES"/>
        </w:rPr>
        <w:t xml:space="preserve">, Gerardo Lozano Alarcón, Edgar Romo Reynoso, Manuel </w:t>
      </w:r>
      <w:proofErr w:type="spellStart"/>
      <w:r w:rsidRPr="00671EED">
        <w:rPr>
          <w:rFonts w:ascii="Arial" w:hAnsi="Arial" w:cs="Arial"/>
          <w:sz w:val="22"/>
          <w:szCs w:val="22"/>
          <w:lang w:val="es-ES"/>
        </w:rPr>
        <w:t>Hallivis</w:t>
      </w:r>
      <w:proofErr w:type="spellEnd"/>
      <w:r w:rsidRPr="00671EED">
        <w:rPr>
          <w:rFonts w:ascii="Arial" w:hAnsi="Arial" w:cs="Arial"/>
          <w:sz w:val="22"/>
          <w:szCs w:val="22"/>
          <w:lang w:val="es-ES"/>
        </w:rPr>
        <w:t xml:space="preserve"> Pérez, Ana </w:t>
      </w:r>
      <w:proofErr w:type="spellStart"/>
      <w:r w:rsidRPr="00671EED">
        <w:rPr>
          <w:rFonts w:ascii="Arial" w:hAnsi="Arial" w:cs="Arial"/>
          <w:sz w:val="22"/>
          <w:szCs w:val="22"/>
          <w:lang w:val="es-ES"/>
        </w:rPr>
        <w:t>Yamel</w:t>
      </w:r>
      <w:proofErr w:type="spellEnd"/>
      <w:r w:rsidRPr="00671EED">
        <w:rPr>
          <w:rFonts w:ascii="Arial" w:hAnsi="Arial" w:cs="Arial"/>
          <w:sz w:val="22"/>
          <w:szCs w:val="22"/>
          <w:lang w:val="es-ES"/>
        </w:rPr>
        <w:t xml:space="preserve"> Kuri Noriega y Manuel Suárez Ortiz, a efecto de que conjunta o separadamente realicen los siguientes trámites:</w:t>
      </w:r>
    </w:p>
    <w:p w:rsidR="00671EED" w:rsidRPr="00671EED" w:rsidRDefault="00671EED" w:rsidP="00671EED">
      <w:pPr>
        <w:jc w:val="both"/>
        <w:rPr>
          <w:rFonts w:ascii="Arial" w:hAnsi="Arial" w:cs="Arial"/>
          <w:sz w:val="22"/>
          <w:szCs w:val="22"/>
          <w:lang w:val="es-ES"/>
        </w:rPr>
      </w:pPr>
    </w:p>
    <w:p w:rsidR="00671EED" w:rsidRPr="00671EED" w:rsidRDefault="00671EED" w:rsidP="00671EED">
      <w:pPr>
        <w:pStyle w:val="Prrafodelista"/>
        <w:numPr>
          <w:ilvl w:val="0"/>
          <w:numId w:val="10"/>
        </w:numPr>
        <w:jc w:val="both"/>
        <w:rPr>
          <w:rFonts w:ascii="Arial" w:hAnsi="Arial" w:cs="Arial"/>
          <w:sz w:val="22"/>
          <w:szCs w:val="22"/>
        </w:rPr>
      </w:pPr>
      <w:r w:rsidRPr="00671EED">
        <w:rPr>
          <w:rFonts w:ascii="Arial" w:hAnsi="Arial" w:cs="Arial"/>
          <w:sz w:val="22"/>
          <w:szCs w:val="22"/>
        </w:rPr>
        <w:t>Expidan las copias simples o autentificadas que, en lo general o en lo conducente le sean solicitadas respecto del acta que se levante con motivo de la presente Asamblea, pudiendo incluso modificar la redacción de la misma de acuerdo con los requerimientos de las autoridades supervisoras.</w:t>
      </w:r>
    </w:p>
    <w:p w:rsidR="00671EED" w:rsidRPr="00671EED" w:rsidRDefault="00671EED" w:rsidP="00671EED">
      <w:pPr>
        <w:jc w:val="both"/>
        <w:rPr>
          <w:rFonts w:ascii="Arial" w:hAnsi="Arial" w:cs="Arial"/>
          <w:sz w:val="22"/>
          <w:szCs w:val="22"/>
          <w:lang w:val="es-ES"/>
        </w:rPr>
      </w:pPr>
    </w:p>
    <w:p w:rsidR="00671EED" w:rsidRPr="00671EED" w:rsidRDefault="00671EED" w:rsidP="00671EED">
      <w:pPr>
        <w:pStyle w:val="Prrafodelista"/>
        <w:numPr>
          <w:ilvl w:val="0"/>
          <w:numId w:val="10"/>
        </w:numPr>
        <w:jc w:val="both"/>
        <w:rPr>
          <w:rFonts w:ascii="Arial" w:hAnsi="Arial" w:cs="Arial"/>
          <w:sz w:val="22"/>
          <w:szCs w:val="22"/>
        </w:rPr>
      </w:pPr>
      <w:r w:rsidRPr="00671EED">
        <w:rPr>
          <w:rFonts w:ascii="Arial" w:hAnsi="Arial" w:cs="Arial"/>
          <w:sz w:val="22"/>
          <w:szCs w:val="22"/>
        </w:rPr>
        <w:t>Para que notifiquen a las autoridades u organismos conducentes los acuerdos tomados en esta Asamblea y obtengan de ellas las autorizaciones que sean necesarias.</w:t>
      </w:r>
    </w:p>
    <w:p w:rsidR="00671EED" w:rsidRPr="00671EED" w:rsidRDefault="00671EED" w:rsidP="00671EED">
      <w:pPr>
        <w:jc w:val="both"/>
        <w:rPr>
          <w:rFonts w:ascii="Arial" w:hAnsi="Arial" w:cs="Arial"/>
          <w:sz w:val="22"/>
          <w:szCs w:val="22"/>
          <w:lang w:val="es-ES"/>
        </w:rPr>
      </w:pPr>
    </w:p>
    <w:p w:rsidR="00671EED" w:rsidRPr="00671EED" w:rsidRDefault="00671EED" w:rsidP="00671EED">
      <w:pPr>
        <w:pStyle w:val="Prrafodelista"/>
        <w:numPr>
          <w:ilvl w:val="0"/>
          <w:numId w:val="10"/>
        </w:numPr>
        <w:jc w:val="both"/>
        <w:rPr>
          <w:rFonts w:ascii="Arial" w:hAnsi="Arial" w:cs="Arial"/>
          <w:sz w:val="22"/>
          <w:szCs w:val="22"/>
        </w:rPr>
      </w:pPr>
      <w:r w:rsidRPr="00671EED">
        <w:rPr>
          <w:rFonts w:ascii="Arial" w:hAnsi="Arial" w:cs="Arial"/>
          <w:sz w:val="22"/>
          <w:szCs w:val="22"/>
        </w:rPr>
        <w:lastRenderedPageBreak/>
        <w:t>Efectúen las publicaciones y avisos que sean necesarios realizar en virtud de los acuerdos adoptados en la presente Asamblea.</w:t>
      </w:r>
    </w:p>
    <w:p w:rsidR="00671EED" w:rsidRPr="00671EED" w:rsidRDefault="00671EED" w:rsidP="00671EED">
      <w:pPr>
        <w:jc w:val="both"/>
        <w:rPr>
          <w:rFonts w:ascii="Arial" w:hAnsi="Arial" w:cs="Arial"/>
          <w:sz w:val="22"/>
          <w:szCs w:val="22"/>
          <w:lang w:val="es-ES"/>
        </w:rPr>
      </w:pPr>
    </w:p>
    <w:p w:rsidR="00671EED" w:rsidRPr="00671EED" w:rsidRDefault="00671EED" w:rsidP="00671EED">
      <w:pPr>
        <w:pStyle w:val="Prrafodelista"/>
        <w:numPr>
          <w:ilvl w:val="0"/>
          <w:numId w:val="10"/>
        </w:numPr>
        <w:jc w:val="both"/>
        <w:rPr>
          <w:rFonts w:ascii="Arial" w:hAnsi="Arial" w:cs="Arial"/>
          <w:sz w:val="22"/>
          <w:szCs w:val="22"/>
        </w:rPr>
      </w:pPr>
      <w:r w:rsidRPr="00671EED">
        <w:rPr>
          <w:rFonts w:ascii="Arial" w:hAnsi="Arial" w:cs="Arial"/>
          <w:sz w:val="22"/>
          <w:szCs w:val="22"/>
        </w:rPr>
        <w:t>Concurran ante Notario Público de su elección a protocolizar en lo general o en lo conducente, el acta que se levante con motivo de la presente Asamblea, en caso de así requerirse, incluyendo, sin limitar, la formalización de poderes de conformidad con el artículo 10 de la Ley General de Sociedades Mercantiles.</w:t>
      </w:r>
    </w:p>
    <w:p w:rsidR="00671EED" w:rsidRPr="00671EED" w:rsidRDefault="00671EED" w:rsidP="00671EED">
      <w:pPr>
        <w:jc w:val="both"/>
        <w:rPr>
          <w:rFonts w:ascii="Arial" w:hAnsi="Arial" w:cs="Arial"/>
          <w:sz w:val="22"/>
          <w:szCs w:val="22"/>
          <w:lang w:val="es-ES"/>
        </w:rPr>
      </w:pPr>
    </w:p>
    <w:p w:rsidR="00671EED" w:rsidRPr="00671EED" w:rsidRDefault="00671EED" w:rsidP="00671EED">
      <w:pPr>
        <w:pStyle w:val="Prrafodelista"/>
        <w:numPr>
          <w:ilvl w:val="0"/>
          <w:numId w:val="10"/>
        </w:numPr>
        <w:jc w:val="both"/>
        <w:rPr>
          <w:rFonts w:ascii="Arial" w:hAnsi="Arial" w:cs="Arial"/>
          <w:sz w:val="22"/>
          <w:szCs w:val="22"/>
        </w:rPr>
      </w:pPr>
      <w:r w:rsidRPr="00671EED">
        <w:rPr>
          <w:rFonts w:ascii="Arial" w:hAnsi="Arial" w:cs="Arial"/>
          <w:sz w:val="22"/>
          <w:szCs w:val="22"/>
        </w:rPr>
        <w:t>Para que por sí o por medio de las personas que al efecto designen, se tramite, en caso de así requerirse, la inscripción del testimonio notarial correspondiente, en el Registro Público de Comercio de la Ciudad de México.”</w:t>
      </w:r>
    </w:p>
    <w:p w:rsidR="00671EED" w:rsidRPr="00671EED" w:rsidRDefault="00671EED" w:rsidP="00671EED">
      <w:pPr>
        <w:jc w:val="both"/>
        <w:rPr>
          <w:rFonts w:ascii="Arial" w:hAnsi="Arial" w:cs="Arial"/>
          <w:sz w:val="22"/>
          <w:szCs w:val="22"/>
          <w:lang w:val="es-ES"/>
        </w:rPr>
      </w:pPr>
    </w:p>
    <w:p w:rsidR="00671EED" w:rsidRDefault="00671EED" w:rsidP="00766EF1">
      <w:pPr>
        <w:jc w:val="both"/>
        <w:rPr>
          <w:rFonts w:ascii="Arial" w:hAnsi="Arial" w:cs="Arial"/>
          <w:sz w:val="22"/>
          <w:szCs w:val="22"/>
          <w:lang w:val="es-ES"/>
        </w:rPr>
      </w:pPr>
    </w:p>
    <w:sectPr w:rsidR="00671EED" w:rsidSect="009C7835">
      <w:pgSz w:w="12242" w:h="15842" w:code="1"/>
      <w:pgMar w:top="1276" w:right="1797" w:bottom="993" w:left="1797" w:header="720" w:footer="720" w:gutter="0"/>
      <w:paperSrc w:first="1" w:other="1"/>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5826"/>
    <w:multiLevelType w:val="hybridMultilevel"/>
    <w:tmpl w:val="23F83A82"/>
    <w:lvl w:ilvl="0" w:tplc="D848F72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7942EBA"/>
    <w:multiLevelType w:val="hybridMultilevel"/>
    <w:tmpl w:val="81EE0456"/>
    <w:lvl w:ilvl="0" w:tplc="39A4CD88">
      <w:start w:val="1"/>
      <w:numFmt w:val="lowerLetter"/>
      <w:lvlText w:val="%1)"/>
      <w:lvlJc w:val="left"/>
      <w:pPr>
        <w:ind w:left="1776" w:hanging="360"/>
      </w:pPr>
      <w:rPr>
        <w:rFonts w:hint="default"/>
        <w:b/>
      </w:rPr>
    </w:lvl>
    <w:lvl w:ilvl="1" w:tplc="080A0019" w:tentative="1">
      <w:start w:val="1"/>
      <w:numFmt w:val="lowerLetter"/>
      <w:lvlText w:val="%2."/>
      <w:lvlJc w:val="left"/>
      <w:pPr>
        <w:ind w:left="2496" w:hanging="360"/>
      </w:pPr>
    </w:lvl>
    <w:lvl w:ilvl="2" w:tplc="080A001B">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2F882DD3"/>
    <w:multiLevelType w:val="hybridMultilevel"/>
    <w:tmpl w:val="6FB87FF2"/>
    <w:lvl w:ilvl="0" w:tplc="39A4CD88">
      <w:start w:val="1"/>
      <w:numFmt w:val="lowerLetter"/>
      <w:lvlText w:val="%1)"/>
      <w:lvlJc w:val="left"/>
      <w:pPr>
        <w:ind w:left="2167" w:hanging="2061"/>
      </w:pPr>
      <w:rPr>
        <w:rFonts w:hint="default"/>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5A212B1"/>
    <w:multiLevelType w:val="hybridMultilevel"/>
    <w:tmpl w:val="6E645C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F95410E"/>
    <w:multiLevelType w:val="hybridMultilevel"/>
    <w:tmpl w:val="9E0839AA"/>
    <w:lvl w:ilvl="0" w:tplc="37565490">
      <w:start w:val="1"/>
      <w:numFmt w:val="upperRoman"/>
      <w:lvlText w:val="%1."/>
      <w:lvlJc w:val="left"/>
      <w:pPr>
        <w:tabs>
          <w:tab w:val="num" w:pos="720"/>
        </w:tabs>
        <w:ind w:left="720" w:hanging="72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5" w15:restartNumberingAfterBreak="0">
    <w:nsid w:val="5F131C7B"/>
    <w:multiLevelType w:val="hybridMultilevel"/>
    <w:tmpl w:val="8E6E901E"/>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1832323"/>
    <w:multiLevelType w:val="hybridMultilevel"/>
    <w:tmpl w:val="359C02CC"/>
    <w:lvl w:ilvl="0" w:tplc="B862FDFC">
      <w:start w:val="1"/>
      <w:numFmt w:val="lowerLetter"/>
      <w:lvlText w:val="(%1)"/>
      <w:lvlJc w:val="left"/>
      <w:pPr>
        <w:tabs>
          <w:tab w:val="num" w:pos="1776"/>
        </w:tabs>
        <w:ind w:left="1776" w:hanging="360"/>
      </w:pPr>
      <w:rPr>
        <w:rFonts w:hint="default"/>
        <w:b/>
        <w:i/>
      </w:rPr>
    </w:lvl>
    <w:lvl w:ilvl="1" w:tplc="0C0A0019" w:tentative="1">
      <w:start w:val="1"/>
      <w:numFmt w:val="lowerLetter"/>
      <w:lvlText w:val="%2."/>
      <w:lvlJc w:val="left"/>
      <w:pPr>
        <w:tabs>
          <w:tab w:val="num" w:pos="2496"/>
        </w:tabs>
        <w:ind w:left="2496" w:hanging="360"/>
      </w:pPr>
    </w:lvl>
    <w:lvl w:ilvl="2" w:tplc="0C0A001B" w:tentative="1">
      <w:start w:val="1"/>
      <w:numFmt w:val="lowerRoman"/>
      <w:lvlText w:val="%3."/>
      <w:lvlJc w:val="right"/>
      <w:pPr>
        <w:tabs>
          <w:tab w:val="num" w:pos="3216"/>
        </w:tabs>
        <w:ind w:left="3216" w:hanging="180"/>
      </w:pPr>
    </w:lvl>
    <w:lvl w:ilvl="3" w:tplc="0C0A000F" w:tentative="1">
      <w:start w:val="1"/>
      <w:numFmt w:val="decimal"/>
      <w:lvlText w:val="%4."/>
      <w:lvlJc w:val="left"/>
      <w:pPr>
        <w:tabs>
          <w:tab w:val="num" w:pos="3936"/>
        </w:tabs>
        <w:ind w:left="3936" w:hanging="360"/>
      </w:pPr>
    </w:lvl>
    <w:lvl w:ilvl="4" w:tplc="0C0A0019" w:tentative="1">
      <w:start w:val="1"/>
      <w:numFmt w:val="lowerLetter"/>
      <w:lvlText w:val="%5."/>
      <w:lvlJc w:val="left"/>
      <w:pPr>
        <w:tabs>
          <w:tab w:val="num" w:pos="4656"/>
        </w:tabs>
        <w:ind w:left="4656" w:hanging="360"/>
      </w:pPr>
    </w:lvl>
    <w:lvl w:ilvl="5" w:tplc="0C0A001B" w:tentative="1">
      <w:start w:val="1"/>
      <w:numFmt w:val="lowerRoman"/>
      <w:lvlText w:val="%6."/>
      <w:lvlJc w:val="right"/>
      <w:pPr>
        <w:tabs>
          <w:tab w:val="num" w:pos="5376"/>
        </w:tabs>
        <w:ind w:left="5376" w:hanging="180"/>
      </w:pPr>
    </w:lvl>
    <w:lvl w:ilvl="6" w:tplc="0C0A000F" w:tentative="1">
      <w:start w:val="1"/>
      <w:numFmt w:val="decimal"/>
      <w:lvlText w:val="%7."/>
      <w:lvlJc w:val="left"/>
      <w:pPr>
        <w:tabs>
          <w:tab w:val="num" w:pos="6096"/>
        </w:tabs>
        <w:ind w:left="6096" w:hanging="360"/>
      </w:pPr>
    </w:lvl>
    <w:lvl w:ilvl="7" w:tplc="0C0A0019" w:tentative="1">
      <w:start w:val="1"/>
      <w:numFmt w:val="lowerLetter"/>
      <w:lvlText w:val="%8."/>
      <w:lvlJc w:val="left"/>
      <w:pPr>
        <w:tabs>
          <w:tab w:val="num" w:pos="6816"/>
        </w:tabs>
        <w:ind w:left="6816" w:hanging="360"/>
      </w:pPr>
    </w:lvl>
    <w:lvl w:ilvl="8" w:tplc="0C0A001B" w:tentative="1">
      <w:start w:val="1"/>
      <w:numFmt w:val="lowerRoman"/>
      <w:lvlText w:val="%9."/>
      <w:lvlJc w:val="right"/>
      <w:pPr>
        <w:tabs>
          <w:tab w:val="num" w:pos="7536"/>
        </w:tabs>
        <w:ind w:left="7536" w:hanging="180"/>
      </w:pPr>
    </w:lvl>
  </w:abstractNum>
  <w:abstractNum w:abstractNumId="7" w15:restartNumberingAfterBreak="0">
    <w:nsid w:val="6F5F4CFC"/>
    <w:multiLevelType w:val="hybridMultilevel"/>
    <w:tmpl w:val="2E90AB72"/>
    <w:lvl w:ilvl="0" w:tplc="AFC81140">
      <w:start w:val="1"/>
      <w:numFmt w:val="upperLetter"/>
      <w:lvlText w:val="%1)"/>
      <w:lvlJc w:val="left"/>
      <w:pPr>
        <w:ind w:left="1776" w:hanging="36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8" w15:restartNumberingAfterBreak="0">
    <w:nsid w:val="71E541A0"/>
    <w:multiLevelType w:val="hybridMultilevel"/>
    <w:tmpl w:val="52F60F1E"/>
    <w:lvl w:ilvl="0" w:tplc="39A4CD88">
      <w:start w:val="1"/>
      <w:numFmt w:val="lowerLetter"/>
      <w:lvlText w:val="%1)"/>
      <w:lvlJc w:val="left"/>
      <w:pPr>
        <w:ind w:left="2167" w:hanging="2061"/>
      </w:pPr>
      <w:rPr>
        <w:rFonts w:hint="default"/>
        <w:b/>
      </w:rPr>
    </w:lvl>
    <w:lvl w:ilvl="1" w:tplc="080A0019" w:tentative="1">
      <w:start w:val="1"/>
      <w:numFmt w:val="lowerLetter"/>
      <w:lvlText w:val="%2."/>
      <w:lvlJc w:val="left"/>
      <w:pPr>
        <w:ind w:left="1186" w:hanging="360"/>
      </w:pPr>
    </w:lvl>
    <w:lvl w:ilvl="2" w:tplc="080A001B" w:tentative="1">
      <w:start w:val="1"/>
      <w:numFmt w:val="lowerRoman"/>
      <w:lvlText w:val="%3."/>
      <w:lvlJc w:val="right"/>
      <w:pPr>
        <w:ind w:left="1906" w:hanging="180"/>
      </w:pPr>
    </w:lvl>
    <w:lvl w:ilvl="3" w:tplc="080A000F" w:tentative="1">
      <w:start w:val="1"/>
      <w:numFmt w:val="decimal"/>
      <w:lvlText w:val="%4."/>
      <w:lvlJc w:val="left"/>
      <w:pPr>
        <w:ind w:left="2626" w:hanging="360"/>
      </w:pPr>
    </w:lvl>
    <w:lvl w:ilvl="4" w:tplc="080A0019" w:tentative="1">
      <w:start w:val="1"/>
      <w:numFmt w:val="lowerLetter"/>
      <w:lvlText w:val="%5."/>
      <w:lvlJc w:val="left"/>
      <w:pPr>
        <w:ind w:left="3346" w:hanging="360"/>
      </w:pPr>
    </w:lvl>
    <w:lvl w:ilvl="5" w:tplc="080A001B" w:tentative="1">
      <w:start w:val="1"/>
      <w:numFmt w:val="lowerRoman"/>
      <w:lvlText w:val="%6."/>
      <w:lvlJc w:val="right"/>
      <w:pPr>
        <w:ind w:left="4066" w:hanging="180"/>
      </w:pPr>
    </w:lvl>
    <w:lvl w:ilvl="6" w:tplc="080A000F" w:tentative="1">
      <w:start w:val="1"/>
      <w:numFmt w:val="decimal"/>
      <w:lvlText w:val="%7."/>
      <w:lvlJc w:val="left"/>
      <w:pPr>
        <w:ind w:left="4786" w:hanging="360"/>
      </w:pPr>
    </w:lvl>
    <w:lvl w:ilvl="7" w:tplc="080A0019" w:tentative="1">
      <w:start w:val="1"/>
      <w:numFmt w:val="lowerLetter"/>
      <w:lvlText w:val="%8."/>
      <w:lvlJc w:val="left"/>
      <w:pPr>
        <w:ind w:left="5506" w:hanging="360"/>
      </w:pPr>
    </w:lvl>
    <w:lvl w:ilvl="8" w:tplc="080A001B" w:tentative="1">
      <w:start w:val="1"/>
      <w:numFmt w:val="lowerRoman"/>
      <w:lvlText w:val="%9."/>
      <w:lvlJc w:val="right"/>
      <w:pPr>
        <w:ind w:left="6226" w:hanging="180"/>
      </w:pPr>
    </w:lvl>
  </w:abstractNum>
  <w:abstractNum w:abstractNumId="9" w15:restartNumberingAfterBreak="0">
    <w:nsid w:val="7C56515F"/>
    <w:multiLevelType w:val="hybridMultilevel"/>
    <w:tmpl w:val="F82EAF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3"/>
  </w:num>
  <w:num w:numId="4">
    <w:abstractNumId w:val="8"/>
  </w:num>
  <w:num w:numId="5">
    <w:abstractNumId w:val="2"/>
  </w:num>
  <w:num w:numId="6">
    <w:abstractNumId w:val="1"/>
  </w:num>
  <w:num w:numId="7">
    <w:abstractNumId w:val="9"/>
  </w:num>
  <w:num w:numId="8">
    <w:abstractNumId w:val="5"/>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A45"/>
    <w:rsid w:val="000D7AFA"/>
    <w:rsid w:val="001901B8"/>
    <w:rsid w:val="001926AA"/>
    <w:rsid w:val="0020126D"/>
    <w:rsid w:val="00292B42"/>
    <w:rsid w:val="002C4820"/>
    <w:rsid w:val="002D5022"/>
    <w:rsid w:val="002F45AC"/>
    <w:rsid w:val="002F6A45"/>
    <w:rsid w:val="00355520"/>
    <w:rsid w:val="003614B7"/>
    <w:rsid w:val="003B5DDE"/>
    <w:rsid w:val="003D1184"/>
    <w:rsid w:val="00401499"/>
    <w:rsid w:val="00451F1E"/>
    <w:rsid w:val="004A2497"/>
    <w:rsid w:val="004B4288"/>
    <w:rsid w:val="005A7456"/>
    <w:rsid w:val="005E6AE5"/>
    <w:rsid w:val="005F76AE"/>
    <w:rsid w:val="00612A93"/>
    <w:rsid w:val="00633065"/>
    <w:rsid w:val="00671EED"/>
    <w:rsid w:val="00676E47"/>
    <w:rsid w:val="00697908"/>
    <w:rsid w:val="006F7E5C"/>
    <w:rsid w:val="00762163"/>
    <w:rsid w:val="00766EF1"/>
    <w:rsid w:val="007C5C15"/>
    <w:rsid w:val="0081591E"/>
    <w:rsid w:val="00875B04"/>
    <w:rsid w:val="00882192"/>
    <w:rsid w:val="00887A89"/>
    <w:rsid w:val="0090504D"/>
    <w:rsid w:val="0094411E"/>
    <w:rsid w:val="00993110"/>
    <w:rsid w:val="00994F23"/>
    <w:rsid w:val="009C4D09"/>
    <w:rsid w:val="009C7835"/>
    <w:rsid w:val="009E5313"/>
    <w:rsid w:val="00A4525E"/>
    <w:rsid w:val="00A91759"/>
    <w:rsid w:val="00A923AC"/>
    <w:rsid w:val="00B32291"/>
    <w:rsid w:val="00BB1BC4"/>
    <w:rsid w:val="00BB23CB"/>
    <w:rsid w:val="00BC6547"/>
    <w:rsid w:val="00BE64C4"/>
    <w:rsid w:val="00CB29B7"/>
    <w:rsid w:val="00D02A16"/>
    <w:rsid w:val="00D56D76"/>
    <w:rsid w:val="00D81A1D"/>
    <w:rsid w:val="00DA2BE7"/>
    <w:rsid w:val="00DA55F1"/>
    <w:rsid w:val="00E87081"/>
    <w:rsid w:val="00EE6CD4"/>
    <w:rsid w:val="00F06032"/>
    <w:rsid w:val="00F128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9DE3D7E-E8C3-4ECD-8136-2B184B954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23AC"/>
    <w:rPr>
      <w:sz w:val="24"/>
      <w:szCs w:val="24"/>
      <w:lang w:val="es-MX"/>
    </w:rPr>
  </w:style>
  <w:style w:type="paragraph" w:styleId="Ttulo2">
    <w:name w:val="heading 2"/>
    <w:basedOn w:val="Normal"/>
    <w:next w:val="Normal"/>
    <w:qFormat/>
    <w:rsid w:val="00A923AC"/>
    <w:pPr>
      <w:keepNext/>
      <w:jc w:val="both"/>
      <w:outlineLvl w:val="1"/>
    </w:pPr>
    <w:rPr>
      <w:rFonts w:ascii="Arial" w:hAnsi="Arial"/>
      <w:b/>
      <w:sz w:val="21"/>
      <w:szCs w:val="20"/>
      <w:lang w:val="es-ES_tradnl"/>
    </w:rPr>
  </w:style>
  <w:style w:type="paragraph" w:styleId="Ttulo4">
    <w:name w:val="heading 4"/>
    <w:basedOn w:val="Normal"/>
    <w:next w:val="Normal"/>
    <w:qFormat/>
    <w:rsid w:val="00A923AC"/>
    <w:pPr>
      <w:keepNext/>
      <w:jc w:val="center"/>
      <w:outlineLvl w:val="3"/>
    </w:pPr>
    <w:rPr>
      <w:rFonts w:ascii="Arial" w:hAnsi="Arial"/>
      <w:b/>
      <w:sz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A923AC"/>
    <w:pPr>
      <w:jc w:val="both"/>
    </w:pPr>
    <w:rPr>
      <w:rFonts w:ascii="Arial Narrow" w:hAnsi="Arial Narrow"/>
      <w:lang w:val="es-ES"/>
    </w:rPr>
  </w:style>
  <w:style w:type="paragraph" w:styleId="Textodebloque">
    <w:name w:val="Block Text"/>
    <w:basedOn w:val="Normal"/>
    <w:rsid w:val="00A923AC"/>
    <w:pPr>
      <w:spacing w:line="360" w:lineRule="atLeast"/>
      <w:ind w:left="1440" w:right="868" w:hanging="864"/>
      <w:jc w:val="both"/>
    </w:pPr>
    <w:rPr>
      <w:sz w:val="20"/>
      <w:szCs w:val="20"/>
    </w:rPr>
  </w:style>
  <w:style w:type="paragraph" w:styleId="Textoindependiente">
    <w:name w:val="Body Text"/>
    <w:basedOn w:val="Normal"/>
    <w:rsid w:val="00A923AC"/>
    <w:pPr>
      <w:jc w:val="both"/>
    </w:pPr>
    <w:rPr>
      <w:rFonts w:ascii="Arial" w:hAnsi="Arial" w:cs="Arial"/>
      <w:sz w:val="20"/>
      <w:lang w:val="es-ES"/>
    </w:rPr>
  </w:style>
  <w:style w:type="table" w:styleId="Tablaconcuadrcula">
    <w:name w:val="Table Grid"/>
    <w:basedOn w:val="Tablanormal"/>
    <w:uiPriority w:val="39"/>
    <w:rsid w:val="00D02A16"/>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unhideWhenUsed/>
    <w:rsid w:val="00697908"/>
    <w:rPr>
      <w:rFonts w:ascii="Segoe UI" w:hAnsi="Segoe UI" w:cs="Segoe UI"/>
      <w:sz w:val="18"/>
      <w:szCs w:val="18"/>
    </w:rPr>
  </w:style>
  <w:style w:type="character" w:customStyle="1" w:styleId="TextodegloboCar">
    <w:name w:val="Texto de globo Car"/>
    <w:basedOn w:val="Fuentedeprrafopredeter"/>
    <w:link w:val="Textodeglobo"/>
    <w:semiHidden/>
    <w:rsid w:val="00697908"/>
    <w:rPr>
      <w:rFonts w:ascii="Segoe UI" w:hAnsi="Segoe UI" w:cs="Segoe UI"/>
      <w:sz w:val="18"/>
      <w:szCs w:val="18"/>
      <w:lang w:val="es-MX"/>
    </w:rPr>
  </w:style>
  <w:style w:type="paragraph" w:styleId="Prrafodelista">
    <w:name w:val="List Paragraph"/>
    <w:basedOn w:val="Normal"/>
    <w:uiPriority w:val="34"/>
    <w:qFormat/>
    <w:rsid w:val="00355520"/>
    <w:pPr>
      <w:ind w:left="708"/>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69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2362</Words>
  <Characters>12843</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RESUMEN DE ACUERDOS ADOPTADOS EN LA</vt:lpstr>
    </vt:vector>
  </TitlesOfParts>
  <Company>Grupo Financiero Interacciones</Company>
  <LinksUpToDate>false</LinksUpToDate>
  <CharactersWithSpaces>15175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RESUMEN DE ACUERDOS ADOPTADOS EN LA</dc:title>
  <dc:subject/>
  <dc:creator>QUVA4101</dc:creator>
  <cp:keywords/>
  <dc:description/>
  <cp:lastModifiedBy>Alejandro Quiroz Vazquez</cp:lastModifiedBy>
  <cp:revision>3</cp:revision>
  <cp:lastPrinted>2015-05-04T16:27:00Z</cp:lastPrinted>
  <dcterms:created xsi:type="dcterms:W3CDTF">2018-07-04T13:25:00Z</dcterms:created>
  <dcterms:modified xsi:type="dcterms:W3CDTF">2018-07-04T13:32:00Z</dcterms:modified>
</cp:coreProperties>
</file>