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D18E" w14:textId="0A802BDE" w:rsidR="00E05F30" w:rsidRDefault="00740CB5" w:rsidP="00E05F30">
      <w:r>
        <w:t>Mid Wynd International Investment Trust plc (the ‘Company’)</w:t>
      </w:r>
    </w:p>
    <w:p w14:paraId="44177437" w14:textId="7A9F30A6" w:rsidR="00740CB5" w:rsidRDefault="00740CB5" w:rsidP="00E05F30">
      <w:r>
        <w:t>Summary of Proxy Voting for the General Meeting held on 28 August 2025</w:t>
      </w:r>
    </w:p>
    <w:p w14:paraId="321419A1" w14:textId="77777777" w:rsidR="00740CB5" w:rsidRDefault="00740CB5" w:rsidP="00E05F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2231"/>
        <w:gridCol w:w="1759"/>
        <w:gridCol w:w="2071"/>
        <w:gridCol w:w="1759"/>
        <w:gridCol w:w="1661"/>
        <w:gridCol w:w="1661"/>
      </w:tblGrid>
      <w:tr w:rsidR="00740CB5" w14:paraId="217DB2E1" w14:textId="77B441D1" w:rsidTr="00740CB5">
        <w:trPr>
          <w:trHeight w:val="1044"/>
        </w:trPr>
        <w:tc>
          <w:tcPr>
            <w:tcW w:w="2275" w:type="dxa"/>
          </w:tcPr>
          <w:p w14:paraId="07D51AB0" w14:textId="18937094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Resolution</w:t>
            </w:r>
          </w:p>
        </w:tc>
        <w:tc>
          <w:tcPr>
            <w:tcW w:w="2231" w:type="dxa"/>
          </w:tcPr>
          <w:p w14:paraId="156D78C1" w14:textId="47D7A84F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Total votes for / discretion</w:t>
            </w:r>
          </w:p>
        </w:tc>
        <w:tc>
          <w:tcPr>
            <w:tcW w:w="1759" w:type="dxa"/>
          </w:tcPr>
          <w:p w14:paraId="23BE3B0A" w14:textId="3760AEA6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%</w:t>
            </w:r>
          </w:p>
        </w:tc>
        <w:tc>
          <w:tcPr>
            <w:tcW w:w="2071" w:type="dxa"/>
          </w:tcPr>
          <w:p w14:paraId="53EBA794" w14:textId="6596D0F5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Total votes against</w:t>
            </w:r>
          </w:p>
        </w:tc>
        <w:tc>
          <w:tcPr>
            <w:tcW w:w="1759" w:type="dxa"/>
          </w:tcPr>
          <w:p w14:paraId="1288B468" w14:textId="65DB2BA1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%</w:t>
            </w:r>
          </w:p>
        </w:tc>
        <w:tc>
          <w:tcPr>
            <w:tcW w:w="1661" w:type="dxa"/>
          </w:tcPr>
          <w:p w14:paraId="2960DB42" w14:textId="62D94CD6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Total votes (exc. Votes withheld)</w:t>
            </w:r>
          </w:p>
        </w:tc>
        <w:tc>
          <w:tcPr>
            <w:tcW w:w="1661" w:type="dxa"/>
          </w:tcPr>
          <w:p w14:paraId="594DF4BF" w14:textId="64126496" w:rsidR="00740CB5" w:rsidRPr="00740CB5" w:rsidRDefault="00740CB5" w:rsidP="00E05F30">
            <w:pPr>
              <w:rPr>
                <w:b/>
                <w:bCs/>
              </w:rPr>
            </w:pPr>
            <w:r w:rsidRPr="00740CB5">
              <w:rPr>
                <w:b/>
                <w:bCs/>
              </w:rPr>
              <w:t>Total votes withheld</w:t>
            </w:r>
          </w:p>
        </w:tc>
      </w:tr>
      <w:tr w:rsidR="00740CB5" w14:paraId="383CDF5A" w14:textId="1EB32D1D" w:rsidTr="00740CB5">
        <w:trPr>
          <w:trHeight w:val="2122"/>
        </w:trPr>
        <w:tc>
          <w:tcPr>
            <w:tcW w:w="2275" w:type="dxa"/>
          </w:tcPr>
          <w:p w14:paraId="3AECA447" w14:textId="5D387389" w:rsidR="00740CB5" w:rsidRPr="00740CB5" w:rsidRDefault="00740CB5" w:rsidP="00E05F30">
            <w:pPr>
              <w:rPr>
                <w:i/>
                <w:iCs/>
              </w:rPr>
            </w:pPr>
            <w:r w:rsidRPr="00740CB5">
              <w:rPr>
                <w:i/>
                <w:iCs/>
              </w:rPr>
              <w:t>Special Resolution</w:t>
            </w:r>
          </w:p>
          <w:p w14:paraId="422F4BAA" w14:textId="77777777" w:rsidR="00740CB5" w:rsidRDefault="00740CB5" w:rsidP="00E05F30"/>
          <w:p w14:paraId="6E4424F2" w14:textId="156FE39B" w:rsidR="00740CB5" w:rsidRDefault="00740CB5" w:rsidP="00E05F30">
            <w:r>
              <w:t>To authorise the Company to make market purchases of up to 14.99 per cent of its issued share capital</w:t>
            </w:r>
          </w:p>
        </w:tc>
        <w:tc>
          <w:tcPr>
            <w:tcW w:w="2231" w:type="dxa"/>
          </w:tcPr>
          <w:p w14:paraId="474A557E" w14:textId="60C83F45" w:rsidR="00740CB5" w:rsidRDefault="00740CB5" w:rsidP="00E05F30">
            <w:r>
              <w:t>7,404,050</w:t>
            </w:r>
          </w:p>
        </w:tc>
        <w:tc>
          <w:tcPr>
            <w:tcW w:w="1759" w:type="dxa"/>
          </w:tcPr>
          <w:p w14:paraId="09BEAD1A" w14:textId="72B0D10C" w:rsidR="00740CB5" w:rsidRDefault="00740CB5" w:rsidP="00E05F30">
            <w:r>
              <w:t>96.06</w:t>
            </w:r>
          </w:p>
        </w:tc>
        <w:tc>
          <w:tcPr>
            <w:tcW w:w="2071" w:type="dxa"/>
          </w:tcPr>
          <w:p w14:paraId="73036841" w14:textId="6F34F2A8" w:rsidR="00740CB5" w:rsidRDefault="00740CB5" w:rsidP="00E05F30">
            <w:r>
              <w:t>303,728</w:t>
            </w:r>
          </w:p>
        </w:tc>
        <w:tc>
          <w:tcPr>
            <w:tcW w:w="1759" w:type="dxa"/>
          </w:tcPr>
          <w:p w14:paraId="64C36D16" w14:textId="053B09D0" w:rsidR="00740CB5" w:rsidRDefault="00740CB5" w:rsidP="00E05F30">
            <w:r>
              <w:t>3.94</w:t>
            </w:r>
          </w:p>
        </w:tc>
        <w:tc>
          <w:tcPr>
            <w:tcW w:w="1661" w:type="dxa"/>
          </w:tcPr>
          <w:p w14:paraId="32B6E7F3" w14:textId="148DF9BC" w:rsidR="00740CB5" w:rsidRDefault="00740CB5" w:rsidP="00E05F30">
            <w:r>
              <w:t>7,707,778</w:t>
            </w:r>
          </w:p>
        </w:tc>
        <w:tc>
          <w:tcPr>
            <w:tcW w:w="1661" w:type="dxa"/>
          </w:tcPr>
          <w:p w14:paraId="5AD67053" w14:textId="79AF953E" w:rsidR="00740CB5" w:rsidRDefault="00740CB5" w:rsidP="00E05F30">
            <w:r>
              <w:t>6,197</w:t>
            </w:r>
          </w:p>
        </w:tc>
      </w:tr>
    </w:tbl>
    <w:p w14:paraId="4467F51C" w14:textId="77777777" w:rsidR="00740CB5" w:rsidRDefault="00740CB5" w:rsidP="00E05F30"/>
    <w:p w14:paraId="48FA389B" w14:textId="05235C47" w:rsidR="00740CB5" w:rsidRDefault="00740CB5" w:rsidP="00E05F30">
      <w:r>
        <w:t>Notes:</w:t>
      </w:r>
    </w:p>
    <w:p w14:paraId="2EB85BEF" w14:textId="146FFCA3" w:rsidR="00740CB5" w:rsidRDefault="00740CB5" w:rsidP="00740CB5">
      <w:pPr>
        <w:pStyle w:val="ListParagraph"/>
        <w:numPr>
          <w:ilvl w:val="0"/>
          <w:numId w:val="1"/>
        </w:numPr>
      </w:pPr>
      <w:r>
        <w:t>The total number of voting rights in the Company as at the record date of 6.00 p.m. on 26 August 2025 was 37,349,356</w:t>
      </w:r>
    </w:p>
    <w:p w14:paraId="0CF29A9D" w14:textId="49FE0587" w:rsidR="00740CB5" w:rsidRDefault="00740CB5" w:rsidP="00740CB5">
      <w:pPr>
        <w:pStyle w:val="ListParagraph"/>
        <w:numPr>
          <w:ilvl w:val="0"/>
          <w:numId w:val="1"/>
        </w:numPr>
      </w:pPr>
      <w:r>
        <w:t xml:space="preserve">A ‘vote withheld’ is not a vote in law and is not counted in the calculation of the percentage of shares voted ‘For’ or ‘Against’ the Resolution. </w:t>
      </w:r>
    </w:p>
    <w:p w14:paraId="3F811BEA" w14:textId="3CD3A846" w:rsidR="00740CB5" w:rsidRPr="00E05F30" w:rsidRDefault="00740CB5" w:rsidP="00740CB5">
      <w:pPr>
        <w:pStyle w:val="ListParagraph"/>
        <w:numPr>
          <w:ilvl w:val="0"/>
          <w:numId w:val="1"/>
        </w:numPr>
      </w:pPr>
      <w:r>
        <w:t xml:space="preserve">The resolution was voted on by way of a poll. </w:t>
      </w:r>
    </w:p>
    <w:sectPr w:rsidR="00740CB5" w:rsidRPr="00E05F30" w:rsidSect="00740C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61E64"/>
    <w:multiLevelType w:val="hybridMultilevel"/>
    <w:tmpl w:val="C7FC8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74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B5"/>
    <w:rsid w:val="00167E42"/>
    <w:rsid w:val="002C192C"/>
    <w:rsid w:val="003707DE"/>
    <w:rsid w:val="003777BD"/>
    <w:rsid w:val="00514696"/>
    <w:rsid w:val="006A0FF9"/>
    <w:rsid w:val="00740CB5"/>
    <w:rsid w:val="008E20DA"/>
    <w:rsid w:val="008F4586"/>
    <w:rsid w:val="009E19DF"/>
    <w:rsid w:val="00A455DB"/>
    <w:rsid w:val="00A67523"/>
    <w:rsid w:val="00C34888"/>
    <w:rsid w:val="00C36A12"/>
    <w:rsid w:val="00E05F30"/>
    <w:rsid w:val="00F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3465"/>
  <w15:chartTrackingRefBased/>
  <w15:docId w15:val="{A2AC79B5-F9B5-4A42-A06F-44DE367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A12"/>
    <w:pPr>
      <w:keepNext/>
      <w:keepLines/>
      <w:spacing w:before="240" w:after="0"/>
      <w:outlineLvl w:val="0"/>
    </w:pPr>
    <w:rPr>
      <w:rFonts w:eastAsiaTheme="majorEastAsia" w:cstheme="majorBidi"/>
      <w:color w:val="417ED6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A12"/>
    <w:pPr>
      <w:keepNext/>
      <w:keepLines/>
      <w:spacing w:before="40" w:after="0"/>
      <w:outlineLvl w:val="1"/>
    </w:pPr>
    <w:rPr>
      <w:rFonts w:eastAsiaTheme="majorEastAsia" w:cstheme="majorBidi"/>
      <w:color w:val="417ED6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A12"/>
    <w:pPr>
      <w:keepNext/>
      <w:keepLines/>
      <w:spacing w:before="40" w:after="0"/>
      <w:outlineLvl w:val="2"/>
    </w:pPr>
    <w:rPr>
      <w:rFonts w:eastAsiaTheme="majorEastAsia" w:cstheme="majorBidi"/>
      <w:color w:val="417ED6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6A1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17ED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CB5"/>
    <w:pPr>
      <w:keepNext/>
      <w:keepLines/>
      <w:spacing w:before="80" w:after="40"/>
      <w:outlineLvl w:val="4"/>
    </w:pPr>
    <w:rPr>
      <w:rFonts w:eastAsiaTheme="majorEastAsia" w:cstheme="majorBidi"/>
      <w:color w:val="255B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A12"/>
    <w:rPr>
      <w:rFonts w:eastAsiaTheme="majorEastAsia" w:cstheme="majorBidi"/>
      <w:color w:val="417ED6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A12"/>
    <w:rPr>
      <w:rFonts w:eastAsiaTheme="majorEastAsia" w:cstheme="majorBidi"/>
      <w:color w:val="417ED6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6A12"/>
    <w:rPr>
      <w:rFonts w:eastAsiaTheme="majorEastAsia" w:cstheme="majorBidi"/>
      <w:color w:val="417ED6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6A12"/>
    <w:rPr>
      <w:rFonts w:eastAsiaTheme="majorEastAsia" w:cstheme="majorBidi"/>
      <w:i/>
      <w:iCs/>
      <w:color w:val="417ED6" w:themeColor="accent1"/>
    </w:rPr>
  </w:style>
  <w:style w:type="paragraph" w:styleId="NoSpacing">
    <w:name w:val="No Spacing"/>
    <w:uiPriority w:val="1"/>
    <w:qFormat/>
    <w:rsid w:val="00C36A12"/>
    <w:pPr>
      <w:spacing w:after="0" w:line="240" w:lineRule="auto"/>
    </w:pPr>
  </w:style>
  <w:style w:type="paragraph" w:customStyle="1" w:styleId="JPHeading1">
    <w:name w:val="JP Heading 1"/>
    <w:basedOn w:val="Normal"/>
    <w:link w:val="JPHeading1Char"/>
    <w:qFormat/>
    <w:rsid w:val="009E19DF"/>
    <w:pPr>
      <w:pBdr>
        <w:bottom w:val="single" w:sz="8" w:space="1" w:color="417ED6" w:themeColor="accent1"/>
      </w:pBdr>
    </w:pPr>
    <w:rPr>
      <w:color w:val="417ED6" w:themeColor="accent1"/>
      <w:sz w:val="28"/>
      <w:szCs w:val="28"/>
    </w:rPr>
  </w:style>
  <w:style w:type="character" w:customStyle="1" w:styleId="JPHeading1Char">
    <w:name w:val="JP Heading 1 Char"/>
    <w:basedOn w:val="DefaultParagraphFont"/>
    <w:link w:val="JPHeading1"/>
    <w:rsid w:val="009E19DF"/>
    <w:rPr>
      <w:color w:val="417ED6" w:themeColor="accent1"/>
      <w:sz w:val="28"/>
      <w:szCs w:val="28"/>
    </w:rPr>
  </w:style>
  <w:style w:type="paragraph" w:customStyle="1" w:styleId="JPHeading2">
    <w:name w:val="JP Heading 2"/>
    <w:basedOn w:val="Heading2"/>
    <w:link w:val="JPHeading2Char"/>
    <w:qFormat/>
    <w:rsid w:val="00E05F30"/>
  </w:style>
  <w:style w:type="character" w:customStyle="1" w:styleId="JPHeading2Char">
    <w:name w:val="JP Heading 2 Char"/>
    <w:basedOn w:val="Heading2Char"/>
    <w:link w:val="JPHeading2"/>
    <w:rsid w:val="00E05F30"/>
    <w:rPr>
      <w:rFonts w:eastAsiaTheme="majorEastAsia" w:cstheme="majorBidi"/>
      <w:color w:val="417ED6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CB5"/>
    <w:rPr>
      <w:rFonts w:eastAsiaTheme="majorEastAsia" w:cstheme="majorBidi"/>
      <w:color w:val="255B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CB5"/>
    <w:rPr>
      <w:i/>
      <w:iCs/>
      <w:color w:val="255B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B5"/>
    <w:pPr>
      <w:pBdr>
        <w:top w:val="single" w:sz="4" w:space="10" w:color="255BAB" w:themeColor="accent1" w:themeShade="BF"/>
        <w:bottom w:val="single" w:sz="4" w:space="10" w:color="255BAB" w:themeColor="accent1" w:themeShade="BF"/>
      </w:pBdr>
      <w:spacing w:before="360" w:after="360"/>
      <w:ind w:left="864" w:right="864"/>
      <w:jc w:val="center"/>
    </w:pPr>
    <w:rPr>
      <w:i/>
      <w:iCs/>
      <w:color w:val="255B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CB5"/>
    <w:rPr>
      <w:i/>
      <w:iCs/>
      <w:color w:val="255B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CB5"/>
    <w:rPr>
      <w:b/>
      <w:bCs/>
      <w:smallCaps/>
      <w:color w:val="255BAB" w:themeColor="accent1" w:themeShade="BF"/>
      <w:spacing w:val="5"/>
    </w:rPr>
  </w:style>
  <w:style w:type="table" w:styleId="TableGrid">
    <w:name w:val="Table Grid"/>
    <w:basedOn w:val="TableNormal"/>
    <w:uiPriority w:val="39"/>
    <w:rsid w:val="0074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Juniper Partn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17ED6"/>
      </a:accent1>
      <a:accent2>
        <a:srgbClr val="6CD396"/>
      </a:accent2>
      <a:accent3>
        <a:srgbClr val="2D3A4F"/>
      </a:accent3>
      <a:accent4>
        <a:srgbClr val="417E96"/>
      </a:accent4>
      <a:accent5>
        <a:srgbClr val="FFFFFF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McKeown</dc:creator>
  <cp:keywords/>
  <dc:description/>
  <cp:lastModifiedBy>Michelle McKeown</cp:lastModifiedBy>
  <cp:revision>1</cp:revision>
  <dcterms:created xsi:type="dcterms:W3CDTF">2025-08-28T13:35:00Z</dcterms:created>
  <dcterms:modified xsi:type="dcterms:W3CDTF">2025-08-28T13:43:00Z</dcterms:modified>
</cp:coreProperties>
</file>