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97A12" w14:textId="19D3053E" w:rsidR="005B62E9" w:rsidRDefault="005B62E9" w:rsidP="005B62E9">
      <w:pPr>
        <w:rPr>
          <w:b/>
          <w:bCs/>
        </w:rPr>
      </w:pPr>
      <w:r>
        <w:rPr>
          <w:b/>
          <w:bCs/>
        </w:rPr>
        <w:t>Company Number:</w:t>
      </w:r>
      <w:r>
        <w:rPr>
          <w:b/>
          <w:bCs/>
        </w:rPr>
        <w:tab/>
      </w:r>
      <w:r w:rsidR="00C12222">
        <w:rPr>
          <w:b/>
          <w:bCs/>
        </w:rPr>
        <w:t>3004101</w:t>
      </w:r>
    </w:p>
    <w:p w14:paraId="736CD862" w14:textId="77777777" w:rsidR="005B62E9" w:rsidRDefault="005B62E9" w:rsidP="005B62E9">
      <w:pPr>
        <w:rPr>
          <w:b/>
          <w:bCs/>
        </w:rPr>
      </w:pPr>
    </w:p>
    <w:p w14:paraId="31B60B42" w14:textId="77777777" w:rsidR="002E435C" w:rsidRDefault="002E435C" w:rsidP="002E435C">
      <w:pPr>
        <w:jc w:val="center"/>
        <w:rPr>
          <w:b/>
          <w:bCs/>
        </w:rPr>
      </w:pPr>
      <w:r>
        <w:rPr>
          <w:b/>
          <w:bCs/>
        </w:rPr>
        <w:t xml:space="preserve">THE COMPANIES ACT </w:t>
      </w:r>
      <w:r w:rsidR="00920398">
        <w:rPr>
          <w:b/>
          <w:bCs/>
        </w:rPr>
        <w:t>2006</w:t>
      </w:r>
    </w:p>
    <w:p w14:paraId="2FDAACEF" w14:textId="77777777" w:rsidR="002E435C" w:rsidRDefault="002E435C" w:rsidP="002E435C">
      <w:pPr>
        <w:jc w:val="center"/>
        <w:rPr>
          <w:b/>
          <w:bCs/>
        </w:rPr>
      </w:pPr>
      <w:r>
        <w:rPr>
          <w:b/>
          <w:bCs/>
        </w:rPr>
        <w:t>PUBLIC LIMITED COMPANY</w:t>
      </w:r>
    </w:p>
    <w:p w14:paraId="73290B03" w14:textId="3D84922B" w:rsidR="005B62E9" w:rsidRDefault="00C12222" w:rsidP="005B62E9">
      <w:pPr>
        <w:jc w:val="center"/>
        <w:rPr>
          <w:b/>
          <w:bCs/>
        </w:rPr>
      </w:pPr>
      <w:r>
        <w:rPr>
          <w:b/>
          <w:bCs/>
        </w:rPr>
        <w:t>MONTANARO UK SMALLER COMPANIES INVESTMENT TRUST PLC</w:t>
      </w:r>
    </w:p>
    <w:p w14:paraId="08986928" w14:textId="77777777" w:rsidR="005B62E9" w:rsidRDefault="005B62E9" w:rsidP="005B62E9">
      <w:pPr>
        <w:jc w:val="center"/>
        <w:rPr>
          <w:b/>
          <w:bCs/>
        </w:rPr>
      </w:pPr>
      <w:r>
        <w:rPr>
          <w:b/>
          <w:bCs/>
        </w:rPr>
        <w:t>SPECIAL RESOLUTIONS</w:t>
      </w:r>
    </w:p>
    <w:p w14:paraId="5A06C8C5" w14:textId="503C3B27" w:rsidR="005B62E9" w:rsidRDefault="005B62E9" w:rsidP="005B62E9">
      <w:pPr>
        <w:jc w:val="center"/>
        <w:rPr>
          <w:b/>
          <w:bCs/>
        </w:rPr>
      </w:pPr>
      <w:r>
        <w:rPr>
          <w:b/>
          <w:bCs/>
        </w:rPr>
        <w:t xml:space="preserve">(Passed on </w:t>
      </w:r>
      <w:r w:rsidR="00C12222">
        <w:rPr>
          <w:b/>
          <w:bCs/>
        </w:rPr>
        <w:t>2</w:t>
      </w:r>
      <w:r w:rsidR="00700C45">
        <w:rPr>
          <w:b/>
          <w:bCs/>
        </w:rPr>
        <w:t>5</w:t>
      </w:r>
      <w:r w:rsidR="00C12222">
        <w:rPr>
          <w:b/>
          <w:bCs/>
        </w:rPr>
        <w:t xml:space="preserve"> July</w:t>
      </w:r>
      <w:r w:rsidR="000F058B">
        <w:rPr>
          <w:b/>
          <w:bCs/>
        </w:rPr>
        <w:t xml:space="preserve"> 202</w:t>
      </w:r>
      <w:r w:rsidR="00700C45">
        <w:rPr>
          <w:b/>
          <w:bCs/>
        </w:rPr>
        <w:t>4</w:t>
      </w:r>
      <w:r>
        <w:rPr>
          <w:b/>
          <w:bCs/>
        </w:rPr>
        <w:t>)</w:t>
      </w:r>
    </w:p>
    <w:p w14:paraId="515111F8" w14:textId="77777777" w:rsidR="005B62E9" w:rsidRPr="008573AA" w:rsidRDefault="005B62E9" w:rsidP="005B62E9">
      <w:pPr>
        <w:rPr>
          <w:sz w:val="19"/>
          <w:szCs w:val="19"/>
        </w:rPr>
      </w:pPr>
    </w:p>
    <w:p w14:paraId="2E2B4038" w14:textId="0C93FA6A" w:rsidR="005B62E9" w:rsidRPr="009D5B74" w:rsidRDefault="005B62E9" w:rsidP="00C12222">
      <w:pPr>
        <w:rPr>
          <w:sz w:val="19"/>
          <w:szCs w:val="19"/>
        </w:rPr>
      </w:pPr>
      <w:r w:rsidRPr="009D5B74">
        <w:rPr>
          <w:sz w:val="19"/>
          <w:szCs w:val="19"/>
        </w:rPr>
        <w:t xml:space="preserve">At the Annual General Meeting of </w:t>
      </w:r>
      <w:r w:rsidR="00C12222" w:rsidRPr="00C12222">
        <w:rPr>
          <w:sz w:val="19"/>
          <w:szCs w:val="19"/>
        </w:rPr>
        <w:t>M</w:t>
      </w:r>
      <w:r w:rsidR="00C12222">
        <w:rPr>
          <w:sz w:val="19"/>
          <w:szCs w:val="19"/>
        </w:rPr>
        <w:t xml:space="preserve">ontanaro UK Smaller Companies </w:t>
      </w:r>
      <w:r w:rsidR="00A80F8A">
        <w:rPr>
          <w:sz w:val="19"/>
          <w:szCs w:val="19"/>
        </w:rPr>
        <w:t xml:space="preserve">Investment </w:t>
      </w:r>
      <w:r w:rsidR="00C12222">
        <w:rPr>
          <w:sz w:val="19"/>
          <w:szCs w:val="19"/>
        </w:rPr>
        <w:t>Trust plc</w:t>
      </w:r>
      <w:r w:rsidRPr="009D5B74">
        <w:rPr>
          <w:sz w:val="19"/>
          <w:szCs w:val="19"/>
        </w:rPr>
        <w:t xml:space="preserve"> (the "Company"), duly convened and held at </w:t>
      </w:r>
      <w:r w:rsidR="00C12222">
        <w:rPr>
          <w:sz w:val="19"/>
          <w:szCs w:val="19"/>
        </w:rPr>
        <w:t xml:space="preserve">53 Threadneedle Steet, London EC2 3AR </w:t>
      </w:r>
      <w:r w:rsidR="006F6868" w:rsidRPr="009D5B74">
        <w:rPr>
          <w:sz w:val="19"/>
          <w:szCs w:val="19"/>
        </w:rPr>
        <w:t xml:space="preserve">on </w:t>
      </w:r>
      <w:r w:rsidR="00C12222">
        <w:rPr>
          <w:sz w:val="19"/>
          <w:szCs w:val="19"/>
        </w:rPr>
        <w:t>2</w:t>
      </w:r>
      <w:r w:rsidR="00700C45">
        <w:rPr>
          <w:sz w:val="19"/>
          <w:szCs w:val="19"/>
        </w:rPr>
        <w:t>5</w:t>
      </w:r>
      <w:r w:rsidR="00C12222">
        <w:rPr>
          <w:sz w:val="19"/>
          <w:szCs w:val="19"/>
        </w:rPr>
        <w:t xml:space="preserve"> July 202</w:t>
      </w:r>
      <w:r w:rsidR="00700C45">
        <w:rPr>
          <w:sz w:val="19"/>
          <w:szCs w:val="19"/>
        </w:rPr>
        <w:t>4</w:t>
      </w:r>
      <w:r w:rsidR="00C12222">
        <w:rPr>
          <w:sz w:val="19"/>
          <w:szCs w:val="19"/>
        </w:rPr>
        <w:t xml:space="preserve"> </w:t>
      </w:r>
      <w:r w:rsidR="00736665" w:rsidRPr="009D5B74">
        <w:rPr>
          <w:sz w:val="19"/>
          <w:szCs w:val="19"/>
        </w:rPr>
        <w:t>at 12.</w:t>
      </w:r>
      <w:r w:rsidR="00C12222">
        <w:rPr>
          <w:sz w:val="19"/>
          <w:szCs w:val="19"/>
        </w:rPr>
        <w:t>00</w:t>
      </w:r>
      <w:r w:rsidR="00736665" w:rsidRPr="009D5B74">
        <w:rPr>
          <w:sz w:val="19"/>
          <w:szCs w:val="19"/>
        </w:rPr>
        <w:t xml:space="preserve"> pm</w:t>
      </w:r>
      <w:r w:rsidRPr="009D5B74">
        <w:rPr>
          <w:sz w:val="19"/>
          <w:szCs w:val="19"/>
        </w:rPr>
        <w:t>, the following resolutions were passed:-</w:t>
      </w:r>
    </w:p>
    <w:p w14:paraId="4C4B781D" w14:textId="77777777" w:rsidR="005B62E9" w:rsidRPr="009D5B74" w:rsidRDefault="005B62E9" w:rsidP="00BA38B8">
      <w:pPr>
        <w:pStyle w:val="SAccountsText"/>
        <w:jc w:val="center"/>
      </w:pPr>
    </w:p>
    <w:p w14:paraId="72A74D42" w14:textId="319FA020" w:rsidR="00B674CC" w:rsidRPr="009D5B74" w:rsidRDefault="00BA38B8" w:rsidP="00717110">
      <w:pPr>
        <w:pStyle w:val="SAccountsText"/>
        <w:jc w:val="center"/>
      </w:pPr>
      <w:r w:rsidRPr="009D5B74">
        <w:t>ORDINARY RESOLUTION</w:t>
      </w:r>
    </w:p>
    <w:p w14:paraId="77D30A17" w14:textId="4A2A8142" w:rsidR="00ED422A" w:rsidRPr="009D5B74" w:rsidRDefault="00700C45" w:rsidP="00C12222">
      <w:pPr>
        <w:autoSpaceDE w:val="0"/>
        <w:autoSpaceDN w:val="0"/>
        <w:adjustRightInd w:val="0"/>
        <w:spacing w:after="0"/>
        <w:ind w:left="142" w:hanging="142"/>
        <w:jc w:val="left"/>
        <w:rPr>
          <w:sz w:val="19"/>
          <w:szCs w:val="19"/>
        </w:rPr>
      </w:pPr>
      <w:r>
        <w:rPr>
          <w:sz w:val="19"/>
          <w:szCs w:val="19"/>
        </w:rPr>
        <w:t>10</w:t>
      </w:r>
      <w:r w:rsidR="00ED422A" w:rsidRPr="009D5B74">
        <w:rPr>
          <w:sz w:val="19"/>
          <w:szCs w:val="19"/>
        </w:rPr>
        <w:t>. Authority to allot shares</w:t>
      </w:r>
    </w:p>
    <w:p w14:paraId="1FCA21CD" w14:textId="77777777" w:rsidR="00C12222" w:rsidRDefault="00C12222" w:rsidP="00C12222">
      <w:pPr>
        <w:autoSpaceDE w:val="0"/>
        <w:autoSpaceDN w:val="0"/>
        <w:adjustRightInd w:val="0"/>
        <w:spacing w:after="0"/>
        <w:rPr>
          <w:sz w:val="19"/>
          <w:szCs w:val="19"/>
        </w:rPr>
      </w:pPr>
    </w:p>
    <w:p w14:paraId="1B519924" w14:textId="4ADB4109" w:rsidR="00C12222" w:rsidRDefault="00C12222" w:rsidP="00C12222">
      <w:pPr>
        <w:autoSpaceDE w:val="0"/>
        <w:autoSpaceDN w:val="0"/>
        <w:adjustRightInd w:val="0"/>
        <w:spacing w:after="0"/>
        <w:rPr>
          <w:sz w:val="19"/>
          <w:szCs w:val="19"/>
        </w:rPr>
      </w:pPr>
      <w:r w:rsidRPr="00C12222">
        <w:rPr>
          <w:sz w:val="19"/>
          <w:szCs w:val="19"/>
        </w:rPr>
        <w:t>T</w:t>
      </w:r>
      <w:r w:rsidR="00F20594">
        <w:rPr>
          <w:sz w:val="19"/>
          <w:szCs w:val="19"/>
        </w:rPr>
        <w:t>HAT,</w:t>
      </w:r>
      <w:r>
        <w:rPr>
          <w:sz w:val="19"/>
          <w:szCs w:val="19"/>
        </w:rPr>
        <w:t xml:space="preserve"> </w:t>
      </w:r>
      <w:r w:rsidRPr="00C12222">
        <w:rPr>
          <w:sz w:val="19"/>
          <w:szCs w:val="19"/>
        </w:rPr>
        <w:t>the Directors of the Company be and are hereby generally and unconditionally authorised (in substitution for any authorities previously granted to the Directors to the extent unused) pursuant to Section 551 of the Companies Act 2006 (the “Act”), to exercise all the powers of the Company to allot shares and to grant rights to subscribe for, or to convert any security into, shares in the Company (“Rights”) up to an aggregate nominal amount of £334,759 (being approximately 10% of the issued share capital, excluding treasury shares, as at 1</w:t>
      </w:r>
      <w:r w:rsidR="00700C45">
        <w:rPr>
          <w:sz w:val="19"/>
          <w:szCs w:val="19"/>
        </w:rPr>
        <w:t>3</w:t>
      </w:r>
      <w:r w:rsidRPr="00C12222">
        <w:rPr>
          <w:sz w:val="19"/>
          <w:szCs w:val="19"/>
        </w:rPr>
        <w:t xml:space="preserve"> June 202</w:t>
      </w:r>
      <w:r w:rsidR="00547A8B">
        <w:rPr>
          <w:sz w:val="19"/>
          <w:szCs w:val="19"/>
        </w:rPr>
        <w:t>4</w:t>
      </w:r>
      <w:r w:rsidRPr="00C12222">
        <w:rPr>
          <w:sz w:val="19"/>
          <w:szCs w:val="19"/>
        </w:rPr>
        <w:t>) provided that the authorities conferred on the Directors shall, unless renewed, varied or revoked by the Company in general meeting, expire at the conclusion of the next Annual General Meeting of the Company after the passing of this resolution, save that the Company may before such expiry make offers or agreements which would or might require shares to be allotted or Rights to be granted after such expiry and the Directors may allot shares or grant Rights in pursuance of such offers or agreements as if the authority conferred hereby had not expired. The Directors will use this authority when it is in the best interests of the Company to issue Ordinary shares for cash and will only issue new shares at a price representing a premium to the NAV per share at the time of issuance.</w:t>
      </w:r>
    </w:p>
    <w:p w14:paraId="79A3E2BC" w14:textId="77777777" w:rsidR="00C12222" w:rsidRDefault="00C12222" w:rsidP="00B674CC">
      <w:pPr>
        <w:autoSpaceDE w:val="0"/>
        <w:autoSpaceDN w:val="0"/>
        <w:adjustRightInd w:val="0"/>
        <w:spacing w:after="0"/>
        <w:ind w:left="142"/>
        <w:rPr>
          <w:sz w:val="19"/>
          <w:szCs w:val="19"/>
        </w:rPr>
      </w:pPr>
    </w:p>
    <w:p w14:paraId="33B327C8" w14:textId="77777777" w:rsidR="00C12222" w:rsidRPr="009D5B74" w:rsidRDefault="00C12222" w:rsidP="00B674CC">
      <w:pPr>
        <w:autoSpaceDE w:val="0"/>
        <w:autoSpaceDN w:val="0"/>
        <w:adjustRightInd w:val="0"/>
        <w:spacing w:after="0"/>
        <w:ind w:left="142"/>
        <w:rPr>
          <w:sz w:val="19"/>
          <w:szCs w:val="19"/>
        </w:rPr>
      </w:pPr>
    </w:p>
    <w:p w14:paraId="107003FB" w14:textId="77777777" w:rsidR="00B674CC" w:rsidRPr="009D5B74" w:rsidRDefault="00B674CC" w:rsidP="00B674CC">
      <w:pPr>
        <w:autoSpaceDE w:val="0"/>
        <w:autoSpaceDN w:val="0"/>
        <w:adjustRightInd w:val="0"/>
        <w:spacing w:after="0"/>
        <w:ind w:left="142"/>
        <w:rPr>
          <w:sz w:val="19"/>
          <w:szCs w:val="19"/>
        </w:rPr>
      </w:pPr>
    </w:p>
    <w:p w14:paraId="6ACE1CA7" w14:textId="77777777" w:rsidR="00ED51E3" w:rsidRPr="009D5B74" w:rsidRDefault="00ED51E3" w:rsidP="00ED51E3">
      <w:pPr>
        <w:pStyle w:val="SAccountsText"/>
        <w:jc w:val="center"/>
      </w:pPr>
      <w:r w:rsidRPr="009D5B74">
        <w:t>SPECIAL RESOLUTION</w:t>
      </w:r>
      <w:r w:rsidR="00F40C69" w:rsidRPr="009D5B74">
        <w:t>S</w:t>
      </w:r>
    </w:p>
    <w:p w14:paraId="002E2610" w14:textId="77777777" w:rsidR="00EA30E3" w:rsidRPr="009D5B74" w:rsidRDefault="00EA30E3" w:rsidP="00EA30E3">
      <w:pPr>
        <w:autoSpaceDE w:val="0"/>
        <w:autoSpaceDN w:val="0"/>
        <w:adjustRightInd w:val="0"/>
        <w:spacing w:after="0"/>
        <w:jc w:val="left"/>
        <w:rPr>
          <w:sz w:val="19"/>
          <w:szCs w:val="19"/>
        </w:rPr>
      </w:pPr>
    </w:p>
    <w:p w14:paraId="0576DCCD" w14:textId="4C8943C7" w:rsidR="00ED422A" w:rsidRPr="00C12222" w:rsidRDefault="005279B9" w:rsidP="00C12222">
      <w:pPr>
        <w:autoSpaceDE w:val="0"/>
        <w:autoSpaceDN w:val="0"/>
        <w:adjustRightInd w:val="0"/>
        <w:spacing w:after="0"/>
        <w:ind w:left="142" w:hanging="142"/>
        <w:jc w:val="left"/>
        <w:rPr>
          <w:sz w:val="19"/>
          <w:szCs w:val="19"/>
        </w:rPr>
      </w:pPr>
      <w:r w:rsidRPr="00C12222">
        <w:rPr>
          <w:sz w:val="19"/>
          <w:szCs w:val="19"/>
        </w:rPr>
        <w:t>1</w:t>
      </w:r>
      <w:r w:rsidR="009B2FED">
        <w:rPr>
          <w:sz w:val="19"/>
          <w:szCs w:val="19"/>
        </w:rPr>
        <w:t>1</w:t>
      </w:r>
      <w:r w:rsidR="00ED422A" w:rsidRPr="00C12222">
        <w:rPr>
          <w:sz w:val="19"/>
          <w:szCs w:val="19"/>
        </w:rPr>
        <w:t>. Disapplication of pre-emption rights</w:t>
      </w:r>
    </w:p>
    <w:p w14:paraId="3C0165AA" w14:textId="77777777" w:rsidR="00ED422A" w:rsidRPr="00C12222" w:rsidRDefault="00ED422A" w:rsidP="002159EE">
      <w:pPr>
        <w:autoSpaceDE w:val="0"/>
        <w:autoSpaceDN w:val="0"/>
        <w:adjustRightInd w:val="0"/>
        <w:spacing w:after="0"/>
        <w:ind w:left="142"/>
        <w:jc w:val="left"/>
        <w:rPr>
          <w:sz w:val="19"/>
          <w:szCs w:val="19"/>
        </w:rPr>
      </w:pPr>
    </w:p>
    <w:p w14:paraId="2483521C" w14:textId="4792CE4E" w:rsidR="00C12222" w:rsidRPr="00C12222" w:rsidRDefault="00C12222" w:rsidP="00C12222">
      <w:pPr>
        <w:pStyle w:val="List2"/>
        <w:ind w:left="0" w:firstLine="0"/>
        <w:rPr>
          <w:sz w:val="19"/>
          <w:szCs w:val="19"/>
        </w:rPr>
      </w:pPr>
      <w:r w:rsidRPr="00C12222">
        <w:rPr>
          <w:sz w:val="19"/>
          <w:szCs w:val="19"/>
        </w:rPr>
        <w:t xml:space="preserve">THAT, subject to the passing of Resolution </w:t>
      </w:r>
      <w:r w:rsidR="00244D6F">
        <w:rPr>
          <w:sz w:val="19"/>
          <w:szCs w:val="19"/>
        </w:rPr>
        <w:t>10</w:t>
      </w:r>
      <w:r w:rsidRPr="00C12222">
        <w:rPr>
          <w:sz w:val="19"/>
          <w:szCs w:val="19"/>
        </w:rPr>
        <w:t xml:space="preserve"> (and in substitution for all subsisting authorities to the extent unused but without prejudice to the exercise of any such power prior to the date hereof), the Directors be and are hereby empowered pursuant to Section 570 and Section 573 of the Companies Act 2006 (the “Act”) to allot equity securities (within the meaning of Section 560 of the Act) and to sell equity securities held by the Company as treasury shares (as defined in Section 724 of the Act) for cash pursuant to the authority conferred by Resolution </w:t>
      </w:r>
      <w:r w:rsidR="00547A8B">
        <w:rPr>
          <w:sz w:val="19"/>
          <w:szCs w:val="19"/>
        </w:rPr>
        <w:t>10</w:t>
      </w:r>
      <w:r w:rsidRPr="00C12222">
        <w:rPr>
          <w:sz w:val="19"/>
          <w:szCs w:val="19"/>
        </w:rPr>
        <w:t xml:space="preserve"> as if Section 561 of the Act did not apply to any such allotment and of sales of equity securities, provided that this power:</w:t>
      </w:r>
    </w:p>
    <w:p w14:paraId="41B804C6" w14:textId="77777777" w:rsidR="00C12222" w:rsidRPr="00C12222" w:rsidRDefault="00C12222" w:rsidP="00717110">
      <w:pPr>
        <w:pStyle w:val="List2"/>
        <w:rPr>
          <w:sz w:val="19"/>
          <w:szCs w:val="19"/>
        </w:rPr>
      </w:pPr>
    </w:p>
    <w:p w14:paraId="110CBE8D" w14:textId="756EC6AA" w:rsidR="00C12222" w:rsidRDefault="00C12222" w:rsidP="00C12222">
      <w:pPr>
        <w:pStyle w:val="List2"/>
        <w:numPr>
          <w:ilvl w:val="0"/>
          <w:numId w:val="20"/>
        </w:numPr>
        <w:ind w:left="993" w:hanging="719"/>
        <w:rPr>
          <w:sz w:val="19"/>
          <w:szCs w:val="19"/>
        </w:rPr>
      </w:pPr>
      <w:r w:rsidRPr="00C12222">
        <w:rPr>
          <w:sz w:val="19"/>
          <w:szCs w:val="19"/>
        </w:rPr>
        <w:t xml:space="preserve">shall expire at the conclusion of the Company’s next Annual General Meeting after the passing of this resolution, save that the Company may before such expiry make an offer or agreement which would or might require equity securities to be allotted after such expiry and the Directors may allot equity securities in pursuance of any such offer or agreement as if the power conferred by this resolution had not expired; </w:t>
      </w:r>
    </w:p>
    <w:p w14:paraId="0C2D8D3A" w14:textId="77A5C7CC" w:rsidR="00C12222" w:rsidRDefault="00C12222" w:rsidP="00C12222">
      <w:pPr>
        <w:pStyle w:val="List2"/>
        <w:numPr>
          <w:ilvl w:val="0"/>
          <w:numId w:val="20"/>
        </w:numPr>
        <w:ind w:hanging="719"/>
        <w:rPr>
          <w:sz w:val="19"/>
          <w:szCs w:val="19"/>
        </w:rPr>
      </w:pPr>
      <w:r>
        <w:rPr>
          <w:sz w:val="19"/>
          <w:szCs w:val="19"/>
        </w:rPr>
        <w:t>s</w:t>
      </w:r>
      <w:r w:rsidRPr="00C12222">
        <w:rPr>
          <w:sz w:val="19"/>
          <w:szCs w:val="19"/>
        </w:rPr>
        <w:t>hall be limited to the allotment of equity securities and/or sale of equity securities held in treasury for cash up to an aggregate nominal amount of £334,759 (being approximately 10% of the issued share capital (excluding treasury shares) as at 1</w:t>
      </w:r>
      <w:r w:rsidR="00244D6F">
        <w:rPr>
          <w:sz w:val="19"/>
          <w:szCs w:val="19"/>
        </w:rPr>
        <w:t>3</w:t>
      </w:r>
      <w:r w:rsidRPr="00C12222">
        <w:rPr>
          <w:sz w:val="19"/>
          <w:szCs w:val="19"/>
        </w:rPr>
        <w:t xml:space="preserve"> June 202</w:t>
      </w:r>
      <w:r w:rsidR="00244D6F">
        <w:rPr>
          <w:sz w:val="19"/>
          <w:szCs w:val="19"/>
        </w:rPr>
        <w:t>4</w:t>
      </w:r>
      <w:r w:rsidRPr="00C12222">
        <w:rPr>
          <w:sz w:val="19"/>
          <w:szCs w:val="19"/>
        </w:rPr>
        <w:t>); and</w:t>
      </w:r>
    </w:p>
    <w:p w14:paraId="6DC2DAE2" w14:textId="4F53FC14" w:rsidR="00AF6D24" w:rsidRPr="00C12222" w:rsidRDefault="00C12222" w:rsidP="00C12222">
      <w:pPr>
        <w:pStyle w:val="List2"/>
        <w:numPr>
          <w:ilvl w:val="0"/>
          <w:numId w:val="20"/>
        </w:numPr>
        <w:ind w:left="993" w:hanging="709"/>
        <w:rPr>
          <w:sz w:val="19"/>
          <w:szCs w:val="19"/>
        </w:rPr>
      </w:pPr>
      <w:r w:rsidRPr="00C12222">
        <w:rPr>
          <w:sz w:val="19"/>
          <w:szCs w:val="19"/>
        </w:rPr>
        <w:t>shall authorise the Directors to issue equity securities at such issue price as the Directors may determine (including, without limitation, where equity securities are being issued from treasury at a price below the net asset value per Ordinary share (including income) of the Company at the time of the relevant issue)</w:t>
      </w:r>
      <w:r>
        <w:rPr>
          <w:sz w:val="19"/>
          <w:szCs w:val="19"/>
        </w:rPr>
        <w:t>.</w:t>
      </w:r>
    </w:p>
    <w:p w14:paraId="0CFB4DA3" w14:textId="3B45964A" w:rsidR="00ED422A" w:rsidRPr="00C12222" w:rsidRDefault="008E75EA" w:rsidP="002159EE">
      <w:pPr>
        <w:autoSpaceDE w:val="0"/>
        <w:autoSpaceDN w:val="0"/>
        <w:adjustRightInd w:val="0"/>
        <w:spacing w:after="0"/>
        <w:ind w:left="142"/>
        <w:jc w:val="left"/>
        <w:rPr>
          <w:sz w:val="19"/>
          <w:szCs w:val="19"/>
        </w:rPr>
      </w:pPr>
      <w:r w:rsidRPr="00C12222">
        <w:rPr>
          <w:sz w:val="19"/>
          <w:szCs w:val="19"/>
        </w:rPr>
        <w:lastRenderedPageBreak/>
        <w:t>1</w:t>
      </w:r>
      <w:r w:rsidR="009B2FED">
        <w:rPr>
          <w:sz w:val="19"/>
          <w:szCs w:val="19"/>
        </w:rPr>
        <w:t>2</w:t>
      </w:r>
      <w:r w:rsidR="00ED422A" w:rsidRPr="00C12222">
        <w:rPr>
          <w:sz w:val="19"/>
          <w:szCs w:val="19"/>
        </w:rPr>
        <w:t xml:space="preserve">. </w:t>
      </w:r>
      <w:r w:rsidR="00C12222" w:rsidRPr="00C12222">
        <w:rPr>
          <w:sz w:val="19"/>
          <w:szCs w:val="19"/>
        </w:rPr>
        <w:t>Authority to buy back shares</w:t>
      </w:r>
    </w:p>
    <w:p w14:paraId="1FDE2E00" w14:textId="77777777" w:rsidR="00ED422A" w:rsidRPr="00C12222" w:rsidRDefault="00ED422A" w:rsidP="00ED422A">
      <w:pPr>
        <w:autoSpaceDE w:val="0"/>
        <w:autoSpaceDN w:val="0"/>
        <w:adjustRightInd w:val="0"/>
        <w:spacing w:after="0"/>
        <w:jc w:val="left"/>
        <w:rPr>
          <w:rFonts w:ascii="AdvT001" w:hAnsi="AdvT001" w:cs="AdvT001"/>
          <w:sz w:val="19"/>
          <w:szCs w:val="19"/>
        </w:rPr>
      </w:pPr>
    </w:p>
    <w:p w14:paraId="0748FB0A" w14:textId="7036A8EE" w:rsidR="00717110" w:rsidRPr="00C12222" w:rsidRDefault="00717110" w:rsidP="00717110">
      <w:pPr>
        <w:pStyle w:val="List"/>
        <w:rPr>
          <w:sz w:val="19"/>
          <w:szCs w:val="19"/>
        </w:rPr>
      </w:pPr>
      <w:r w:rsidRPr="00C12222">
        <w:rPr>
          <w:sz w:val="19"/>
          <w:szCs w:val="19"/>
        </w:rPr>
        <w:tab/>
      </w:r>
      <w:r w:rsidR="00C12222" w:rsidRPr="00C12222">
        <w:rPr>
          <w:sz w:val="19"/>
          <w:szCs w:val="19"/>
        </w:rPr>
        <w:t>THAT in substitution for the Company’s existing authority to make market purchases of Ordinary shares in the capital of the Company (“Ordinary shares”), the Company be and is hereby generally and unconditionally authorised in accordance with Section 701 of the Companies Act 2006 (the "Act”) to make market purchases (within the meaning of Section 693(4) of the Act) of Ordinary shares, provided that:</w:t>
      </w:r>
    </w:p>
    <w:p w14:paraId="00524CBE" w14:textId="7056C25A" w:rsidR="00C12222" w:rsidRPr="00C12222" w:rsidRDefault="00C12222" w:rsidP="00C12222">
      <w:pPr>
        <w:pStyle w:val="ListParagraph"/>
        <w:numPr>
          <w:ilvl w:val="0"/>
          <w:numId w:val="18"/>
        </w:numPr>
        <w:autoSpaceDE w:val="0"/>
        <w:autoSpaceDN w:val="0"/>
        <w:adjustRightInd w:val="0"/>
        <w:spacing w:after="0"/>
        <w:ind w:hanging="578"/>
        <w:rPr>
          <w:sz w:val="19"/>
          <w:szCs w:val="19"/>
        </w:rPr>
      </w:pPr>
      <w:r w:rsidRPr="00C12222">
        <w:rPr>
          <w:sz w:val="19"/>
          <w:szCs w:val="19"/>
        </w:rPr>
        <w:t xml:space="preserve">the maximum number of Ordinary shares hereby authorised to be purchased shall be 25,090,230, or if less, that number of Ordinary shares which is equal to 14.99% of the number of shares in issue immediately following the passing of this resolution; </w:t>
      </w:r>
    </w:p>
    <w:p w14:paraId="1D651556" w14:textId="2FB1235F" w:rsidR="00C12222" w:rsidRPr="00C12222" w:rsidRDefault="00C12222" w:rsidP="00C12222">
      <w:pPr>
        <w:pStyle w:val="ListParagraph"/>
        <w:numPr>
          <w:ilvl w:val="0"/>
          <w:numId w:val="18"/>
        </w:numPr>
        <w:autoSpaceDE w:val="0"/>
        <w:autoSpaceDN w:val="0"/>
        <w:adjustRightInd w:val="0"/>
        <w:spacing w:after="0"/>
        <w:ind w:hanging="578"/>
        <w:rPr>
          <w:sz w:val="19"/>
          <w:szCs w:val="19"/>
        </w:rPr>
      </w:pPr>
      <w:r w:rsidRPr="00C12222">
        <w:rPr>
          <w:sz w:val="19"/>
          <w:szCs w:val="19"/>
        </w:rPr>
        <w:t xml:space="preserve">the minimum price (excluding expenses) which may be paid for each Ordinary share is the nominal value of that share; </w:t>
      </w:r>
    </w:p>
    <w:p w14:paraId="4CA863D2" w14:textId="77777777" w:rsidR="00C12222" w:rsidRPr="00C12222" w:rsidRDefault="00C12222" w:rsidP="00C12222">
      <w:pPr>
        <w:pStyle w:val="ListParagraph"/>
        <w:numPr>
          <w:ilvl w:val="0"/>
          <w:numId w:val="18"/>
        </w:numPr>
        <w:autoSpaceDE w:val="0"/>
        <w:autoSpaceDN w:val="0"/>
        <w:adjustRightInd w:val="0"/>
        <w:spacing w:after="0"/>
        <w:ind w:hanging="578"/>
        <w:rPr>
          <w:sz w:val="19"/>
          <w:szCs w:val="19"/>
        </w:rPr>
      </w:pPr>
      <w:r w:rsidRPr="00C12222">
        <w:rPr>
          <w:sz w:val="19"/>
          <w:szCs w:val="19"/>
        </w:rPr>
        <w:t xml:space="preserve">the maximum price (excluding expenses) payable by the Company for each Ordinary share is the higher of (i) 105% of the average closing market value of the Ordinary shares in the Company as derived from the Daily Official List of the London Stock Exchange, for the five business days prior to the date of the market purchase and (ii) the higher of the price of the last independent trade and the highest current independent bid on the London Stock Exchange; </w:t>
      </w:r>
    </w:p>
    <w:p w14:paraId="47AD3E73" w14:textId="40B86BB5" w:rsidR="00C12222" w:rsidRPr="00C12222" w:rsidRDefault="00C12222" w:rsidP="00C12222">
      <w:pPr>
        <w:pStyle w:val="ListParagraph"/>
        <w:numPr>
          <w:ilvl w:val="0"/>
          <w:numId w:val="18"/>
        </w:numPr>
        <w:autoSpaceDE w:val="0"/>
        <w:autoSpaceDN w:val="0"/>
        <w:adjustRightInd w:val="0"/>
        <w:spacing w:after="0"/>
        <w:ind w:hanging="578"/>
        <w:rPr>
          <w:sz w:val="19"/>
          <w:szCs w:val="19"/>
        </w:rPr>
      </w:pPr>
      <w:r w:rsidRPr="00C12222">
        <w:rPr>
          <w:sz w:val="19"/>
          <w:szCs w:val="19"/>
        </w:rPr>
        <w:t>the authority hereby conferred shall expire at the conclusion of the Annual General Meeting of the Company in 202</w:t>
      </w:r>
      <w:r w:rsidR="00244D6F">
        <w:rPr>
          <w:sz w:val="19"/>
          <w:szCs w:val="19"/>
        </w:rPr>
        <w:t>5</w:t>
      </w:r>
      <w:r w:rsidRPr="00C12222">
        <w:rPr>
          <w:sz w:val="19"/>
          <w:szCs w:val="19"/>
        </w:rPr>
        <w:t xml:space="preserve"> unless such authority is renewed prior to such time; and </w:t>
      </w:r>
    </w:p>
    <w:p w14:paraId="3B602E4F" w14:textId="77777777" w:rsidR="00C12222" w:rsidRPr="00C12222" w:rsidRDefault="00C12222" w:rsidP="00C12222">
      <w:pPr>
        <w:pStyle w:val="ListParagraph"/>
        <w:numPr>
          <w:ilvl w:val="0"/>
          <w:numId w:val="18"/>
        </w:numPr>
        <w:autoSpaceDE w:val="0"/>
        <w:autoSpaceDN w:val="0"/>
        <w:adjustRightInd w:val="0"/>
        <w:spacing w:after="0"/>
        <w:ind w:hanging="578"/>
        <w:rPr>
          <w:sz w:val="19"/>
          <w:szCs w:val="19"/>
        </w:rPr>
      </w:pPr>
      <w:r w:rsidRPr="00C12222">
        <w:rPr>
          <w:sz w:val="19"/>
          <w:szCs w:val="19"/>
        </w:rPr>
        <w:t xml:space="preserve">the Company may make a contract to purchase Ordinary shares under the authority hereby conferred prior to the expiry of such authority which will or may be executed wholly or partly after the expiration of such authority and may make a purchase of Ordinary shares pursuant to any such contract. </w:t>
      </w:r>
    </w:p>
    <w:p w14:paraId="0DAB4537" w14:textId="77777777" w:rsidR="00C12222" w:rsidRPr="00C12222" w:rsidRDefault="00C12222" w:rsidP="00C12222">
      <w:pPr>
        <w:pStyle w:val="ListParagraph"/>
        <w:autoSpaceDE w:val="0"/>
        <w:autoSpaceDN w:val="0"/>
        <w:adjustRightInd w:val="0"/>
        <w:spacing w:after="0"/>
        <w:ind w:left="862"/>
        <w:rPr>
          <w:sz w:val="19"/>
          <w:szCs w:val="19"/>
        </w:rPr>
      </w:pPr>
    </w:p>
    <w:p w14:paraId="232728C8" w14:textId="77777777" w:rsidR="00C12222" w:rsidRPr="00C12222" w:rsidRDefault="00C12222" w:rsidP="00C12222">
      <w:pPr>
        <w:pStyle w:val="ListParagraph"/>
        <w:autoSpaceDE w:val="0"/>
        <w:autoSpaceDN w:val="0"/>
        <w:adjustRightInd w:val="0"/>
        <w:spacing w:after="0"/>
        <w:ind w:left="862" w:hanging="578"/>
        <w:rPr>
          <w:sz w:val="19"/>
          <w:szCs w:val="19"/>
        </w:rPr>
      </w:pPr>
      <w:r w:rsidRPr="00C12222">
        <w:rPr>
          <w:sz w:val="19"/>
          <w:szCs w:val="19"/>
        </w:rPr>
        <w:t xml:space="preserve">All Ordinary shares purchased pursuant to the above authority shall be either: </w:t>
      </w:r>
    </w:p>
    <w:p w14:paraId="2D32220E" w14:textId="77777777" w:rsidR="00C12222" w:rsidRPr="00C12222" w:rsidRDefault="00C12222" w:rsidP="00C12222">
      <w:pPr>
        <w:pStyle w:val="ListParagraph"/>
        <w:autoSpaceDE w:val="0"/>
        <w:autoSpaceDN w:val="0"/>
        <w:adjustRightInd w:val="0"/>
        <w:spacing w:after="0"/>
        <w:ind w:left="862"/>
        <w:rPr>
          <w:sz w:val="19"/>
          <w:szCs w:val="19"/>
        </w:rPr>
      </w:pPr>
    </w:p>
    <w:p w14:paraId="6523E495" w14:textId="2D052629" w:rsidR="00C12222" w:rsidRPr="00C12222" w:rsidRDefault="00C12222" w:rsidP="00C12222">
      <w:pPr>
        <w:pStyle w:val="ListParagraph"/>
        <w:numPr>
          <w:ilvl w:val="0"/>
          <w:numId w:val="19"/>
        </w:numPr>
        <w:autoSpaceDE w:val="0"/>
        <w:autoSpaceDN w:val="0"/>
        <w:adjustRightInd w:val="0"/>
        <w:spacing w:after="0"/>
        <w:ind w:left="851" w:hanging="567"/>
        <w:rPr>
          <w:sz w:val="19"/>
          <w:szCs w:val="19"/>
        </w:rPr>
      </w:pPr>
      <w:r w:rsidRPr="00C12222">
        <w:rPr>
          <w:sz w:val="19"/>
          <w:szCs w:val="19"/>
        </w:rPr>
        <w:t xml:space="preserve">held, sold, transferred or otherwise dealt with as treasury shares in accordance with the provisions of the Act; or </w:t>
      </w:r>
    </w:p>
    <w:p w14:paraId="2BEEAF18" w14:textId="1E8AE927" w:rsidR="002159EE" w:rsidRPr="00C12222" w:rsidRDefault="00C12222" w:rsidP="00C12222">
      <w:pPr>
        <w:pStyle w:val="ListParagraph"/>
        <w:numPr>
          <w:ilvl w:val="0"/>
          <w:numId w:val="19"/>
        </w:numPr>
        <w:autoSpaceDE w:val="0"/>
        <w:autoSpaceDN w:val="0"/>
        <w:adjustRightInd w:val="0"/>
        <w:spacing w:after="0"/>
        <w:ind w:left="851" w:hanging="567"/>
        <w:rPr>
          <w:sz w:val="19"/>
          <w:szCs w:val="19"/>
        </w:rPr>
      </w:pPr>
      <w:r w:rsidRPr="00C12222">
        <w:rPr>
          <w:sz w:val="19"/>
          <w:szCs w:val="19"/>
        </w:rPr>
        <w:t>cancelled immediately upon completion of the purchase.</w:t>
      </w:r>
    </w:p>
    <w:p w14:paraId="7EBFEACE" w14:textId="02571173" w:rsidR="002159EE" w:rsidRPr="00C12222" w:rsidRDefault="002159EE" w:rsidP="002159EE">
      <w:pPr>
        <w:autoSpaceDE w:val="0"/>
        <w:autoSpaceDN w:val="0"/>
        <w:adjustRightInd w:val="0"/>
        <w:spacing w:after="0"/>
        <w:ind w:left="142"/>
        <w:rPr>
          <w:sz w:val="19"/>
          <w:szCs w:val="19"/>
        </w:rPr>
      </w:pPr>
    </w:p>
    <w:p w14:paraId="614516EE" w14:textId="328DA479" w:rsidR="00273777" w:rsidRPr="00C12222" w:rsidRDefault="00273777" w:rsidP="002159EE">
      <w:pPr>
        <w:autoSpaceDE w:val="0"/>
        <w:autoSpaceDN w:val="0"/>
        <w:adjustRightInd w:val="0"/>
        <w:spacing w:after="0"/>
        <w:ind w:left="142"/>
        <w:rPr>
          <w:sz w:val="19"/>
          <w:szCs w:val="19"/>
        </w:rPr>
      </w:pPr>
    </w:p>
    <w:p w14:paraId="7EEB71AC" w14:textId="77777777" w:rsidR="00273777" w:rsidRPr="00C12222" w:rsidRDefault="00273777" w:rsidP="002159EE">
      <w:pPr>
        <w:autoSpaceDE w:val="0"/>
        <w:autoSpaceDN w:val="0"/>
        <w:adjustRightInd w:val="0"/>
        <w:spacing w:after="0"/>
        <w:ind w:left="142"/>
        <w:rPr>
          <w:sz w:val="19"/>
          <w:szCs w:val="19"/>
        </w:rPr>
      </w:pPr>
    </w:p>
    <w:p w14:paraId="239FDECB" w14:textId="77777777" w:rsidR="005B62E9" w:rsidRPr="00C12222" w:rsidRDefault="005B62E9" w:rsidP="005B62E9">
      <w:pPr>
        <w:jc w:val="right"/>
        <w:rPr>
          <w:sz w:val="19"/>
          <w:szCs w:val="19"/>
        </w:rPr>
      </w:pPr>
      <w:r w:rsidRPr="00C12222">
        <w:rPr>
          <w:sz w:val="19"/>
          <w:szCs w:val="19"/>
        </w:rPr>
        <w:t>…………………………………….</w:t>
      </w:r>
    </w:p>
    <w:p w14:paraId="4732D242" w14:textId="0ED4C23F" w:rsidR="00E04670" w:rsidRPr="00C12222" w:rsidRDefault="00E04670" w:rsidP="005B62E9">
      <w:pPr>
        <w:jc w:val="right"/>
        <w:rPr>
          <w:sz w:val="19"/>
          <w:szCs w:val="19"/>
        </w:rPr>
      </w:pPr>
      <w:r w:rsidRPr="00C12222">
        <w:rPr>
          <w:sz w:val="19"/>
          <w:szCs w:val="19"/>
        </w:rPr>
        <w:t>For</w:t>
      </w:r>
      <w:r w:rsidR="008E6AED" w:rsidRPr="00C12222">
        <w:rPr>
          <w:sz w:val="19"/>
          <w:szCs w:val="19"/>
        </w:rPr>
        <w:t xml:space="preserve"> and on behalf of</w:t>
      </w:r>
      <w:r w:rsidRPr="00C12222">
        <w:rPr>
          <w:sz w:val="19"/>
          <w:szCs w:val="19"/>
        </w:rPr>
        <w:t xml:space="preserve"> </w:t>
      </w:r>
      <w:r w:rsidR="00AF6D24" w:rsidRPr="00C12222">
        <w:rPr>
          <w:sz w:val="19"/>
          <w:szCs w:val="19"/>
        </w:rPr>
        <w:t>Juniper Partners</w:t>
      </w:r>
      <w:r w:rsidRPr="00C12222">
        <w:rPr>
          <w:sz w:val="19"/>
          <w:szCs w:val="19"/>
        </w:rPr>
        <w:t xml:space="preserve"> Limited</w:t>
      </w:r>
    </w:p>
    <w:p w14:paraId="03B916E1" w14:textId="63931526" w:rsidR="005B62E9" w:rsidRPr="00C12222" w:rsidRDefault="0076772F" w:rsidP="005B62E9">
      <w:pPr>
        <w:jc w:val="right"/>
        <w:rPr>
          <w:sz w:val="19"/>
          <w:szCs w:val="19"/>
        </w:rPr>
      </w:pPr>
      <w:r w:rsidRPr="00C12222">
        <w:rPr>
          <w:sz w:val="19"/>
          <w:szCs w:val="19"/>
        </w:rPr>
        <w:t xml:space="preserve">Company </w:t>
      </w:r>
      <w:r w:rsidR="005B62E9" w:rsidRPr="00C12222">
        <w:rPr>
          <w:sz w:val="19"/>
          <w:szCs w:val="19"/>
        </w:rPr>
        <w:t>Secretary</w:t>
      </w:r>
    </w:p>
    <w:p w14:paraId="6EAF749A" w14:textId="77777777" w:rsidR="005B62E9" w:rsidRPr="00C12222" w:rsidRDefault="005B62E9">
      <w:pPr>
        <w:rPr>
          <w:sz w:val="19"/>
          <w:szCs w:val="19"/>
        </w:rPr>
      </w:pPr>
    </w:p>
    <w:sectPr w:rsidR="005B62E9" w:rsidRPr="00C122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FA530" w14:textId="77777777" w:rsidR="002F2AC9" w:rsidRDefault="002F2AC9">
      <w:r>
        <w:separator/>
      </w:r>
    </w:p>
  </w:endnote>
  <w:endnote w:type="continuationSeparator" w:id="0">
    <w:p w14:paraId="2319D2CC" w14:textId="77777777" w:rsidR="002F2AC9" w:rsidRDefault="002F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vT00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9EF84" w14:textId="77777777" w:rsidR="002F2AC9" w:rsidRDefault="002F2AC9">
      <w:r>
        <w:separator/>
      </w:r>
    </w:p>
  </w:footnote>
  <w:footnote w:type="continuationSeparator" w:id="0">
    <w:p w14:paraId="2622D883" w14:textId="77777777" w:rsidR="002F2AC9" w:rsidRDefault="002F2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096E772"/>
    <w:lvl w:ilvl="0">
      <w:start w:val="8"/>
      <w:numFmt w:val="decimal"/>
      <w:pStyle w:val="ListNumber"/>
      <w:lvlText w:val="%1."/>
      <w:lvlJc w:val="left"/>
      <w:pPr>
        <w:tabs>
          <w:tab w:val="num" w:pos="502"/>
        </w:tabs>
        <w:ind w:left="502" w:hanging="360"/>
      </w:pPr>
      <w:rPr>
        <w:rFonts w:hint="default"/>
      </w:rPr>
    </w:lvl>
  </w:abstractNum>
  <w:abstractNum w:abstractNumId="1" w15:restartNumberingAfterBreak="0">
    <w:nsid w:val="0A1334DF"/>
    <w:multiLevelType w:val="hybridMultilevel"/>
    <w:tmpl w:val="5ED47A8C"/>
    <w:lvl w:ilvl="0" w:tplc="6B0C381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111B7D21"/>
    <w:multiLevelType w:val="hybridMultilevel"/>
    <w:tmpl w:val="66EE447A"/>
    <w:lvl w:ilvl="0" w:tplc="A3D83172">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149F4E85"/>
    <w:multiLevelType w:val="hybridMultilevel"/>
    <w:tmpl w:val="5CDAB462"/>
    <w:lvl w:ilvl="0" w:tplc="CAAE16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01CF4"/>
    <w:multiLevelType w:val="hybridMultilevel"/>
    <w:tmpl w:val="E7ECD890"/>
    <w:lvl w:ilvl="0" w:tplc="FF923926">
      <w:start w:val="1"/>
      <w:numFmt w:val="lowerRoman"/>
      <w:lvlText w:val="(%1)"/>
      <w:lvlJc w:val="left"/>
      <w:pPr>
        <w:ind w:left="1515" w:hanging="79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C545CBB"/>
    <w:multiLevelType w:val="hybridMultilevel"/>
    <w:tmpl w:val="5A5259EA"/>
    <w:lvl w:ilvl="0" w:tplc="192C01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B661F3"/>
    <w:multiLevelType w:val="hybridMultilevel"/>
    <w:tmpl w:val="F0B86004"/>
    <w:lvl w:ilvl="0" w:tplc="CD4C66E6">
      <w:start w:val="1"/>
      <w:numFmt w:val="lowerLetter"/>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2E215F46"/>
    <w:multiLevelType w:val="hybridMultilevel"/>
    <w:tmpl w:val="6890BE92"/>
    <w:lvl w:ilvl="0" w:tplc="ADC86A8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2F981CF6"/>
    <w:multiLevelType w:val="hybridMultilevel"/>
    <w:tmpl w:val="D73A70C2"/>
    <w:lvl w:ilvl="0" w:tplc="0F989C38">
      <w:start w:val="1"/>
      <w:numFmt w:val="bullet"/>
      <w:lvlText w:val=""/>
      <w:lvlJc w:val="left"/>
      <w:pPr>
        <w:tabs>
          <w:tab w:val="num" w:pos="227"/>
        </w:tabs>
        <w:ind w:left="227" w:hanging="22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4A79D7"/>
    <w:multiLevelType w:val="hybridMultilevel"/>
    <w:tmpl w:val="F1ACD434"/>
    <w:lvl w:ilvl="0" w:tplc="FA4AA2A8">
      <w:start w:val="10"/>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50476A8"/>
    <w:multiLevelType w:val="hybridMultilevel"/>
    <w:tmpl w:val="C2DE55F0"/>
    <w:lvl w:ilvl="0" w:tplc="4050A8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3B344E"/>
    <w:multiLevelType w:val="hybridMultilevel"/>
    <w:tmpl w:val="0C8CA8A0"/>
    <w:lvl w:ilvl="0" w:tplc="987C51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E20FD3"/>
    <w:multiLevelType w:val="hybridMultilevel"/>
    <w:tmpl w:val="DA4E827A"/>
    <w:lvl w:ilvl="0" w:tplc="AEAEBE1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6E520B7"/>
    <w:multiLevelType w:val="hybridMultilevel"/>
    <w:tmpl w:val="4030F9CC"/>
    <w:lvl w:ilvl="0" w:tplc="4EF8E3D0">
      <w:start w:val="10"/>
      <w:numFmt w:val="decimal"/>
      <w:lvlText w:val="%1."/>
      <w:lvlJc w:val="left"/>
      <w:pPr>
        <w:tabs>
          <w:tab w:val="num" w:pos="502"/>
        </w:tabs>
        <w:ind w:left="502" w:hanging="36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14" w15:restartNumberingAfterBreak="0">
    <w:nsid w:val="68357D6B"/>
    <w:multiLevelType w:val="hybridMultilevel"/>
    <w:tmpl w:val="EBEE8E64"/>
    <w:lvl w:ilvl="0" w:tplc="23DC16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111044"/>
    <w:multiLevelType w:val="hybridMultilevel"/>
    <w:tmpl w:val="8D2C3AD2"/>
    <w:lvl w:ilvl="0" w:tplc="7C72BDF4">
      <w:start w:val="9"/>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0E425C2"/>
    <w:multiLevelType w:val="hybridMultilevel"/>
    <w:tmpl w:val="49AEF2E6"/>
    <w:lvl w:ilvl="0" w:tplc="93CEA98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787C6C9F"/>
    <w:multiLevelType w:val="hybridMultilevel"/>
    <w:tmpl w:val="A32C436A"/>
    <w:lvl w:ilvl="0" w:tplc="08090017">
      <w:start w:val="1"/>
      <w:numFmt w:val="lowerLetter"/>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15:restartNumberingAfterBreak="0">
    <w:nsid w:val="78BC23C2"/>
    <w:multiLevelType w:val="hybridMultilevel"/>
    <w:tmpl w:val="9B9AD5E6"/>
    <w:lvl w:ilvl="0" w:tplc="1CAA1E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13395035">
    <w:abstractNumId w:val="8"/>
  </w:num>
  <w:num w:numId="2" w16cid:durableId="17969610">
    <w:abstractNumId w:val="8"/>
  </w:num>
  <w:num w:numId="3" w16cid:durableId="2049185767">
    <w:abstractNumId w:val="0"/>
  </w:num>
  <w:num w:numId="4" w16cid:durableId="207648260">
    <w:abstractNumId w:val="15"/>
  </w:num>
  <w:num w:numId="5" w16cid:durableId="212469004">
    <w:abstractNumId w:val="9"/>
  </w:num>
  <w:num w:numId="6" w16cid:durableId="270280218">
    <w:abstractNumId w:val="13"/>
  </w:num>
  <w:num w:numId="7" w16cid:durableId="1442648775">
    <w:abstractNumId w:val="10"/>
  </w:num>
  <w:num w:numId="8" w16cid:durableId="2023974667">
    <w:abstractNumId w:val="12"/>
  </w:num>
  <w:num w:numId="9" w16cid:durableId="784927125">
    <w:abstractNumId w:val="16"/>
  </w:num>
  <w:num w:numId="10" w16cid:durableId="588079443">
    <w:abstractNumId w:val="6"/>
  </w:num>
  <w:num w:numId="11" w16cid:durableId="579952038">
    <w:abstractNumId w:val="4"/>
  </w:num>
  <w:num w:numId="12" w16cid:durableId="1862621926">
    <w:abstractNumId w:val="1"/>
  </w:num>
  <w:num w:numId="13" w16cid:durableId="87848145">
    <w:abstractNumId w:val="18"/>
  </w:num>
  <w:num w:numId="14" w16cid:durableId="473183451">
    <w:abstractNumId w:val="3"/>
  </w:num>
  <w:num w:numId="15" w16cid:durableId="1309897256">
    <w:abstractNumId w:val="11"/>
  </w:num>
  <w:num w:numId="16" w16cid:durableId="509754688">
    <w:abstractNumId w:val="5"/>
  </w:num>
  <w:num w:numId="17" w16cid:durableId="1795515447">
    <w:abstractNumId w:val="2"/>
  </w:num>
  <w:num w:numId="18" w16cid:durableId="1757242600">
    <w:abstractNumId w:val="7"/>
  </w:num>
  <w:num w:numId="19" w16cid:durableId="1345327111">
    <w:abstractNumId w:val="14"/>
  </w:num>
  <w:num w:numId="20" w16cid:durableId="17944736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3B"/>
    <w:rsid w:val="00002C00"/>
    <w:rsid w:val="000515E5"/>
    <w:rsid w:val="00051A19"/>
    <w:rsid w:val="00085E60"/>
    <w:rsid w:val="000927F5"/>
    <w:rsid w:val="000A1F06"/>
    <w:rsid w:val="000A47EF"/>
    <w:rsid w:val="000B169D"/>
    <w:rsid w:val="000C2315"/>
    <w:rsid w:val="000C4325"/>
    <w:rsid w:val="000F058B"/>
    <w:rsid w:val="001029D1"/>
    <w:rsid w:val="0011786D"/>
    <w:rsid w:val="00120976"/>
    <w:rsid w:val="0013387C"/>
    <w:rsid w:val="00143BE2"/>
    <w:rsid w:val="00160A3B"/>
    <w:rsid w:val="00185D8B"/>
    <w:rsid w:val="00187636"/>
    <w:rsid w:val="001933AF"/>
    <w:rsid w:val="001A188E"/>
    <w:rsid w:val="001A1B0A"/>
    <w:rsid w:val="001D7BA4"/>
    <w:rsid w:val="001E57CD"/>
    <w:rsid w:val="002159EE"/>
    <w:rsid w:val="00221D97"/>
    <w:rsid w:val="00233665"/>
    <w:rsid w:val="00244D6F"/>
    <w:rsid w:val="00273130"/>
    <w:rsid w:val="00273777"/>
    <w:rsid w:val="002B460F"/>
    <w:rsid w:val="002D51A9"/>
    <w:rsid w:val="002E21FD"/>
    <w:rsid w:val="002E435C"/>
    <w:rsid w:val="002F2AC9"/>
    <w:rsid w:val="00305D05"/>
    <w:rsid w:val="00320BAD"/>
    <w:rsid w:val="00336D98"/>
    <w:rsid w:val="00371051"/>
    <w:rsid w:val="00373196"/>
    <w:rsid w:val="0038583E"/>
    <w:rsid w:val="003B7711"/>
    <w:rsid w:val="00402463"/>
    <w:rsid w:val="00432C2B"/>
    <w:rsid w:val="0047551C"/>
    <w:rsid w:val="004B5947"/>
    <w:rsid w:val="00526809"/>
    <w:rsid w:val="005279B9"/>
    <w:rsid w:val="005279CF"/>
    <w:rsid w:val="00536926"/>
    <w:rsid w:val="00547A8B"/>
    <w:rsid w:val="0055563A"/>
    <w:rsid w:val="005A12CD"/>
    <w:rsid w:val="005B62E9"/>
    <w:rsid w:val="005C00C1"/>
    <w:rsid w:val="005C73F1"/>
    <w:rsid w:val="005D5961"/>
    <w:rsid w:val="00607C8E"/>
    <w:rsid w:val="00642D13"/>
    <w:rsid w:val="00653E1B"/>
    <w:rsid w:val="00660918"/>
    <w:rsid w:val="00674437"/>
    <w:rsid w:val="00677067"/>
    <w:rsid w:val="0067717F"/>
    <w:rsid w:val="00680A31"/>
    <w:rsid w:val="006A13E4"/>
    <w:rsid w:val="006B157D"/>
    <w:rsid w:val="006B4550"/>
    <w:rsid w:val="006D09FF"/>
    <w:rsid w:val="006F0E12"/>
    <w:rsid w:val="006F6868"/>
    <w:rsid w:val="00700C45"/>
    <w:rsid w:val="00717110"/>
    <w:rsid w:val="00727754"/>
    <w:rsid w:val="00736665"/>
    <w:rsid w:val="007416C1"/>
    <w:rsid w:val="00747E88"/>
    <w:rsid w:val="00755E47"/>
    <w:rsid w:val="0076772F"/>
    <w:rsid w:val="00786E92"/>
    <w:rsid w:val="007C5B02"/>
    <w:rsid w:val="007D2491"/>
    <w:rsid w:val="00813E36"/>
    <w:rsid w:val="008466E2"/>
    <w:rsid w:val="008573AA"/>
    <w:rsid w:val="008C5C18"/>
    <w:rsid w:val="008C6D59"/>
    <w:rsid w:val="008D5365"/>
    <w:rsid w:val="008D5C43"/>
    <w:rsid w:val="008E6AED"/>
    <w:rsid w:val="008E75EA"/>
    <w:rsid w:val="00920398"/>
    <w:rsid w:val="00933A23"/>
    <w:rsid w:val="00943103"/>
    <w:rsid w:val="00951D28"/>
    <w:rsid w:val="00963E6D"/>
    <w:rsid w:val="00964B64"/>
    <w:rsid w:val="009821E9"/>
    <w:rsid w:val="009A6C00"/>
    <w:rsid w:val="009A7EB2"/>
    <w:rsid w:val="009B2FED"/>
    <w:rsid w:val="009C225F"/>
    <w:rsid w:val="009C22BE"/>
    <w:rsid w:val="009C73E4"/>
    <w:rsid w:val="009D5B74"/>
    <w:rsid w:val="009E5DBF"/>
    <w:rsid w:val="00A045A5"/>
    <w:rsid w:val="00A049F4"/>
    <w:rsid w:val="00A10A05"/>
    <w:rsid w:val="00A1510C"/>
    <w:rsid w:val="00A15C86"/>
    <w:rsid w:val="00A37510"/>
    <w:rsid w:val="00A80F8A"/>
    <w:rsid w:val="00AC2094"/>
    <w:rsid w:val="00AF2081"/>
    <w:rsid w:val="00AF6D24"/>
    <w:rsid w:val="00B345FD"/>
    <w:rsid w:val="00B44A92"/>
    <w:rsid w:val="00B466B2"/>
    <w:rsid w:val="00B66858"/>
    <w:rsid w:val="00B674CC"/>
    <w:rsid w:val="00BA38B8"/>
    <w:rsid w:val="00BD10A8"/>
    <w:rsid w:val="00C12222"/>
    <w:rsid w:val="00C361A4"/>
    <w:rsid w:val="00C61AD4"/>
    <w:rsid w:val="00CB5C46"/>
    <w:rsid w:val="00CC325C"/>
    <w:rsid w:val="00CD0626"/>
    <w:rsid w:val="00CD2CDE"/>
    <w:rsid w:val="00CD74ED"/>
    <w:rsid w:val="00CE2EEF"/>
    <w:rsid w:val="00CE5DB5"/>
    <w:rsid w:val="00D10353"/>
    <w:rsid w:val="00D31A4A"/>
    <w:rsid w:val="00D344FE"/>
    <w:rsid w:val="00D54D6C"/>
    <w:rsid w:val="00D569A8"/>
    <w:rsid w:val="00D7256F"/>
    <w:rsid w:val="00DB0BEC"/>
    <w:rsid w:val="00DF416A"/>
    <w:rsid w:val="00E04670"/>
    <w:rsid w:val="00E05203"/>
    <w:rsid w:val="00E73871"/>
    <w:rsid w:val="00EA30E3"/>
    <w:rsid w:val="00EB5FD9"/>
    <w:rsid w:val="00EC0B68"/>
    <w:rsid w:val="00ED422A"/>
    <w:rsid w:val="00ED51E3"/>
    <w:rsid w:val="00EE0EB6"/>
    <w:rsid w:val="00F1260B"/>
    <w:rsid w:val="00F20594"/>
    <w:rsid w:val="00F21C18"/>
    <w:rsid w:val="00F21ECA"/>
    <w:rsid w:val="00F33D52"/>
    <w:rsid w:val="00F40C69"/>
    <w:rsid w:val="00F42621"/>
    <w:rsid w:val="00F66B6C"/>
    <w:rsid w:val="00F66D25"/>
    <w:rsid w:val="00F92C8D"/>
    <w:rsid w:val="00FB2E9E"/>
    <w:rsid w:val="00FC0C0C"/>
    <w:rsid w:val="00FC1CB3"/>
    <w:rsid w:val="00FC7156"/>
    <w:rsid w:val="00FE680B"/>
    <w:rsid w:val="00FF3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48E8E"/>
  <w15:chartTrackingRefBased/>
  <w15:docId w15:val="{E5332A6C-2986-43AA-8628-9B4CF1D4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222"/>
    <w:pPr>
      <w:spacing w:after="120"/>
      <w:jc w:val="both"/>
    </w:pPr>
    <w:rPr>
      <w:sz w:val="22"/>
      <w:szCs w:val="22"/>
    </w:rPr>
  </w:style>
  <w:style w:type="paragraph" w:styleId="Heading3">
    <w:name w:val="heading 3"/>
    <w:basedOn w:val="Normal"/>
    <w:next w:val="Normal"/>
    <w:qFormat/>
    <w:rsid w:val="00305D0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ubheading">
    <w:name w:val="Table subheading"/>
    <w:basedOn w:val="Normal"/>
    <w:rsid w:val="005A12CD"/>
    <w:pPr>
      <w:spacing w:before="120"/>
    </w:pPr>
    <w:rPr>
      <w:sz w:val="19"/>
      <w:szCs w:val="19"/>
    </w:rPr>
  </w:style>
  <w:style w:type="paragraph" w:customStyle="1" w:styleId="List-BBullets">
    <w:name w:val="List - B Bullets"/>
    <w:basedOn w:val="Normal"/>
    <w:rsid w:val="000515E5"/>
    <w:rPr>
      <w:rFonts w:ascii="Symbol" w:hAnsi="Symbol"/>
      <w:sz w:val="19"/>
    </w:rPr>
  </w:style>
  <w:style w:type="paragraph" w:styleId="Header">
    <w:name w:val="header"/>
    <w:basedOn w:val="Normal"/>
    <w:rsid w:val="00160A3B"/>
    <w:pPr>
      <w:tabs>
        <w:tab w:val="center" w:pos="4153"/>
        <w:tab w:val="right" w:pos="8306"/>
      </w:tabs>
      <w:spacing w:after="0"/>
      <w:jc w:val="center"/>
    </w:pPr>
    <w:rPr>
      <w:b/>
      <w:smallCaps/>
      <w:sz w:val="32"/>
      <w:szCs w:val="32"/>
    </w:rPr>
  </w:style>
  <w:style w:type="paragraph" w:customStyle="1" w:styleId="SList-Number">
    <w:name w:val="S List - Number"/>
    <w:basedOn w:val="ListNumber"/>
    <w:next w:val="SAccountsText"/>
    <w:rsid w:val="00160A3B"/>
    <w:pPr>
      <w:numPr>
        <w:numId w:val="0"/>
      </w:numPr>
    </w:pPr>
    <w:rPr>
      <w:sz w:val="19"/>
    </w:rPr>
  </w:style>
  <w:style w:type="paragraph" w:customStyle="1" w:styleId="SAccountsText">
    <w:name w:val="S Accounts Text"/>
    <w:basedOn w:val="Normal"/>
    <w:link w:val="SAccountsTextChar"/>
    <w:rsid w:val="00160A3B"/>
    <w:rPr>
      <w:sz w:val="19"/>
      <w:szCs w:val="19"/>
    </w:rPr>
  </w:style>
  <w:style w:type="paragraph" w:styleId="ListNumber">
    <w:name w:val="List Number"/>
    <w:basedOn w:val="Normal"/>
    <w:rsid w:val="00160A3B"/>
    <w:pPr>
      <w:numPr>
        <w:numId w:val="3"/>
      </w:numPr>
    </w:pPr>
  </w:style>
  <w:style w:type="paragraph" w:styleId="Footer">
    <w:name w:val="footer"/>
    <w:basedOn w:val="Normal"/>
    <w:rsid w:val="00160A3B"/>
    <w:pPr>
      <w:tabs>
        <w:tab w:val="center" w:pos="4153"/>
        <w:tab w:val="right" w:pos="8306"/>
      </w:tabs>
    </w:pPr>
  </w:style>
  <w:style w:type="paragraph" w:styleId="BalloonText">
    <w:name w:val="Balloon Text"/>
    <w:basedOn w:val="Normal"/>
    <w:semiHidden/>
    <w:rsid w:val="00CD0626"/>
    <w:rPr>
      <w:rFonts w:ascii="Tahoma" w:hAnsi="Tahoma" w:cs="Tahoma"/>
      <w:sz w:val="16"/>
      <w:szCs w:val="16"/>
    </w:rPr>
  </w:style>
  <w:style w:type="character" w:customStyle="1" w:styleId="SAccountsTextChar">
    <w:name w:val="S Accounts Text Char"/>
    <w:link w:val="SAccountsText"/>
    <w:rsid w:val="00CD0626"/>
    <w:rPr>
      <w:sz w:val="19"/>
      <w:szCs w:val="19"/>
      <w:lang w:val="en-GB" w:eastAsia="en-GB" w:bidi="ar-SA"/>
    </w:rPr>
  </w:style>
  <w:style w:type="paragraph" w:customStyle="1" w:styleId="SHeading3">
    <w:name w:val="S Heading 3"/>
    <w:basedOn w:val="Heading3"/>
    <w:next w:val="SAccountsText"/>
    <w:rsid w:val="00305D05"/>
    <w:pPr>
      <w:spacing w:before="60" w:after="120"/>
    </w:pPr>
    <w:rPr>
      <w:rFonts w:ascii="Times New Roman" w:hAnsi="Times New Roman"/>
      <w:sz w:val="19"/>
    </w:rPr>
  </w:style>
  <w:style w:type="paragraph" w:styleId="ListParagraph">
    <w:name w:val="List Paragraph"/>
    <w:basedOn w:val="Normal"/>
    <w:uiPriority w:val="34"/>
    <w:qFormat/>
    <w:rsid w:val="00B466B2"/>
    <w:pPr>
      <w:ind w:left="720"/>
    </w:pPr>
  </w:style>
  <w:style w:type="paragraph" w:styleId="List">
    <w:name w:val="List"/>
    <w:basedOn w:val="Normal"/>
    <w:rsid w:val="0076772F"/>
    <w:pPr>
      <w:ind w:left="283" w:hanging="283"/>
      <w:contextualSpacing/>
    </w:pPr>
  </w:style>
  <w:style w:type="paragraph" w:styleId="List2">
    <w:name w:val="List 2"/>
    <w:basedOn w:val="Normal"/>
    <w:rsid w:val="0076772F"/>
    <w:pPr>
      <w:ind w:left="566" w:hanging="283"/>
      <w:contextualSpacing/>
    </w:pPr>
  </w:style>
  <w:style w:type="paragraph" w:styleId="List3">
    <w:name w:val="List 3"/>
    <w:basedOn w:val="Normal"/>
    <w:rsid w:val="0076772F"/>
    <w:pPr>
      <w:ind w:left="849" w:hanging="283"/>
      <w:contextualSpacing/>
    </w:pPr>
  </w:style>
  <w:style w:type="paragraph" w:styleId="BodyText">
    <w:name w:val="Body Text"/>
    <w:basedOn w:val="Normal"/>
    <w:link w:val="BodyTextChar"/>
    <w:uiPriority w:val="1"/>
    <w:qFormat/>
    <w:rsid w:val="00273777"/>
    <w:pPr>
      <w:autoSpaceDE w:val="0"/>
      <w:autoSpaceDN w:val="0"/>
      <w:adjustRightInd w:val="0"/>
      <w:spacing w:after="0"/>
      <w:ind w:left="39"/>
      <w:jc w:val="left"/>
    </w:pPr>
    <w:rPr>
      <w:rFonts w:ascii="Garamond" w:hAnsi="Garamond" w:cs="Garamond"/>
    </w:rPr>
  </w:style>
  <w:style w:type="character" w:customStyle="1" w:styleId="BodyTextChar">
    <w:name w:val="Body Text Char"/>
    <w:basedOn w:val="DefaultParagraphFont"/>
    <w:link w:val="BodyText"/>
    <w:uiPriority w:val="1"/>
    <w:rsid w:val="00273777"/>
    <w:rPr>
      <w:rFonts w:ascii="Garamond" w:hAnsi="Garamond" w:cs="Garamon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46953">
      <w:bodyDiv w:val="1"/>
      <w:marLeft w:val="0"/>
      <w:marRight w:val="0"/>
      <w:marTop w:val="0"/>
      <w:marBottom w:val="0"/>
      <w:divBdr>
        <w:top w:val="none" w:sz="0" w:space="0" w:color="auto"/>
        <w:left w:val="none" w:sz="0" w:space="0" w:color="auto"/>
        <w:bottom w:val="none" w:sz="0" w:space="0" w:color="auto"/>
        <w:right w:val="none" w:sz="0" w:space="0" w:color="auto"/>
      </w:divBdr>
    </w:div>
    <w:div w:id="168451463">
      <w:bodyDiv w:val="1"/>
      <w:marLeft w:val="0"/>
      <w:marRight w:val="0"/>
      <w:marTop w:val="0"/>
      <w:marBottom w:val="0"/>
      <w:divBdr>
        <w:top w:val="none" w:sz="0" w:space="0" w:color="auto"/>
        <w:left w:val="none" w:sz="0" w:space="0" w:color="auto"/>
        <w:bottom w:val="none" w:sz="0" w:space="0" w:color="auto"/>
        <w:right w:val="none" w:sz="0" w:space="0" w:color="auto"/>
      </w:divBdr>
    </w:div>
    <w:div w:id="301859385">
      <w:bodyDiv w:val="1"/>
      <w:marLeft w:val="0"/>
      <w:marRight w:val="0"/>
      <w:marTop w:val="0"/>
      <w:marBottom w:val="0"/>
      <w:divBdr>
        <w:top w:val="none" w:sz="0" w:space="0" w:color="auto"/>
        <w:left w:val="none" w:sz="0" w:space="0" w:color="auto"/>
        <w:bottom w:val="none" w:sz="0" w:space="0" w:color="auto"/>
        <w:right w:val="none" w:sz="0" w:space="0" w:color="auto"/>
      </w:divBdr>
    </w:div>
    <w:div w:id="380909945">
      <w:bodyDiv w:val="1"/>
      <w:marLeft w:val="0"/>
      <w:marRight w:val="0"/>
      <w:marTop w:val="0"/>
      <w:marBottom w:val="0"/>
      <w:divBdr>
        <w:top w:val="none" w:sz="0" w:space="0" w:color="auto"/>
        <w:left w:val="none" w:sz="0" w:space="0" w:color="auto"/>
        <w:bottom w:val="none" w:sz="0" w:space="0" w:color="auto"/>
        <w:right w:val="none" w:sz="0" w:space="0" w:color="auto"/>
      </w:divBdr>
    </w:div>
    <w:div w:id="491795721">
      <w:bodyDiv w:val="1"/>
      <w:marLeft w:val="0"/>
      <w:marRight w:val="0"/>
      <w:marTop w:val="0"/>
      <w:marBottom w:val="0"/>
      <w:divBdr>
        <w:top w:val="none" w:sz="0" w:space="0" w:color="auto"/>
        <w:left w:val="none" w:sz="0" w:space="0" w:color="auto"/>
        <w:bottom w:val="none" w:sz="0" w:space="0" w:color="auto"/>
        <w:right w:val="none" w:sz="0" w:space="0" w:color="auto"/>
      </w:divBdr>
    </w:div>
    <w:div w:id="644968313">
      <w:bodyDiv w:val="1"/>
      <w:marLeft w:val="0"/>
      <w:marRight w:val="0"/>
      <w:marTop w:val="0"/>
      <w:marBottom w:val="0"/>
      <w:divBdr>
        <w:top w:val="none" w:sz="0" w:space="0" w:color="auto"/>
        <w:left w:val="none" w:sz="0" w:space="0" w:color="auto"/>
        <w:bottom w:val="none" w:sz="0" w:space="0" w:color="auto"/>
        <w:right w:val="none" w:sz="0" w:space="0" w:color="auto"/>
      </w:divBdr>
    </w:div>
    <w:div w:id="902105311">
      <w:bodyDiv w:val="1"/>
      <w:marLeft w:val="0"/>
      <w:marRight w:val="0"/>
      <w:marTop w:val="0"/>
      <w:marBottom w:val="0"/>
      <w:divBdr>
        <w:top w:val="none" w:sz="0" w:space="0" w:color="auto"/>
        <w:left w:val="none" w:sz="0" w:space="0" w:color="auto"/>
        <w:bottom w:val="none" w:sz="0" w:space="0" w:color="auto"/>
        <w:right w:val="none" w:sz="0" w:space="0" w:color="auto"/>
      </w:divBdr>
    </w:div>
    <w:div w:id="912469630">
      <w:bodyDiv w:val="1"/>
      <w:marLeft w:val="0"/>
      <w:marRight w:val="0"/>
      <w:marTop w:val="0"/>
      <w:marBottom w:val="0"/>
      <w:divBdr>
        <w:top w:val="none" w:sz="0" w:space="0" w:color="auto"/>
        <w:left w:val="none" w:sz="0" w:space="0" w:color="auto"/>
        <w:bottom w:val="none" w:sz="0" w:space="0" w:color="auto"/>
        <w:right w:val="none" w:sz="0" w:space="0" w:color="auto"/>
      </w:divBdr>
    </w:div>
    <w:div w:id="998729845">
      <w:bodyDiv w:val="1"/>
      <w:marLeft w:val="0"/>
      <w:marRight w:val="0"/>
      <w:marTop w:val="0"/>
      <w:marBottom w:val="0"/>
      <w:divBdr>
        <w:top w:val="none" w:sz="0" w:space="0" w:color="auto"/>
        <w:left w:val="none" w:sz="0" w:space="0" w:color="auto"/>
        <w:bottom w:val="none" w:sz="0" w:space="0" w:color="auto"/>
        <w:right w:val="none" w:sz="0" w:space="0" w:color="auto"/>
      </w:divBdr>
    </w:div>
    <w:div w:id="1116293979">
      <w:bodyDiv w:val="1"/>
      <w:marLeft w:val="0"/>
      <w:marRight w:val="0"/>
      <w:marTop w:val="0"/>
      <w:marBottom w:val="0"/>
      <w:divBdr>
        <w:top w:val="none" w:sz="0" w:space="0" w:color="auto"/>
        <w:left w:val="none" w:sz="0" w:space="0" w:color="auto"/>
        <w:bottom w:val="none" w:sz="0" w:space="0" w:color="auto"/>
        <w:right w:val="none" w:sz="0" w:space="0" w:color="auto"/>
      </w:divBdr>
    </w:div>
    <w:div w:id="1264874713">
      <w:bodyDiv w:val="1"/>
      <w:marLeft w:val="0"/>
      <w:marRight w:val="0"/>
      <w:marTop w:val="0"/>
      <w:marBottom w:val="0"/>
      <w:divBdr>
        <w:top w:val="none" w:sz="0" w:space="0" w:color="auto"/>
        <w:left w:val="none" w:sz="0" w:space="0" w:color="auto"/>
        <w:bottom w:val="none" w:sz="0" w:space="0" w:color="auto"/>
        <w:right w:val="none" w:sz="0" w:space="0" w:color="auto"/>
      </w:divBdr>
    </w:div>
    <w:div w:id="1562405581">
      <w:bodyDiv w:val="1"/>
      <w:marLeft w:val="0"/>
      <w:marRight w:val="0"/>
      <w:marTop w:val="0"/>
      <w:marBottom w:val="0"/>
      <w:divBdr>
        <w:top w:val="none" w:sz="0" w:space="0" w:color="auto"/>
        <w:left w:val="none" w:sz="0" w:space="0" w:color="auto"/>
        <w:bottom w:val="none" w:sz="0" w:space="0" w:color="auto"/>
        <w:right w:val="none" w:sz="0" w:space="0" w:color="auto"/>
      </w:divBdr>
    </w:div>
    <w:div w:id="1739017987">
      <w:bodyDiv w:val="1"/>
      <w:marLeft w:val="0"/>
      <w:marRight w:val="0"/>
      <w:marTop w:val="0"/>
      <w:marBottom w:val="0"/>
      <w:divBdr>
        <w:top w:val="none" w:sz="0" w:space="0" w:color="auto"/>
        <w:left w:val="none" w:sz="0" w:space="0" w:color="auto"/>
        <w:bottom w:val="none" w:sz="0" w:space="0" w:color="auto"/>
        <w:right w:val="none" w:sz="0" w:space="0" w:color="auto"/>
      </w:divBdr>
    </w:div>
    <w:div w:id="189399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ba20eb-3293-4375-8b52-a2497fa74c3a" xsi:nil="true"/>
    <lcf76f155ced4ddcb4097134ff3c332f xmlns="587cfa23-294e-48ef-a7e6-5e4a1652e2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8130136EC05049BE1326C7001ED4D6" ma:contentTypeVersion="13" ma:contentTypeDescription="Create a new document." ma:contentTypeScope="" ma:versionID="e28231a3d3e3374e18d2565ce09b30ff">
  <xsd:schema xmlns:xsd="http://www.w3.org/2001/XMLSchema" xmlns:xs="http://www.w3.org/2001/XMLSchema" xmlns:p="http://schemas.microsoft.com/office/2006/metadata/properties" xmlns:ns2="587cfa23-294e-48ef-a7e6-5e4a1652e2df" xmlns:ns3="66ba20eb-3293-4375-8b52-a2497fa74c3a" targetNamespace="http://schemas.microsoft.com/office/2006/metadata/properties" ma:root="true" ma:fieldsID="a9a21dd15804f84033f36043badea8fe" ns2:_="" ns3:_="">
    <xsd:import namespace="587cfa23-294e-48ef-a7e6-5e4a1652e2df"/>
    <xsd:import namespace="66ba20eb-3293-4375-8b52-a2497fa74c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cfa23-294e-48ef-a7e6-5e4a1652e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8191fb6-eabe-4b74-811f-adbf79aaacf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a20eb-3293-4375-8b52-a2497fa74c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97aea90-8ba8-4301-93bf-21dde98a29aa}" ma:internalName="TaxCatchAll" ma:showField="CatchAllData" ma:web="66ba20eb-3293-4375-8b52-a2497fa74c3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40023-7A64-4288-A1E8-BD3CA986957E}">
  <ds:schemaRefs>
    <ds:schemaRef ds:uri="http://schemas.microsoft.com/office/2006/metadata/properties"/>
    <ds:schemaRef ds:uri="http://schemas.microsoft.com/office/infopath/2007/PartnerControls"/>
    <ds:schemaRef ds:uri="66ba20eb-3293-4375-8b52-a2497fa74c3a"/>
    <ds:schemaRef ds:uri="587cfa23-294e-48ef-a7e6-5e4a1652e2df"/>
  </ds:schemaRefs>
</ds:datastoreItem>
</file>

<file path=customXml/itemProps2.xml><?xml version="1.0" encoding="utf-8"?>
<ds:datastoreItem xmlns:ds="http://schemas.openxmlformats.org/officeDocument/2006/customXml" ds:itemID="{F7841BDB-B63D-48E2-B4CC-ABB1FEF42D8B}">
  <ds:schemaRefs>
    <ds:schemaRef ds:uri="http://schemas.microsoft.com/sharepoint/v3/contenttype/forms"/>
  </ds:schemaRefs>
</ds:datastoreItem>
</file>

<file path=customXml/itemProps3.xml><?xml version="1.0" encoding="utf-8"?>
<ds:datastoreItem xmlns:ds="http://schemas.openxmlformats.org/officeDocument/2006/customXml" ds:itemID="{B46BD036-7AE6-4AE9-8F0B-F44E1F9C7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cfa23-294e-48ef-a7e6-5e4a1652e2df"/>
    <ds:schemaRef ds:uri="66ba20eb-3293-4375-8b52-a2497fa74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10</vt:lpstr>
    </vt:vector>
  </TitlesOfParts>
  <Company>FandC</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sdavidso</dc:creator>
  <cp:keywords/>
  <dc:description/>
  <cp:lastModifiedBy>Andrew Macdonald</cp:lastModifiedBy>
  <cp:revision>8</cp:revision>
  <cp:lastPrinted>2024-07-31T11:02:00Z</cp:lastPrinted>
  <dcterms:created xsi:type="dcterms:W3CDTF">2023-07-21T10:33:00Z</dcterms:created>
  <dcterms:modified xsi:type="dcterms:W3CDTF">2024-07-31T11:22:00Z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0x010100758130136EC05049BE1326C7001ED4D6</vt:lpwstr>
  </property>
  <property fmtid="{D5CDD505-2E9C-101B-9397-08002B2CF9AE}" pid="3" name="MediaServiceImageTags">
    <vt:lpwstr/>
  </property>
</Properties>
</file>