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C242C" w14:textId="0312B891" w:rsidR="008352B3" w:rsidRPr="00D25D28" w:rsidRDefault="00782B60" w:rsidP="003E6644">
      <w:pPr>
        <w:pStyle w:val="Title"/>
        <w:jc w:val="left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Registered Number: </w:t>
      </w:r>
      <w:r w:rsidR="00A833ED" w:rsidRPr="00A833ED">
        <w:rPr>
          <w:rFonts w:ascii="Arial" w:hAnsi="Arial" w:cs="Arial"/>
          <w:b w:val="0"/>
          <w:bCs/>
          <w:sz w:val="20"/>
          <w:u w:val="none"/>
        </w:rPr>
        <w:t>SC005218</w:t>
      </w:r>
    </w:p>
    <w:p w14:paraId="4D948287" w14:textId="77777777" w:rsidR="008352B3" w:rsidRPr="00D25D28" w:rsidRDefault="008352B3" w:rsidP="003E6644">
      <w:pPr>
        <w:pStyle w:val="Title"/>
        <w:rPr>
          <w:rFonts w:ascii="Arial" w:hAnsi="Arial" w:cs="Arial"/>
          <w:b w:val="0"/>
          <w:sz w:val="20"/>
          <w:u w:val="none"/>
        </w:rPr>
      </w:pPr>
    </w:p>
    <w:p w14:paraId="55604703" w14:textId="77777777" w:rsidR="008352B3" w:rsidRPr="00D25D28" w:rsidRDefault="00782B60" w:rsidP="001D547A">
      <w:pPr>
        <w:pStyle w:val="Title"/>
        <w:rPr>
          <w:rFonts w:ascii="Arial" w:hAnsi="Arial" w:cs="Arial"/>
          <w:b w:val="0"/>
          <w:sz w:val="20"/>
          <w:u w:val="none"/>
        </w:rPr>
      </w:pPr>
      <w:r w:rsidRPr="00D25D28">
        <w:rPr>
          <w:rFonts w:ascii="Arial" w:hAnsi="Arial" w:cs="Arial"/>
          <w:b w:val="0"/>
          <w:sz w:val="20"/>
          <w:u w:val="none"/>
        </w:rPr>
        <w:t>The Companies Act 2006</w:t>
      </w:r>
    </w:p>
    <w:p w14:paraId="6991335A" w14:textId="77777777" w:rsidR="008352B3" w:rsidRPr="00D25D28" w:rsidRDefault="00782B60" w:rsidP="001D547A">
      <w:pPr>
        <w:pStyle w:val="Title"/>
        <w:rPr>
          <w:rFonts w:ascii="Arial" w:hAnsi="Arial" w:cs="Arial"/>
          <w:b w:val="0"/>
          <w:sz w:val="20"/>
          <w:u w:val="none"/>
        </w:rPr>
      </w:pPr>
      <w:r w:rsidRPr="00D25D28">
        <w:rPr>
          <w:rFonts w:ascii="Arial" w:hAnsi="Arial" w:cs="Arial"/>
          <w:b w:val="0"/>
          <w:sz w:val="20"/>
          <w:u w:val="none"/>
        </w:rPr>
        <w:t xml:space="preserve">Company </w:t>
      </w:r>
      <w:r>
        <w:rPr>
          <w:rFonts w:ascii="Arial" w:hAnsi="Arial" w:cs="Arial"/>
          <w:b w:val="0"/>
          <w:sz w:val="20"/>
          <w:u w:val="none"/>
        </w:rPr>
        <w:t>Limited b</w:t>
      </w:r>
      <w:r w:rsidRPr="00D25D28">
        <w:rPr>
          <w:rFonts w:ascii="Arial" w:hAnsi="Arial" w:cs="Arial"/>
          <w:b w:val="0"/>
          <w:sz w:val="20"/>
          <w:u w:val="none"/>
        </w:rPr>
        <w:t>y Shares</w:t>
      </w:r>
    </w:p>
    <w:p w14:paraId="026BE7CE" w14:textId="77777777" w:rsidR="008352B3" w:rsidRPr="00782B60" w:rsidRDefault="008352B3" w:rsidP="001D547A">
      <w:pPr>
        <w:pStyle w:val="Title"/>
        <w:rPr>
          <w:rFonts w:ascii="Arial" w:hAnsi="Arial" w:cs="Arial"/>
          <w:b w:val="0"/>
          <w:sz w:val="20"/>
          <w:u w:val="none"/>
        </w:rPr>
      </w:pPr>
    </w:p>
    <w:p w14:paraId="00A870BA" w14:textId="77777777" w:rsidR="008352B3" w:rsidRPr="00782B60" w:rsidRDefault="008352B3" w:rsidP="001D547A">
      <w:pPr>
        <w:pStyle w:val="Title"/>
        <w:rPr>
          <w:rFonts w:ascii="Arial" w:hAnsi="Arial" w:cs="Arial"/>
          <w:b w:val="0"/>
          <w:sz w:val="20"/>
          <w:u w:val="none"/>
        </w:rPr>
      </w:pPr>
      <w:r w:rsidRPr="00782B60">
        <w:rPr>
          <w:rFonts w:ascii="Arial" w:hAnsi="Arial" w:cs="Arial"/>
          <w:b w:val="0"/>
          <w:sz w:val="20"/>
          <w:u w:val="none"/>
        </w:rPr>
        <w:t>RESOLUTIONS</w:t>
      </w:r>
    </w:p>
    <w:p w14:paraId="58F94D76" w14:textId="77777777" w:rsidR="008352B3" w:rsidRPr="00782B60" w:rsidRDefault="008352B3" w:rsidP="001D547A">
      <w:pPr>
        <w:pStyle w:val="Title"/>
        <w:rPr>
          <w:rFonts w:ascii="Arial" w:hAnsi="Arial" w:cs="Arial"/>
          <w:b w:val="0"/>
          <w:sz w:val="20"/>
          <w:u w:val="none"/>
        </w:rPr>
      </w:pPr>
    </w:p>
    <w:p w14:paraId="6F1D9A0D" w14:textId="77777777" w:rsidR="008352B3" w:rsidRPr="00782B60" w:rsidRDefault="00782B60" w:rsidP="001D547A">
      <w:pPr>
        <w:pStyle w:val="Title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of</w:t>
      </w:r>
    </w:p>
    <w:p w14:paraId="5DABCAEC" w14:textId="77777777" w:rsidR="008352B3" w:rsidRPr="00782B60" w:rsidRDefault="008352B3" w:rsidP="001D547A">
      <w:pPr>
        <w:pStyle w:val="Title"/>
        <w:rPr>
          <w:rFonts w:ascii="Arial" w:hAnsi="Arial" w:cs="Arial"/>
          <w:b w:val="0"/>
          <w:sz w:val="20"/>
          <w:u w:val="none"/>
        </w:rPr>
      </w:pPr>
    </w:p>
    <w:p w14:paraId="2294B6A6" w14:textId="406F1C05" w:rsidR="008352B3" w:rsidRPr="00782B60" w:rsidRDefault="00A833ED" w:rsidP="001D547A">
      <w:pPr>
        <w:pStyle w:val="Title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THE NORTH AMERICAN INCOME TRUST PLC</w:t>
      </w:r>
    </w:p>
    <w:p w14:paraId="3E2FBBE5" w14:textId="77777777" w:rsidR="008352B3" w:rsidRPr="00D25D28" w:rsidRDefault="008352B3" w:rsidP="001D547A">
      <w:pPr>
        <w:tabs>
          <w:tab w:val="left" w:pos="709"/>
          <w:tab w:val="left" w:pos="1418"/>
          <w:tab w:val="right" w:pos="9214"/>
        </w:tabs>
        <w:jc w:val="center"/>
        <w:rPr>
          <w:rFonts w:ascii="Arial" w:hAnsi="Arial" w:cs="Arial"/>
          <w:b/>
        </w:rPr>
      </w:pPr>
    </w:p>
    <w:p w14:paraId="484825DE" w14:textId="77777777" w:rsidR="008352B3" w:rsidRPr="00D25D28" w:rsidRDefault="008352B3" w:rsidP="001D547A">
      <w:pPr>
        <w:tabs>
          <w:tab w:val="left" w:pos="709"/>
          <w:tab w:val="left" w:pos="1418"/>
          <w:tab w:val="right" w:pos="9214"/>
        </w:tabs>
        <w:jc w:val="center"/>
        <w:rPr>
          <w:rFonts w:ascii="Arial" w:hAnsi="Arial" w:cs="Arial"/>
          <w:b/>
        </w:rPr>
      </w:pPr>
    </w:p>
    <w:p w14:paraId="12E1A226" w14:textId="76F7ACBA" w:rsidR="008352B3" w:rsidRPr="00D25D28" w:rsidRDefault="008352B3" w:rsidP="001D547A">
      <w:pPr>
        <w:tabs>
          <w:tab w:val="left" w:pos="709"/>
          <w:tab w:val="left" w:pos="1418"/>
          <w:tab w:val="right" w:pos="9214"/>
        </w:tabs>
        <w:jc w:val="center"/>
        <w:rPr>
          <w:rFonts w:ascii="Arial" w:hAnsi="Arial" w:cs="Arial"/>
        </w:rPr>
      </w:pPr>
      <w:r w:rsidRPr="00D25D28">
        <w:rPr>
          <w:rFonts w:ascii="Arial" w:hAnsi="Arial" w:cs="Arial"/>
        </w:rPr>
        <w:t xml:space="preserve">Passed on </w:t>
      </w:r>
      <w:r w:rsidR="00A833ED">
        <w:rPr>
          <w:rFonts w:ascii="Arial" w:hAnsi="Arial" w:cs="Arial"/>
        </w:rPr>
        <w:t>3 June 2025</w:t>
      </w:r>
    </w:p>
    <w:p w14:paraId="75163FE0" w14:textId="77777777" w:rsidR="008352B3" w:rsidRPr="00D25D28" w:rsidRDefault="008352B3" w:rsidP="00D25D28">
      <w:pPr>
        <w:tabs>
          <w:tab w:val="left" w:pos="709"/>
          <w:tab w:val="left" w:pos="1418"/>
          <w:tab w:val="right" w:pos="9214"/>
        </w:tabs>
        <w:jc w:val="both"/>
        <w:rPr>
          <w:rFonts w:ascii="Arial" w:hAnsi="Arial" w:cs="Arial"/>
          <w:b/>
        </w:rPr>
      </w:pPr>
    </w:p>
    <w:p w14:paraId="719D7DCA" w14:textId="593213BA" w:rsidR="008352B3" w:rsidRPr="001C66FB" w:rsidRDefault="008352B3" w:rsidP="00D25D28">
      <w:pPr>
        <w:tabs>
          <w:tab w:val="left" w:pos="709"/>
          <w:tab w:val="left" w:pos="1418"/>
          <w:tab w:val="right" w:pos="9214"/>
        </w:tabs>
        <w:jc w:val="both"/>
        <w:rPr>
          <w:rFonts w:ascii="Arial" w:hAnsi="Arial" w:cs="Arial"/>
        </w:rPr>
      </w:pPr>
      <w:r w:rsidRPr="001C66FB">
        <w:rPr>
          <w:rFonts w:ascii="Arial" w:hAnsi="Arial" w:cs="Arial"/>
        </w:rPr>
        <w:t xml:space="preserve">At the Annual General Meeting duly convened and held on </w:t>
      </w:r>
      <w:r w:rsidR="00A833ED" w:rsidRPr="001C66FB">
        <w:rPr>
          <w:rFonts w:ascii="Arial" w:hAnsi="Arial" w:cs="Arial"/>
        </w:rPr>
        <w:t>3 June 2025</w:t>
      </w:r>
      <w:r w:rsidRPr="001C66FB">
        <w:rPr>
          <w:rFonts w:ascii="Arial" w:hAnsi="Arial" w:cs="Arial"/>
        </w:rPr>
        <w:t>, the following resolutions were duly passed</w:t>
      </w:r>
      <w:r w:rsidR="00782B60" w:rsidRPr="001C66FB">
        <w:rPr>
          <w:rFonts w:ascii="Arial" w:hAnsi="Arial" w:cs="Arial"/>
        </w:rPr>
        <w:t xml:space="preserve">, </w:t>
      </w:r>
      <w:r w:rsidR="00855E54" w:rsidRPr="001C66FB">
        <w:rPr>
          <w:rFonts w:ascii="Arial" w:hAnsi="Arial" w:cs="Arial"/>
        </w:rPr>
        <w:t>one</w:t>
      </w:r>
      <w:r w:rsidR="00782B60" w:rsidRPr="001C66FB">
        <w:rPr>
          <w:rFonts w:ascii="Arial" w:hAnsi="Arial" w:cs="Arial"/>
        </w:rPr>
        <w:t xml:space="preserve"> as </w:t>
      </w:r>
      <w:r w:rsidR="00855E54" w:rsidRPr="001C66FB">
        <w:rPr>
          <w:rFonts w:ascii="Arial" w:hAnsi="Arial" w:cs="Arial"/>
        </w:rPr>
        <w:t xml:space="preserve">an </w:t>
      </w:r>
      <w:r w:rsidR="00782B60" w:rsidRPr="001C66FB">
        <w:rPr>
          <w:rFonts w:ascii="Arial" w:hAnsi="Arial" w:cs="Arial"/>
        </w:rPr>
        <w:t xml:space="preserve">ordinary resolution and </w:t>
      </w:r>
      <w:r w:rsidR="00E06DDD" w:rsidRPr="001C66FB">
        <w:rPr>
          <w:rFonts w:ascii="Arial" w:hAnsi="Arial" w:cs="Arial"/>
        </w:rPr>
        <w:t>three</w:t>
      </w:r>
      <w:r w:rsidR="00782B60" w:rsidRPr="001C66FB">
        <w:rPr>
          <w:rFonts w:ascii="Arial" w:hAnsi="Arial" w:cs="Arial"/>
        </w:rPr>
        <w:t xml:space="preserve"> as special resolutions</w:t>
      </w:r>
      <w:r w:rsidRPr="001C66FB">
        <w:rPr>
          <w:rFonts w:ascii="Arial" w:hAnsi="Arial" w:cs="Arial"/>
        </w:rPr>
        <w:t>:</w:t>
      </w:r>
    </w:p>
    <w:p w14:paraId="41EFB3AE" w14:textId="77777777" w:rsidR="00056F99" w:rsidRPr="001C66FB" w:rsidRDefault="00056F99" w:rsidP="00D25D28">
      <w:pPr>
        <w:tabs>
          <w:tab w:val="left" w:pos="709"/>
          <w:tab w:val="left" w:pos="1418"/>
          <w:tab w:val="right" w:pos="9214"/>
        </w:tabs>
        <w:jc w:val="both"/>
        <w:rPr>
          <w:rFonts w:ascii="Arial" w:hAnsi="Arial" w:cs="Arial"/>
          <w:b/>
        </w:rPr>
      </w:pPr>
    </w:p>
    <w:p w14:paraId="0B6A8952" w14:textId="24AFB643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  <w:r w:rsidRPr="001C66FB">
        <w:rPr>
          <w:rFonts w:ascii="Arial" w:hAnsi="Arial" w:cs="Arial"/>
          <w:bCs/>
        </w:rPr>
        <w:t>[</w:t>
      </w:r>
      <w:r w:rsidRPr="00855E54">
        <w:rPr>
          <w:rFonts w:ascii="Arial" w:hAnsi="Arial" w:cs="Arial"/>
          <w:bCs/>
        </w:rPr>
        <w:t>11</w:t>
      </w:r>
      <w:r w:rsidRPr="001C66FB">
        <w:rPr>
          <w:rFonts w:ascii="Arial" w:hAnsi="Arial" w:cs="Arial"/>
          <w:bCs/>
        </w:rPr>
        <w:t>]</w:t>
      </w:r>
      <w:r w:rsidRPr="001C66FB">
        <w:rPr>
          <w:rFonts w:ascii="Arial" w:hAnsi="Arial" w:cs="Arial"/>
          <w:bCs/>
        </w:rPr>
        <w:tab/>
        <w:t>ORDINARY RESOLUTION</w:t>
      </w:r>
    </w:p>
    <w:p w14:paraId="7FD96179" w14:textId="77777777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</w:p>
    <w:p w14:paraId="1527022C" w14:textId="1FDE86CC" w:rsidR="00855E54" w:rsidRPr="00855E54" w:rsidRDefault="00855E54" w:rsidP="00D56617">
      <w:pPr>
        <w:tabs>
          <w:tab w:val="left" w:pos="1560"/>
          <w:tab w:val="right" w:pos="9214"/>
        </w:tabs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>THAT in substitution for all existing authorities,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directors be generally and unconditionally authorised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pursuant to s551 Companies Act 2006 to exercise all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powers of the Company to allot ordinary shares of 5p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each in the capital of the Company (“ordinary shares”</w:t>
      </w:r>
      <w:r w:rsidR="00D56617" w:rsidRPr="001C66FB">
        <w:rPr>
          <w:rFonts w:ascii="Arial" w:hAnsi="Arial" w:cs="Arial"/>
          <w:bCs/>
        </w:rPr>
        <w:t xml:space="preserve">) </w:t>
      </w:r>
      <w:r w:rsidRPr="00855E54">
        <w:rPr>
          <w:rFonts w:ascii="Arial" w:hAnsi="Arial" w:cs="Arial"/>
          <w:bCs/>
        </w:rPr>
        <w:t>and to grant rights to subscribe for, or to convert any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security into, ordinary shares up to an aggregate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nominal amount of £606,549 (or such other amount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representing 10% of the issued share capital (</w:t>
      </w:r>
      <w:r w:rsidR="00D56617" w:rsidRPr="001C66FB">
        <w:rPr>
          <w:rFonts w:ascii="Arial" w:hAnsi="Arial" w:cs="Arial"/>
          <w:bCs/>
        </w:rPr>
        <w:t xml:space="preserve">excluding </w:t>
      </w:r>
      <w:r w:rsidRPr="00855E54">
        <w:rPr>
          <w:rFonts w:ascii="Arial" w:hAnsi="Arial" w:cs="Arial"/>
          <w:bCs/>
        </w:rPr>
        <w:t>treasury shares) as at the date of the passing of this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resolution) for a period expiring (unless previously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renewed, varied or revoked by the Company in general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meeting) on the earlier of the date falling 15 months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after the passing of this resolution and the conclusion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of the AGM of the Company in 2026, save that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directors may make an offer or agreement which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would or might require ordinary shares to be allotted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or rights to be granted after expiry of this authority and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the directors may allot ordinary shares and grant rights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in pursuance of that offer or agreement as if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authority conferred hereby had not expired.</w:t>
      </w:r>
    </w:p>
    <w:p w14:paraId="7555C83E" w14:textId="77777777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</w:p>
    <w:p w14:paraId="05BADF6E" w14:textId="473732D6" w:rsidR="00855E54" w:rsidRPr="00855E54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>[1</w:t>
      </w:r>
      <w:r w:rsidRPr="001C66FB">
        <w:rPr>
          <w:rFonts w:ascii="Arial" w:hAnsi="Arial" w:cs="Arial"/>
          <w:bCs/>
        </w:rPr>
        <w:t>2</w:t>
      </w:r>
      <w:r w:rsidRPr="00855E54">
        <w:rPr>
          <w:rFonts w:ascii="Arial" w:hAnsi="Arial" w:cs="Arial"/>
          <w:bCs/>
        </w:rPr>
        <w:t>]</w:t>
      </w:r>
      <w:r w:rsidRPr="00855E54">
        <w:rPr>
          <w:rFonts w:ascii="Arial" w:hAnsi="Arial" w:cs="Arial"/>
          <w:bCs/>
        </w:rPr>
        <w:tab/>
      </w:r>
      <w:r w:rsidRPr="001C66FB">
        <w:rPr>
          <w:rFonts w:ascii="Arial" w:hAnsi="Arial" w:cs="Arial"/>
          <w:bCs/>
        </w:rPr>
        <w:t>SPECIAL</w:t>
      </w:r>
      <w:r w:rsidRPr="00855E54">
        <w:rPr>
          <w:rFonts w:ascii="Arial" w:hAnsi="Arial" w:cs="Arial"/>
          <w:bCs/>
        </w:rPr>
        <w:t xml:space="preserve"> RESOLUTION</w:t>
      </w:r>
    </w:p>
    <w:p w14:paraId="6D1A39ED" w14:textId="77777777" w:rsidR="00855E54" w:rsidRPr="00855E54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</w:p>
    <w:p w14:paraId="40B7255A" w14:textId="15132B47" w:rsidR="00855E54" w:rsidRPr="001C66FB" w:rsidRDefault="00855E54" w:rsidP="001C66FB">
      <w:pPr>
        <w:tabs>
          <w:tab w:val="left" w:pos="1560"/>
          <w:tab w:val="right" w:pos="9214"/>
        </w:tabs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>THAT in substitution for all existing authorities and,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subject to the passing of resolution 11, the directors be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empowered pursuant to s570 and s573 Companies Act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2006 to allot ordinary shares or make offers or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agreements to allot ordinary shares (within the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meaning of s560 of that Act) for cash, and to sell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ordinary shares which are held by the Company in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treasury, as if s561(1) Companies Act 2006 did not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apply to any such allotments or sale. This power shall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be limited to the allotment or sale of ordinary shar</w:t>
      </w:r>
      <w:r w:rsidR="00D56617" w:rsidRPr="001C66FB">
        <w:rPr>
          <w:rFonts w:ascii="Arial" w:hAnsi="Arial" w:cs="Arial"/>
          <w:bCs/>
        </w:rPr>
        <w:t>e</w:t>
      </w:r>
      <w:r w:rsidRPr="00855E54">
        <w:rPr>
          <w:rFonts w:ascii="Arial" w:hAnsi="Arial" w:cs="Arial"/>
          <w:bCs/>
        </w:rPr>
        <w:t>s:</w:t>
      </w:r>
    </w:p>
    <w:p w14:paraId="4B0FBB6B" w14:textId="77777777" w:rsidR="00D56617" w:rsidRPr="00855E54" w:rsidRDefault="00D56617" w:rsidP="001C66FB">
      <w:pPr>
        <w:tabs>
          <w:tab w:val="left" w:pos="1560"/>
          <w:tab w:val="right" w:pos="9214"/>
        </w:tabs>
        <w:jc w:val="both"/>
        <w:rPr>
          <w:rFonts w:ascii="Arial" w:hAnsi="Arial" w:cs="Arial"/>
          <w:bCs/>
        </w:rPr>
      </w:pPr>
    </w:p>
    <w:p w14:paraId="4898556F" w14:textId="24EF4F6B" w:rsidR="00855E54" w:rsidRPr="001C66FB" w:rsidRDefault="00855E54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 xml:space="preserve">a. </w:t>
      </w:r>
      <w:r w:rsidR="001C66FB" w:rsidRPr="001C66FB">
        <w:rPr>
          <w:rFonts w:ascii="Arial" w:hAnsi="Arial" w:cs="Arial"/>
          <w:bCs/>
        </w:rPr>
        <w:tab/>
      </w:r>
      <w:r w:rsidRPr="00855E54">
        <w:rPr>
          <w:rFonts w:ascii="Arial" w:hAnsi="Arial" w:cs="Arial"/>
          <w:bCs/>
        </w:rPr>
        <w:t>whether by way of a rights issue, open offer or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otherwise to ordinary shareholders on the Register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of Members at such record date(s) as the directors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may determine where the ordinary shares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respectively attributable to the interests of all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ordinary shareholders are proportionate (or as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nearly as may be) to the respective numbers of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ordinary shares held by them (or are otherwise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allotted in accordance with the rights attaching to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such ordinary shares) subject in either case to such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exclusions or other arrangements as the directors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may deem necessary or expedient in relation to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treasury shares, fractional entitlements or local or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practical problems under the laws of, or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requirements of, any regulatory body or any stock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exchange in any territory or otherwise howsoever;</w:t>
      </w:r>
    </w:p>
    <w:p w14:paraId="208AE9EA" w14:textId="77777777" w:rsidR="00D56617" w:rsidRPr="00855E54" w:rsidRDefault="00D56617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</w:p>
    <w:p w14:paraId="68385D13" w14:textId="0BC681C8" w:rsidR="00D56617" w:rsidRPr="001C66FB" w:rsidRDefault="00855E54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 xml:space="preserve">b. </w:t>
      </w:r>
      <w:r w:rsidR="001C66FB" w:rsidRPr="001C66FB">
        <w:rPr>
          <w:rFonts w:ascii="Arial" w:hAnsi="Arial" w:cs="Arial"/>
          <w:bCs/>
        </w:rPr>
        <w:tab/>
      </w:r>
      <w:r w:rsidRPr="00855E54">
        <w:rPr>
          <w:rFonts w:ascii="Arial" w:hAnsi="Arial" w:cs="Arial"/>
          <w:bCs/>
        </w:rPr>
        <w:t>up to a maximum aggregate nominal value of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£606,549 (or such other amount representing 10%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of the Company’s issued ordinary share capital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(excluding treasury shares) as at the date of</w:t>
      </w:r>
      <w:r w:rsidR="00D56617" w:rsidRPr="001C66FB">
        <w:rPr>
          <w:rFonts w:ascii="Arial" w:hAnsi="Arial" w:cs="Arial"/>
          <w:bCs/>
        </w:rPr>
        <w:t xml:space="preserve"> </w:t>
      </w:r>
      <w:proofErr w:type="gramStart"/>
      <w:r w:rsidR="00D56617" w:rsidRPr="001C66FB">
        <w:rPr>
          <w:rFonts w:ascii="Arial" w:hAnsi="Arial" w:cs="Arial"/>
          <w:bCs/>
        </w:rPr>
        <w:t>T</w:t>
      </w:r>
      <w:r w:rsidRPr="00855E54">
        <w:rPr>
          <w:rFonts w:ascii="Arial" w:hAnsi="Arial" w:cs="Arial"/>
          <w:bCs/>
        </w:rPr>
        <w:t>he</w:t>
      </w:r>
      <w:proofErr w:type="gramEnd"/>
      <w:r w:rsidRPr="00855E54">
        <w:rPr>
          <w:rFonts w:ascii="Arial" w:hAnsi="Arial" w:cs="Arial"/>
          <w:bCs/>
        </w:rPr>
        <w:t xml:space="preserve"> passing of this resolution);</w:t>
      </w:r>
      <w:r w:rsidR="00D56617" w:rsidRPr="001C66FB">
        <w:rPr>
          <w:rFonts w:ascii="Arial" w:hAnsi="Arial" w:cs="Arial"/>
          <w:bCs/>
        </w:rPr>
        <w:t xml:space="preserve"> </w:t>
      </w:r>
    </w:p>
    <w:p w14:paraId="1CED2340" w14:textId="77777777" w:rsidR="00D56617" w:rsidRPr="001C66FB" w:rsidRDefault="00D56617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</w:p>
    <w:p w14:paraId="263DE979" w14:textId="596D9B30" w:rsidR="00855E54" w:rsidRPr="001C66FB" w:rsidRDefault="00855E54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 xml:space="preserve">c. </w:t>
      </w:r>
      <w:r w:rsidR="001C66FB" w:rsidRPr="001C66FB">
        <w:rPr>
          <w:rFonts w:ascii="Arial" w:hAnsi="Arial" w:cs="Arial"/>
          <w:bCs/>
        </w:rPr>
        <w:tab/>
      </w:r>
      <w:r w:rsidRPr="00855E54">
        <w:rPr>
          <w:rFonts w:ascii="Arial" w:hAnsi="Arial" w:cs="Arial"/>
          <w:bCs/>
        </w:rPr>
        <w:t>at a price not less than the net asset value per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ordinary share as at the latest practicable date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before such allotment of ordinary shares as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determined by the directors in their reasonable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discretion; and</w:t>
      </w:r>
    </w:p>
    <w:p w14:paraId="316FD499" w14:textId="77777777" w:rsidR="00D56617" w:rsidRPr="00855E54" w:rsidRDefault="00D56617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</w:p>
    <w:p w14:paraId="50B18E2E" w14:textId="5CE76FDB" w:rsidR="00855E54" w:rsidRPr="00855E54" w:rsidRDefault="00855E54" w:rsidP="001C66FB">
      <w:pPr>
        <w:tabs>
          <w:tab w:val="left" w:pos="1560"/>
          <w:tab w:val="right" w:pos="9214"/>
        </w:tabs>
        <w:ind w:left="709" w:hanging="283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 xml:space="preserve">d. </w:t>
      </w:r>
      <w:r w:rsidR="001C66FB" w:rsidRPr="001C66FB">
        <w:rPr>
          <w:rFonts w:ascii="Arial" w:hAnsi="Arial" w:cs="Arial"/>
          <w:bCs/>
        </w:rPr>
        <w:tab/>
      </w:r>
      <w:r w:rsidRPr="00855E54">
        <w:rPr>
          <w:rFonts w:ascii="Arial" w:hAnsi="Arial" w:cs="Arial"/>
          <w:bCs/>
        </w:rPr>
        <w:t>shall expire at the earlier of the date falling 15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months after the passing of this resolution and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conclusion of the AGM of the Company in 2026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unless previously renewed, varied or revoked by the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Company in general meeting, save that the directors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may before such expiry make an offer or agreement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which would or might require ordinary shares to be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 xml:space="preserve">allotted or sold </w:t>
      </w:r>
      <w:r w:rsidRPr="00855E54">
        <w:rPr>
          <w:rFonts w:ascii="Arial" w:hAnsi="Arial" w:cs="Arial"/>
          <w:bCs/>
        </w:rPr>
        <w:lastRenderedPageBreak/>
        <w:t>after such expiry and the directors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may allot or sell ordinary shares in pursuance of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such an offer or agreement as if the power</w:t>
      </w:r>
      <w:r w:rsidR="00D56617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conferred hereby had not expired.</w:t>
      </w:r>
    </w:p>
    <w:p w14:paraId="3BDA9752" w14:textId="77777777" w:rsidR="00855E54" w:rsidRPr="001C66FB" w:rsidRDefault="00855E54" w:rsidP="001C66FB">
      <w:pPr>
        <w:tabs>
          <w:tab w:val="left" w:pos="1560"/>
          <w:tab w:val="right" w:pos="9214"/>
        </w:tabs>
        <w:jc w:val="both"/>
        <w:rPr>
          <w:rFonts w:ascii="Arial" w:hAnsi="Arial" w:cs="Arial"/>
          <w:bCs/>
        </w:rPr>
      </w:pPr>
    </w:p>
    <w:p w14:paraId="3283F630" w14:textId="1807EECF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>[1</w:t>
      </w:r>
      <w:r w:rsidRPr="001C66FB">
        <w:rPr>
          <w:rFonts w:ascii="Arial" w:hAnsi="Arial" w:cs="Arial"/>
          <w:bCs/>
        </w:rPr>
        <w:t>3</w:t>
      </w:r>
      <w:r w:rsidRPr="00855E54">
        <w:rPr>
          <w:rFonts w:ascii="Arial" w:hAnsi="Arial" w:cs="Arial"/>
          <w:bCs/>
        </w:rPr>
        <w:t>]</w:t>
      </w:r>
      <w:r w:rsidRPr="00855E54">
        <w:rPr>
          <w:rFonts w:ascii="Arial" w:hAnsi="Arial" w:cs="Arial"/>
          <w:bCs/>
        </w:rPr>
        <w:tab/>
        <w:t>SPECIAL RESOLUTION</w:t>
      </w:r>
    </w:p>
    <w:p w14:paraId="4270B2B6" w14:textId="77777777" w:rsidR="00855E54" w:rsidRPr="00855E54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</w:p>
    <w:p w14:paraId="10EB8667" w14:textId="5819910E" w:rsidR="00855E54" w:rsidRPr="001C66FB" w:rsidRDefault="00855E54" w:rsidP="001C66FB">
      <w:pPr>
        <w:tabs>
          <w:tab w:val="left" w:pos="1560"/>
          <w:tab w:val="right" w:pos="9214"/>
        </w:tabs>
        <w:jc w:val="both"/>
        <w:rPr>
          <w:rFonts w:ascii="Arial" w:hAnsi="Arial" w:cs="Arial"/>
          <w:bCs/>
        </w:rPr>
      </w:pPr>
      <w:r w:rsidRPr="00855E54">
        <w:rPr>
          <w:rFonts w:ascii="Arial" w:hAnsi="Arial" w:cs="Arial"/>
          <w:bCs/>
        </w:rPr>
        <w:t>THAT in substitution for all existing authorities, the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Company be generally and unconditionally authorised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in accordance with s701 Companies Act 2006 to make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market purchases (within the meaning of s693(4) of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that Act) of ordinary shares on such terms and in such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manner as the directors may from time to time</w:t>
      </w:r>
      <w:r w:rsidR="001C66FB" w:rsidRPr="001C66FB">
        <w:rPr>
          <w:rFonts w:ascii="Arial" w:hAnsi="Arial" w:cs="Arial"/>
          <w:bCs/>
        </w:rPr>
        <w:t xml:space="preserve"> </w:t>
      </w:r>
      <w:r w:rsidRPr="00855E54">
        <w:rPr>
          <w:rFonts w:ascii="Arial" w:hAnsi="Arial" w:cs="Arial"/>
          <w:bCs/>
        </w:rPr>
        <w:t>determine, provided that:</w:t>
      </w:r>
    </w:p>
    <w:p w14:paraId="62F1F589" w14:textId="77777777" w:rsidR="001C66FB" w:rsidRPr="00855E54" w:rsidRDefault="001C66FB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hAnsi="Arial" w:cs="Arial"/>
          <w:bCs/>
        </w:rPr>
      </w:pPr>
    </w:p>
    <w:p w14:paraId="48DE2973" w14:textId="799F78C6" w:rsidR="00ED321E" w:rsidRPr="001C66FB" w:rsidRDefault="00855E54" w:rsidP="001C66FB">
      <w:pPr>
        <w:pStyle w:val="ListParagraph"/>
        <w:numPr>
          <w:ilvl w:val="0"/>
          <w:numId w:val="13"/>
        </w:numPr>
        <w:tabs>
          <w:tab w:val="left" w:pos="709"/>
          <w:tab w:val="left" w:pos="1560"/>
          <w:tab w:val="right" w:pos="9214"/>
        </w:tabs>
        <w:jc w:val="both"/>
        <w:rPr>
          <w:rFonts w:ascii="Arial" w:hAnsi="Arial" w:cs="Arial"/>
          <w:bCs/>
        </w:rPr>
      </w:pPr>
      <w:r w:rsidRPr="001C66FB">
        <w:rPr>
          <w:rFonts w:ascii="Arial" w:hAnsi="Arial" w:cs="Arial"/>
          <w:bCs/>
        </w:rPr>
        <w:t>the maximum aggregate number of ordinary shares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>authorised to be purchased is 14.99% of the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>Company’s issued ordinary share capital at the date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>of the resolution (equivalent to 18,184,344 ordinary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 xml:space="preserve">shares (excluding treasury shares) as </w:t>
      </w:r>
      <w:proofErr w:type="gramStart"/>
      <w:r w:rsidRPr="001C66FB">
        <w:rPr>
          <w:rFonts w:ascii="Arial" w:hAnsi="Arial" w:cs="Arial"/>
          <w:bCs/>
        </w:rPr>
        <w:t>at</w:t>
      </w:r>
      <w:proofErr w:type="gramEnd"/>
      <w:r w:rsidRPr="001C66FB">
        <w:rPr>
          <w:rFonts w:ascii="Arial" w:hAnsi="Arial" w:cs="Arial"/>
          <w:bCs/>
        </w:rPr>
        <w:t xml:space="preserve"> 14 April 2025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>being the latest practicable date prior to publication</w:t>
      </w:r>
      <w:r w:rsidR="001C66FB" w:rsidRPr="001C66FB">
        <w:rPr>
          <w:rFonts w:ascii="Arial" w:hAnsi="Arial" w:cs="Arial"/>
          <w:bCs/>
        </w:rPr>
        <w:t xml:space="preserve"> </w:t>
      </w:r>
      <w:r w:rsidRPr="001C66FB">
        <w:rPr>
          <w:rFonts w:ascii="Arial" w:hAnsi="Arial" w:cs="Arial"/>
          <w:bCs/>
        </w:rPr>
        <w:t>of this Notice);</w:t>
      </w:r>
    </w:p>
    <w:p w14:paraId="3AE4E12E" w14:textId="77777777" w:rsidR="001C66FB" w:rsidRPr="001C66FB" w:rsidRDefault="001C66FB" w:rsidP="001C66FB">
      <w:pPr>
        <w:pStyle w:val="ListParagraph"/>
        <w:tabs>
          <w:tab w:val="left" w:pos="709"/>
          <w:tab w:val="left" w:pos="1560"/>
          <w:tab w:val="right" w:pos="9214"/>
        </w:tabs>
        <w:jc w:val="both"/>
        <w:rPr>
          <w:rFonts w:ascii="Arial" w:hAnsi="Arial" w:cs="Arial"/>
          <w:bCs/>
        </w:rPr>
      </w:pPr>
    </w:p>
    <w:p w14:paraId="0DD5E202" w14:textId="3AE1DEF7" w:rsidR="00855E54" w:rsidRPr="001C66FB" w:rsidRDefault="00855E54" w:rsidP="001C66FB">
      <w:pPr>
        <w:pStyle w:val="ListParagraph"/>
        <w:numPr>
          <w:ilvl w:val="0"/>
          <w:numId w:val="13"/>
        </w:numPr>
        <w:tabs>
          <w:tab w:val="left" w:pos="709"/>
          <w:tab w:val="left" w:pos="1560"/>
          <w:tab w:val="right" w:pos="9214"/>
        </w:tabs>
        <w:jc w:val="both"/>
        <w:rPr>
          <w:rFonts w:ascii="Arial" w:eastAsia="Frutiger-Light" w:hAnsi="Arial" w:cs="Arial"/>
        </w:rPr>
      </w:pPr>
      <w:r w:rsidRPr="001C66FB">
        <w:rPr>
          <w:rFonts w:ascii="Arial" w:eastAsia="Frutiger-Light" w:hAnsi="Arial" w:cs="Arial"/>
        </w:rPr>
        <w:t>the maximum price (exclusive of expenses) which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may be paid for an ordinary share shall not exceed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the higher of:</w:t>
      </w:r>
    </w:p>
    <w:p w14:paraId="10201C14" w14:textId="77777777" w:rsidR="001C66FB" w:rsidRPr="001C66FB" w:rsidRDefault="001C66FB" w:rsidP="001C66FB">
      <w:pPr>
        <w:pStyle w:val="ListParagraph"/>
        <w:tabs>
          <w:tab w:val="left" w:pos="709"/>
          <w:tab w:val="left" w:pos="1560"/>
          <w:tab w:val="right" w:pos="9214"/>
        </w:tabs>
        <w:jc w:val="both"/>
        <w:rPr>
          <w:rFonts w:ascii="Arial" w:eastAsia="Frutiger-Light" w:hAnsi="Arial" w:cs="Arial"/>
        </w:rPr>
      </w:pPr>
    </w:p>
    <w:p w14:paraId="5A5142A9" w14:textId="4E0BB670" w:rsidR="00855E54" w:rsidRPr="001C66FB" w:rsidRDefault="00855E54" w:rsidP="001C66FB">
      <w:pPr>
        <w:pStyle w:val="ListParagraph"/>
        <w:numPr>
          <w:ilvl w:val="0"/>
          <w:numId w:val="14"/>
        </w:numPr>
        <w:tabs>
          <w:tab w:val="left" w:pos="1560"/>
          <w:tab w:val="right" w:pos="9214"/>
        </w:tabs>
        <w:ind w:left="1134" w:hanging="425"/>
        <w:jc w:val="both"/>
        <w:rPr>
          <w:rFonts w:ascii="Arial" w:eastAsia="Frutiger-Light" w:hAnsi="Arial" w:cs="Arial"/>
        </w:rPr>
      </w:pPr>
      <w:r w:rsidRPr="001C66FB">
        <w:rPr>
          <w:rFonts w:ascii="Arial" w:eastAsia="Frutiger-Light" w:hAnsi="Arial" w:cs="Arial"/>
        </w:rPr>
        <w:t>105% of the average of the middle market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quotations for an ordinary share as taken from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the London Stock Exchange Daily Official List for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the five business days immediately preceding</w:t>
      </w:r>
      <w:r w:rsidR="001C66FB" w:rsidRPr="001C66FB">
        <w:rPr>
          <w:rFonts w:ascii="Arial" w:eastAsia="Frutiger-Light" w:hAnsi="Arial" w:cs="Arial"/>
        </w:rPr>
        <w:t xml:space="preserve"> </w:t>
      </w:r>
      <w:r w:rsidRPr="001C66FB">
        <w:rPr>
          <w:rFonts w:ascii="Arial" w:eastAsia="Frutiger-Light" w:hAnsi="Arial" w:cs="Arial"/>
        </w:rPr>
        <w:t>the date of purchase; and</w:t>
      </w:r>
    </w:p>
    <w:p w14:paraId="556CE7F6" w14:textId="77777777" w:rsidR="001C66FB" w:rsidRPr="001C66FB" w:rsidRDefault="001C66FB" w:rsidP="001C66FB">
      <w:pPr>
        <w:pStyle w:val="ListParagraph"/>
        <w:tabs>
          <w:tab w:val="left" w:pos="1560"/>
          <w:tab w:val="right" w:pos="9214"/>
        </w:tabs>
        <w:ind w:left="1429"/>
        <w:jc w:val="both"/>
        <w:rPr>
          <w:rFonts w:ascii="Arial" w:eastAsia="Frutiger-Light" w:hAnsi="Arial" w:cs="Arial"/>
        </w:rPr>
      </w:pPr>
    </w:p>
    <w:p w14:paraId="5A67CCEF" w14:textId="1A7D2EB1" w:rsidR="00855E54" w:rsidRPr="001C66FB" w:rsidRDefault="00855E54" w:rsidP="001C66FB">
      <w:pPr>
        <w:tabs>
          <w:tab w:val="left" w:pos="1560"/>
          <w:tab w:val="right" w:pos="9214"/>
        </w:tabs>
        <w:ind w:left="1134" w:hanging="425"/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 xml:space="preserve">ii. </w:t>
      </w:r>
      <w:r w:rsidR="001C66FB" w:rsidRPr="001C66FB">
        <w:rPr>
          <w:rFonts w:ascii="Arial" w:eastAsia="Frutiger-Light" w:hAnsi="Arial" w:cs="Arial"/>
        </w:rPr>
        <w:tab/>
      </w:r>
      <w:r w:rsidRPr="00855E54">
        <w:rPr>
          <w:rFonts w:ascii="Arial" w:eastAsia="Frutiger-Light" w:hAnsi="Arial" w:cs="Arial"/>
        </w:rPr>
        <w:t>the higher of the price of the last independent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trade and the highest current independent bid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on the London Stock Exchange when the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 xml:space="preserve">purchase is carried </w:t>
      </w:r>
      <w:proofErr w:type="gramStart"/>
      <w:r w:rsidRPr="00855E54">
        <w:rPr>
          <w:rFonts w:ascii="Arial" w:eastAsia="Frutiger-Light" w:hAnsi="Arial" w:cs="Arial"/>
        </w:rPr>
        <w:t>out;</w:t>
      </w:r>
      <w:proofErr w:type="gramEnd"/>
    </w:p>
    <w:p w14:paraId="0C298D08" w14:textId="77777777" w:rsidR="001C66FB" w:rsidRPr="00855E54" w:rsidRDefault="001C66FB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2A985BF8" w14:textId="1E89A180" w:rsidR="001C66FB" w:rsidRPr="001C66FB" w:rsidRDefault="00855E54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 xml:space="preserve">c. </w:t>
      </w:r>
      <w:r w:rsidR="001C66FB" w:rsidRPr="001C66FB">
        <w:rPr>
          <w:rFonts w:ascii="Arial" w:eastAsia="Frutiger-Light" w:hAnsi="Arial" w:cs="Arial"/>
        </w:rPr>
        <w:tab/>
      </w:r>
      <w:r w:rsidRPr="00855E54">
        <w:rPr>
          <w:rFonts w:ascii="Arial" w:eastAsia="Frutiger-Light" w:hAnsi="Arial" w:cs="Arial"/>
        </w:rPr>
        <w:t>the minimum price (exclusive of expenses) which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may be paid for an ordinary share shall be 5 pence,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 xml:space="preserve">being the nominal value per </w:t>
      </w:r>
      <w:proofErr w:type="gramStart"/>
      <w:r w:rsidRPr="00855E54">
        <w:rPr>
          <w:rFonts w:ascii="Arial" w:eastAsia="Frutiger-Light" w:hAnsi="Arial" w:cs="Arial"/>
        </w:rPr>
        <w:t>share;</w:t>
      </w:r>
      <w:proofErr w:type="gramEnd"/>
      <w:r w:rsidR="001C66FB" w:rsidRPr="001C66FB">
        <w:rPr>
          <w:rFonts w:ascii="Arial" w:eastAsia="Frutiger-Light" w:hAnsi="Arial" w:cs="Arial"/>
        </w:rPr>
        <w:t xml:space="preserve"> </w:t>
      </w:r>
    </w:p>
    <w:p w14:paraId="37017603" w14:textId="77777777" w:rsidR="001C66FB" w:rsidRPr="001C66FB" w:rsidRDefault="001C66FB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5177F30A" w14:textId="210573CF" w:rsidR="00855E54" w:rsidRPr="001C66FB" w:rsidRDefault="00855E54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 xml:space="preserve">d. </w:t>
      </w:r>
      <w:r w:rsidR="001C66FB" w:rsidRPr="001C66FB">
        <w:rPr>
          <w:rFonts w:ascii="Arial" w:eastAsia="Frutiger-Light" w:hAnsi="Arial" w:cs="Arial"/>
        </w:rPr>
        <w:tab/>
      </w:r>
      <w:r w:rsidRPr="00855E54">
        <w:rPr>
          <w:rFonts w:ascii="Arial" w:eastAsia="Frutiger-Light" w:hAnsi="Arial" w:cs="Arial"/>
        </w:rPr>
        <w:t>the authority hereby conferred shall expire at the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earlier of the date falling 15 months after the date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of the passing of this resolution and the conclusion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of the AGM of the Company in 2026, unless such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 xml:space="preserve">authority is renewed before that </w:t>
      </w:r>
      <w:proofErr w:type="gramStart"/>
      <w:r w:rsidRPr="00855E54">
        <w:rPr>
          <w:rFonts w:ascii="Arial" w:eastAsia="Frutiger-Light" w:hAnsi="Arial" w:cs="Arial"/>
        </w:rPr>
        <w:t>expiry;</w:t>
      </w:r>
      <w:proofErr w:type="gramEnd"/>
    </w:p>
    <w:p w14:paraId="0C0CD96E" w14:textId="77777777" w:rsidR="001C66FB" w:rsidRPr="00855E54" w:rsidRDefault="001C66FB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533679B4" w14:textId="69388A8A" w:rsidR="00855E54" w:rsidRPr="001C66FB" w:rsidRDefault="00855E54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 xml:space="preserve">e. </w:t>
      </w:r>
      <w:r w:rsidR="001C66FB" w:rsidRPr="001C66FB">
        <w:rPr>
          <w:rFonts w:ascii="Arial" w:eastAsia="Frutiger-Light" w:hAnsi="Arial" w:cs="Arial"/>
        </w:rPr>
        <w:tab/>
      </w:r>
      <w:r w:rsidRPr="00855E54">
        <w:rPr>
          <w:rFonts w:ascii="Arial" w:eastAsia="Frutiger-Light" w:hAnsi="Arial" w:cs="Arial"/>
        </w:rPr>
        <w:t>the Company may make a contract to purchase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ordinary shares under the authority hereby conferred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which will or may be executed wholly or partly after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the expiration of such authority, and may make a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purchase of ordinary shares pursuant to any such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contract; and</w:t>
      </w:r>
    </w:p>
    <w:p w14:paraId="54F2260D" w14:textId="77777777" w:rsidR="001C66FB" w:rsidRPr="00855E54" w:rsidRDefault="001C66FB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7B5650B3" w14:textId="3927AEC5" w:rsidR="00855E54" w:rsidRPr="00855E54" w:rsidRDefault="00855E54" w:rsidP="001C66FB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 xml:space="preserve">f. </w:t>
      </w:r>
      <w:r w:rsidR="001C66FB" w:rsidRPr="001C66FB">
        <w:rPr>
          <w:rFonts w:ascii="Arial" w:eastAsia="Frutiger-Light" w:hAnsi="Arial" w:cs="Arial"/>
        </w:rPr>
        <w:tab/>
      </w:r>
      <w:r w:rsidRPr="00855E54">
        <w:rPr>
          <w:rFonts w:ascii="Arial" w:eastAsia="Frutiger-Light" w:hAnsi="Arial" w:cs="Arial"/>
        </w:rPr>
        <w:t>any ordinary shares so purchased shall be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cancelled, or in accordance with the provisions of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the Act, if the directors so determine, be held, sold,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transferred or otherwise dealt with as treasury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shares.</w:t>
      </w:r>
    </w:p>
    <w:p w14:paraId="3D5ECC41" w14:textId="77777777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06E089F7" w14:textId="6AC67451" w:rsidR="00855E54" w:rsidRPr="00855E54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  <w:bCs/>
        </w:rPr>
      </w:pPr>
      <w:r w:rsidRPr="00855E54">
        <w:rPr>
          <w:rFonts w:ascii="Arial" w:eastAsia="Frutiger-Light" w:hAnsi="Arial" w:cs="Arial"/>
          <w:bCs/>
        </w:rPr>
        <w:t>[1</w:t>
      </w:r>
      <w:r w:rsidRPr="001C66FB">
        <w:rPr>
          <w:rFonts w:ascii="Arial" w:eastAsia="Frutiger-Light" w:hAnsi="Arial" w:cs="Arial"/>
          <w:bCs/>
        </w:rPr>
        <w:t>4</w:t>
      </w:r>
      <w:r w:rsidRPr="00855E54">
        <w:rPr>
          <w:rFonts w:ascii="Arial" w:eastAsia="Frutiger-Light" w:hAnsi="Arial" w:cs="Arial"/>
          <w:bCs/>
        </w:rPr>
        <w:t>]</w:t>
      </w:r>
      <w:r w:rsidRPr="00855E54">
        <w:rPr>
          <w:rFonts w:ascii="Arial" w:eastAsia="Frutiger-Light" w:hAnsi="Arial" w:cs="Arial"/>
          <w:bCs/>
        </w:rPr>
        <w:tab/>
        <w:t>SPECIAL RESOLUTION</w:t>
      </w:r>
    </w:p>
    <w:p w14:paraId="57CD6697" w14:textId="77777777" w:rsidR="00855E54" w:rsidRPr="001C66FB" w:rsidRDefault="00855E54" w:rsidP="00855E54">
      <w:pPr>
        <w:tabs>
          <w:tab w:val="left" w:pos="709"/>
          <w:tab w:val="left" w:pos="1560"/>
          <w:tab w:val="right" w:pos="9214"/>
        </w:tabs>
        <w:ind w:left="709" w:hanging="709"/>
        <w:jc w:val="both"/>
        <w:rPr>
          <w:rFonts w:ascii="Arial" w:eastAsia="Frutiger-Light" w:hAnsi="Arial" w:cs="Arial"/>
        </w:rPr>
      </w:pPr>
    </w:p>
    <w:p w14:paraId="717E60E1" w14:textId="5FDE3100" w:rsidR="00855E54" w:rsidRDefault="00855E54" w:rsidP="001C66FB">
      <w:pPr>
        <w:tabs>
          <w:tab w:val="left" w:pos="1560"/>
          <w:tab w:val="right" w:pos="9214"/>
        </w:tabs>
        <w:jc w:val="both"/>
        <w:rPr>
          <w:rFonts w:ascii="Arial" w:eastAsia="Frutiger-Light" w:hAnsi="Arial" w:cs="Arial"/>
        </w:rPr>
      </w:pPr>
      <w:r w:rsidRPr="00855E54">
        <w:rPr>
          <w:rFonts w:ascii="Arial" w:eastAsia="Frutiger-Light" w:hAnsi="Arial" w:cs="Arial"/>
        </w:rPr>
        <w:t>THAT a general meeting other than an AGM may be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called on not less than 14 clear days’ notice, such</w:t>
      </w:r>
      <w:r w:rsidR="001C66FB" w:rsidRP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authority to expire on conclusion of the AGM of the</w:t>
      </w:r>
      <w:r w:rsidR="001C66FB">
        <w:rPr>
          <w:rFonts w:ascii="Arial" w:eastAsia="Frutiger-Light" w:hAnsi="Arial" w:cs="Arial"/>
        </w:rPr>
        <w:t xml:space="preserve"> </w:t>
      </w:r>
      <w:r w:rsidRPr="00855E54">
        <w:rPr>
          <w:rFonts w:ascii="Arial" w:eastAsia="Frutiger-Light" w:hAnsi="Arial" w:cs="Arial"/>
        </w:rPr>
        <w:t>Company in 2026.</w:t>
      </w:r>
    </w:p>
    <w:p w14:paraId="07AAF928" w14:textId="77777777" w:rsidR="001C66FB" w:rsidRDefault="001C66FB" w:rsidP="001C66FB">
      <w:pPr>
        <w:tabs>
          <w:tab w:val="left" w:pos="1560"/>
          <w:tab w:val="right" w:pos="9214"/>
        </w:tabs>
        <w:jc w:val="both"/>
        <w:rPr>
          <w:rFonts w:ascii="Arial" w:eastAsia="Frutiger-Light" w:hAnsi="Arial" w:cs="Arial"/>
        </w:rPr>
      </w:pPr>
    </w:p>
    <w:sectPr w:rsidR="001C66FB" w:rsidSect="00782B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1134" w:footer="567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672DB" w14:textId="77777777" w:rsidR="00C510CE" w:rsidRDefault="00C510CE">
      <w:r>
        <w:separator/>
      </w:r>
    </w:p>
  </w:endnote>
  <w:endnote w:type="continuationSeparator" w:id="0">
    <w:p w14:paraId="5EC68E17" w14:textId="77777777" w:rsidR="00C510CE" w:rsidRDefault="00C5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ied Sans Pro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-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8A0D" w14:textId="77777777" w:rsidR="00624E93" w:rsidRDefault="00624E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D9CD" w14:textId="650ED358" w:rsidR="00710CD2" w:rsidRPr="0021238D" w:rsidRDefault="00782B60" w:rsidP="00782B60">
    <w:pPr>
      <w:pStyle w:val="Footer"/>
      <w:jc w:val="center"/>
      <w:rPr>
        <w:rFonts w:ascii="Arial" w:hAnsi="Arial" w:cs="Arial"/>
        <w:sz w:val="18"/>
        <w:szCs w:val="18"/>
      </w:rPr>
    </w:pPr>
    <w:r w:rsidRPr="0021238D">
      <w:rPr>
        <w:rFonts w:ascii="Arial" w:hAnsi="Arial" w:cs="Arial"/>
        <w:sz w:val="18"/>
        <w:szCs w:val="18"/>
      </w:rPr>
      <w:fldChar w:fldCharType="begin"/>
    </w:r>
    <w:r w:rsidRPr="0021238D">
      <w:rPr>
        <w:rFonts w:ascii="Arial" w:hAnsi="Arial" w:cs="Arial"/>
        <w:sz w:val="18"/>
        <w:szCs w:val="18"/>
      </w:rPr>
      <w:instrText xml:space="preserve"> PAGE   \* MERGEFORMAT </w:instrText>
    </w:r>
    <w:r w:rsidRPr="0021238D">
      <w:rPr>
        <w:rFonts w:ascii="Arial" w:hAnsi="Arial" w:cs="Arial"/>
        <w:sz w:val="18"/>
        <w:szCs w:val="18"/>
      </w:rPr>
      <w:fldChar w:fldCharType="separate"/>
    </w:r>
    <w:r w:rsidR="00F13AE9" w:rsidRPr="0021238D">
      <w:rPr>
        <w:rFonts w:ascii="Arial" w:hAnsi="Arial" w:cs="Arial"/>
        <w:noProof/>
        <w:sz w:val="18"/>
        <w:szCs w:val="18"/>
      </w:rPr>
      <w:t>1</w:t>
    </w:r>
    <w:r w:rsidRPr="0021238D">
      <w:rPr>
        <w:rFonts w:ascii="Arial" w:hAnsi="Arial" w:cs="Arial"/>
        <w:noProof/>
        <w:sz w:val="18"/>
        <w:szCs w:val="18"/>
      </w:rPr>
      <w:fldChar w:fldCharType="end"/>
    </w:r>
    <w:r w:rsidRPr="0021238D">
      <w:rPr>
        <w:rFonts w:ascii="Arial" w:hAnsi="Arial" w:cs="Arial"/>
        <w:sz w:val="18"/>
        <w:szCs w:val="18"/>
      </w:rPr>
      <w:t xml:space="preserve"> of </w:t>
    </w:r>
    <w:r w:rsidR="0021238D">
      <w:rPr>
        <w:rFonts w:ascii="Arial" w:hAnsi="Arial" w:cs="Arial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A6B9" w14:textId="77777777" w:rsidR="00782B60" w:rsidRDefault="00782B6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1FEE192" w14:textId="77777777" w:rsidR="00782B60" w:rsidRDefault="00782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8B86F" w14:textId="77777777" w:rsidR="00C510CE" w:rsidRDefault="00C510CE">
      <w:r>
        <w:rPr>
          <w:sz w:val="24"/>
        </w:rPr>
        <w:separator/>
      </w:r>
    </w:p>
  </w:footnote>
  <w:footnote w:type="continuationSeparator" w:id="0">
    <w:p w14:paraId="77A7C83E" w14:textId="77777777" w:rsidR="00C510CE" w:rsidRDefault="00C5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70B0" w14:textId="77777777" w:rsidR="00624E93" w:rsidRDefault="00624E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42A5" w14:textId="06931E0A" w:rsidR="00624E93" w:rsidRDefault="00624E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F609" w14:textId="77777777" w:rsidR="00624E93" w:rsidRDefault="00624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0641"/>
    <w:multiLevelType w:val="hybridMultilevel"/>
    <w:tmpl w:val="5FC4487E"/>
    <w:lvl w:ilvl="0" w:tplc="D812CA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564F6"/>
    <w:multiLevelType w:val="hybridMultilevel"/>
    <w:tmpl w:val="7F789544"/>
    <w:lvl w:ilvl="0" w:tplc="9ED847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5970"/>
    <w:multiLevelType w:val="hybridMultilevel"/>
    <w:tmpl w:val="FB9EA93C"/>
    <w:lvl w:ilvl="0" w:tplc="35AC998C">
      <w:start w:val="5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163E7AAC"/>
    <w:multiLevelType w:val="singleLevel"/>
    <w:tmpl w:val="C394A228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75A10B5"/>
    <w:multiLevelType w:val="hybridMultilevel"/>
    <w:tmpl w:val="B7F260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853F4"/>
    <w:multiLevelType w:val="hybridMultilevel"/>
    <w:tmpl w:val="D7B49D54"/>
    <w:lvl w:ilvl="0" w:tplc="E4A8AA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EEB272E"/>
    <w:multiLevelType w:val="singleLevel"/>
    <w:tmpl w:val="9D146F8A"/>
    <w:lvl w:ilvl="0">
      <w:start w:val="1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</w:abstractNum>
  <w:abstractNum w:abstractNumId="7" w15:restartNumberingAfterBreak="0">
    <w:nsid w:val="41F75C01"/>
    <w:multiLevelType w:val="singleLevel"/>
    <w:tmpl w:val="A3464A4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9533648"/>
    <w:multiLevelType w:val="hybridMultilevel"/>
    <w:tmpl w:val="7F78954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4580C"/>
    <w:multiLevelType w:val="hybridMultilevel"/>
    <w:tmpl w:val="A6CE956E"/>
    <w:lvl w:ilvl="0" w:tplc="BC489990">
      <w:start w:val="1"/>
      <w:numFmt w:val="low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6F47A4"/>
    <w:multiLevelType w:val="hybridMultilevel"/>
    <w:tmpl w:val="72360A2A"/>
    <w:lvl w:ilvl="0" w:tplc="EF10F188">
      <w:start w:val="1"/>
      <w:numFmt w:val="lowerLetter"/>
      <w:lvlText w:val="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043262B"/>
    <w:multiLevelType w:val="singleLevel"/>
    <w:tmpl w:val="F78A0C5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2" w15:restartNumberingAfterBreak="0">
    <w:nsid w:val="62813547"/>
    <w:multiLevelType w:val="hybridMultilevel"/>
    <w:tmpl w:val="9B94EF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594951">
    <w:abstractNumId w:val="11"/>
  </w:num>
  <w:num w:numId="2" w16cid:durableId="1884442685">
    <w:abstractNumId w:val="3"/>
  </w:num>
  <w:num w:numId="3" w16cid:durableId="962157137">
    <w:abstractNumId w:val="7"/>
  </w:num>
  <w:num w:numId="4" w16cid:durableId="1654411482">
    <w:abstractNumId w:val="6"/>
  </w:num>
  <w:num w:numId="5" w16cid:durableId="1006593517">
    <w:abstractNumId w:val="10"/>
  </w:num>
  <w:num w:numId="6" w16cid:durableId="844592532">
    <w:abstractNumId w:val="2"/>
  </w:num>
  <w:num w:numId="7" w16cid:durableId="1384060400">
    <w:abstractNumId w:val="5"/>
  </w:num>
  <w:num w:numId="8" w16cid:durableId="1457678596">
    <w:abstractNumId w:val="12"/>
  </w:num>
  <w:num w:numId="9" w16cid:durableId="1936747602">
    <w:abstractNumId w:val="1"/>
  </w:num>
  <w:num w:numId="10" w16cid:durableId="1704400420">
    <w:abstractNumId w:val="8"/>
  </w:num>
  <w:num w:numId="11" w16cid:durableId="659233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690863">
    <w:abstractNumId w:val="0"/>
  </w:num>
  <w:num w:numId="13" w16cid:durableId="431323753">
    <w:abstractNumId w:val="4"/>
  </w:num>
  <w:num w:numId="14" w16cid:durableId="2569148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EE"/>
    <w:rsid w:val="00013BA9"/>
    <w:rsid w:val="0002509B"/>
    <w:rsid w:val="00032643"/>
    <w:rsid w:val="000335A0"/>
    <w:rsid w:val="00042264"/>
    <w:rsid w:val="000423E0"/>
    <w:rsid w:val="0005323E"/>
    <w:rsid w:val="000538D6"/>
    <w:rsid w:val="00056F99"/>
    <w:rsid w:val="00071466"/>
    <w:rsid w:val="000C7F78"/>
    <w:rsid w:val="000E75C9"/>
    <w:rsid w:val="000F3884"/>
    <w:rsid w:val="000F48B9"/>
    <w:rsid w:val="00121C48"/>
    <w:rsid w:val="0014521F"/>
    <w:rsid w:val="00150A56"/>
    <w:rsid w:val="001B57E3"/>
    <w:rsid w:val="001B61C2"/>
    <w:rsid w:val="001C1B76"/>
    <w:rsid w:val="001C49D2"/>
    <w:rsid w:val="001C66FB"/>
    <w:rsid w:val="001D547A"/>
    <w:rsid w:val="0021238D"/>
    <w:rsid w:val="0021552E"/>
    <w:rsid w:val="00220571"/>
    <w:rsid w:val="00220F6C"/>
    <w:rsid w:val="00241ED6"/>
    <w:rsid w:val="00293CDF"/>
    <w:rsid w:val="002A05FF"/>
    <w:rsid w:val="002B0EC8"/>
    <w:rsid w:val="002B2B01"/>
    <w:rsid w:val="002B7233"/>
    <w:rsid w:val="002F3650"/>
    <w:rsid w:val="002F6482"/>
    <w:rsid w:val="003069A4"/>
    <w:rsid w:val="00316E1A"/>
    <w:rsid w:val="003237CC"/>
    <w:rsid w:val="00334991"/>
    <w:rsid w:val="00347E43"/>
    <w:rsid w:val="00353C05"/>
    <w:rsid w:val="003606AE"/>
    <w:rsid w:val="003610D2"/>
    <w:rsid w:val="00361F01"/>
    <w:rsid w:val="003E6644"/>
    <w:rsid w:val="003F6691"/>
    <w:rsid w:val="00405515"/>
    <w:rsid w:val="004203AC"/>
    <w:rsid w:val="00423B46"/>
    <w:rsid w:val="00423D45"/>
    <w:rsid w:val="00426531"/>
    <w:rsid w:val="0047027F"/>
    <w:rsid w:val="004B56BE"/>
    <w:rsid w:val="004B596D"/>
    <w:rsid w:val="004D0638"/>
    <w:rsid w:val="00506B54"/>
    <w:rsid w:val="00527F41"/>
    <w:rsid w:val="0053417C"/>
    <w:rsid w:val="00561125"/>
    <w:rsid w:val="0057575A"/>
    <w:rsid w:val="005B1B49"/>
    <w:rsid w:val="005B5FA1"/>
    <w:rsid w:val="005E314C"/>
    <w:rsid w:val="005E4DBC"/>
    <w:rsid w:val="005F2F7B"/>
    <w:rsid w:val="005F6968"/>
    <w:rsid w:val="006014FC"/>
    <w:rsid w:val="00616FA1"/>
    <w:rsid w:val="00624E93"/>
    <w:rsid w:val="00626323"/>
    <w:rsid w:val="00634522"/>
    <w:rsid w:val="00646E35"/>
    <w:rsid w:val="0067254E"/>
    <w:rsid w:val="006E542A"/>
    <w:rsid w:val="006E57C6"/>
    <w:rsid w:val="006E6763"/>
    <w:rsid w:val="00710CD2"/>
    <w:rsid w:val="007132D4"/>
    <w:rsid w:val="007214CD"/>
    <w:rsid w:val="007620A6"/>
    <w:rsid w:val="00782B60"/>
    <w:rsid w:val="00786CC3"/>
    <w:rsid w:val="00796911"/>
    <w:rsid w:val="007A0E1E"/>
    <w:rsid w:val="007A6F8E"/>
    <w:rsid w:val="007C4BD1"/>
    <w:rsid w:val="007C5BA2"/>
    <w:rsid w:val="007D4D09"/>
    <w:rsid w:val="007E2A4C"/>
    <w:rsid w:val="008151C0"/>
    <w:rsid w:val="0082180D"/>
    <w:rsid w:val="00830C42"/>
    <w:rsid w:val="00831AF2"/>
    <w:rsid w:val="00832C2C"/>
    <w:rsid w:val="008352B3"/>
    <w:rsid w:val="00855E54"/>
    <w:rsid w:val="00874E69"/>
    <w:rsid w:val="00876BAA"/>
    <w:rsid w:val="00886D52"/>
    <w:rsid w:val="00886EDA"/>
    <w:rsid w:val="0089622D"/>
    <w:rsid w:val="008A01AB"/>
    <w:rsid w:val="008B43EA"/>
    <w:rsid w:val="008F00BB"/>
    <w:rsid w:val="00913495"/>
    <w:rsid w:val="00921AE3"/>
    <w:rsid w:val="00926906"/>
    <w:rsid w:val="0093487A"/>
    <w:rsid w:val="00935A72"/>
    <w:rsid w:val="0095734D"/>
    <w:rsid w:val="009754C7"/>
    <w:rsid w:val="00986318"/>
    <w:rsid w:val="009A5EC5"/>
    <w:rsid w:val="009C17BD"/>
    <w:rsid w:val="009C6177"/>
    <w:rsid w:val="009D29DD"/>
    <w:rsid w:val="009E66A0"/>
    <w:rsid w:val="009F2C11"/>
    <w:rsid w:val="009F3164"/>
    <w:rsid w:val="00A071EE"/>
    <w:rsid w:val="00A37842"/>
    <w:rsid w:val="00A507B7"/>
    <w:rsid w:val="00A75205"/>
    <w:rsid w:val="00A7687A"/>
    <w:rsid w:val="00A801DB"/>
    <w:rsid w:val="00A82680"/>
    <w:rsid w:val="00A833ED"/>
    <w:rsid w:val="00AA5DAB"/>
    <w:rsid w:val="00AB10C8"/>
    <w:rsid w:val="00AC23A7"/>
    <w:rsid w:val="00AC4EDA"/>
    <w:rsid w:val="00AD3397"/>
    <w:rsid w:val="00B31B7B"/>
    <w:rsid w:val="00B37E53"/>
    <w:rsid w:val="00B47408"/>
    <w:rsid w:val="00B76855"/>
    <w:rsid w:val="00B76C69"/>
    <w:rsid w:val="00B868F4"/>
    <w:rsid w:val="00BA2006"/>
    <w:rsid w:val="00BC5C3B"/>
    <w:rsid w:val="00BC7462"/>
    <w:rsid w:val="00BD0E11"/>
    <w:rsid w:val="00BD200E"/>
    <w:rsid w:val="00BD336A"/>
    <w:rsid w:val="00BF2985"/>
    <w:rsid w:val="00BF520B"/>
    <w:rsid w:val="00C04332"/>
    <w:rsid w:val="00C050F5"/>
    <w:rsid w:val="00C31406"/>
    <w:rsid w:val="00C3505A"/>
    <w:rsid w:val="00C510CE"/>
    <w:rsid w:val="00C515CD"/>
    <w:rsid w:val="00CA1D8E"/>
    <w:rsid w:val="00CC2ED0"/>
    <w:rsid w:val="00CC5298"/>
    <w:rsid w:val="00CC67E0"/>
    <w:rsid w:val="00CD6AB9"/>
    <w:rsid w:val="00D167E3"/>
    <w:rsid w:val="00D25D28"/>
    <w:rsid w:val="00D26DAB"/>
    <w:rsid w:val="00D3043C"/>
    <w:rsid w:val="00D361A4"/>
    <w:rsid w:val="00D50461"/>
    <w:rsid w:val="00D543F6"/>
    <w:rsid w:val="00D56617"/>
    <w:rsid w:val="00D5746F"/>
    <w:rsid w:val="00D743F6"/>
    <w:rsid w:val="00DB347D"/>
    <w:rsid w:val="00DC70FA"/>
    <w:rsid w:val="00DD5FDB"/>
    <w:rsid w:val="00DE1519"/>
    <w:rsid w:val="00DF30E2"/>
    <w:rsid w:val="00E06DDD"/>
    <w:rsid w:val="00E373C4"/>
    <w:rsid w:val="00E43779"/>
    <w:rsid w:val="00E43F6D"/>
    <w:rsid w:val="00E67C78"/>
    <w:rsid w:val="00E74C47"/>
    <w:rsid w:val="00E77D97"/>
    <w:rsid w:val="00E86684"/>
    <w:rsid w:val="00ED321E"/>
    <w:rsid w:val="00ED426B"/>
    <w:rsid w:val="00ED511F"/>
    <w:rsid w:val="00ED65CE"/>
    <w:rsid w:val="00EE1A55"/>
    <w:rsid w:val="00EE1F03"/>
    <w:rsid w:val="00F04CF2"/>
    <w:rsid w:val="00F13AE9"/>
    <w:rsid w:val="00F348AC"/>
    <w:rsid w:val="00F7325D"/>
    <w:rsid w:val="00F815A3"/>
    <w:rsid w:val="00F93176"/>
    <w:rsid w:val="00F95250"/>
    <w:rsid w:val="00FA269C"/>
    <w:rsid w:val="00FB256F"/>
    <w:rsid w:val="00FB4A4D"/>
    <w:rsid w:val="00FD106D"/>
    <w:rsid w:val="00FD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23DBC114"/>
  <w15:chartTrackingRefBased/>
  <w15:docId w15:val="{33BFC752-89AC-4508-B8C8-87B0C7D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lang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paragraph" w:styleId="Title">
    <w:name w:val="Title"/>
    <w:basedOn w:val="Normal"/>
    <w:qFormat/>
    <w:pPr>
      <w:tabs>
        <w:tab w:val="left" w:pos="709"/>
        <w:tab w:val="left" w:pos="1418"/>
        <w:tab w:val="right" w:pos="9214"/>
      </w:tabs>
      <w:jc w:val="center"/>
    </w:pPr>
    <w:rPr>
      <w:rFonts w:ascii="Times New Roman" w:hAnsi="Times New Roman"/>
      <w:b/>
      <w:sz w:val="28"/>
      <w:u w:val="single"/>
    </w:rPr>
  </w:style>
  <w:style w:type="paragraph" w:styleId="BodyText2">
    <w:name w:val="Body Text 2"/>
    <w:basedOn w:val="Normal"/>
    <w:pPr>
      <w:ind w:left="2160" w:hanging="742"/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tabs>
        <w:tab w:val="left" w:pos="-720"/>
        <w:tab w:val="left" w:pos="709"/>
        <w:tab w:val="right" w:pos="9072"/>
      </w:tabs>
      <w:ind w:left="709"/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03264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82B60"/>
    <w:rPr>
      <w:rFonts w:ascii="Courier" w:hAnsi="Courier"/>
    </w:rPr>
  </w:style>
  <w:style w:type="character" w:customStyle="1" w:styleId="A2">
    <w:name w:val="A2"/>
    <w:uiPriority w:val="99"/>
    <w:rsid w:val="00220F6C"/>
    <w:rPr>
      <w:rFonts w:cs="Applied Sans Pro Light"/>
      <w:color w:val="000000"/>
    </w:rPr>
  </w:style>
  <w:style w:type="paragraph" w:styleId="ListParagraph">
    <w:name w:val="List Paragraph"/>
    <w:basedOn w:val="Normal"/>
    <w:uiPriority w:val="34"/>
    <w:qFormat/>
    <w:rsid w:val="009E66A0"/>
    <w:pPr>
      <w:ind w:left="720"/>
      <w:contextualSpacing/>
    </w:pPr>
  </w:style>
  <w:style w:type="paragraph" w:styleId="Revision">
    <w:name w:val="Revision"/>
    <w:hidden/>
    <w:uiPriority w:val="99"/>
    <w:semiHidden/>
    <w:rsid w:val="00ED321E"/>
    <w:rPr>
      <w:rFonts w:ascii="Courier" w:hAnsi="Courier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8C521EB5C8E439FAE5B377D60CCC0" ma:contentTypeVersion="9" ma:contentTypeDescription="Create a new document." ma:contentTypeScope="" ma:versionID="653bb85b8f185caa1f1b004efc66fc64">
  <xsd:schema xmlns:xsd="http://www.w3.org/2001/XMLSchema" xmlns:xs="http://www.w3.org/2001/XMLSchema" xmlns:p="http://schemas.microsoft.com/office/2006/metadata/properties" xmlns:ns3="1ecc9758-14dc-4c18-b7eb-705f7ba5c5cd" targetNamespace="http://schemas.microsoft.com/office/2006/metadata/properties" ma:root="true" ma:fieldsID="28b95d38e4fb4e10e64dd380d6690c86" ns3:_="">
    <xsd:import namespace="1ecc9758-14dc-4c18-b7eb-705f7ba5c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c9758-14dc-4c18-b7eb-705f7ba5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8B8231-3942-4A9E-95D7-641E2A4A80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F929DD-90B0-4A37-82AA-C8AD2EC856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C32D9-E28F-4522-A15E-EC9A8C127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c9758-14dc-4c18-b7eb-705f7ba5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1007</Words>
  <Characters>5012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min-agm</vt:lpstr>
    </vt:vector>
  </TitlesOfParts>
  <Company>Henderson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min-agm</dc:title>
  <dc:subject>minutes of strata annual general meeting</dc:subject>
  <dc:creator>Lisa Rollins</dc:creator>
  <cp:keywords>minutes of the meeting</cp:keywords>
  <dc:description>monthly minutes of Strata board meetings</dc:description>
  <cp:lastModifiedBy>Melanie Stoner</cp:lastModifiedBy>
  <cp:revision>16</cp:revision>
  <cp:lastPrinted>2022-03-15T09:09:00Z</cp:lastPrinted>
  <dcterms:created xsi:type="dcterms:W3CDTF">2022-03-11T15:59:00Z</dcterms:created>
  <dcterms:modified xsi:type="dcterms:W3CDTF">2025-06-10T10:50:00Z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SIProp12DataClass+3c061b4c-9313-485b-a367-01b135411931">
    <vt:lpwstr>v=1.2&gt;I=3c061b4c-9313-485b-a367-01b135411931&amp;N=Confidential&amp;V=1.2&amp;U=System&amp;C=&amp;A=ASSOCIATED</vt:lpwstr>
  </property>
  <property fmtid="{D5CDD505-2E9C-101B-9397-08002B2CF9AE}" pid="3" name="Classification">
    <vt:lpwstr>Confidential</vt:lpwstr>
  </property>
  <property fmtid="{D5CDD505-2E9C-101B-9397-08002B2CF9AE}" pid="4" name="MSIP_Label_7254c57a-b775-490a-a27c-0e643c8fd3c7_Enabled">
    <vt:lpwstr>True</vt:lpwstr>
  </property>
  <property fmtid="{D5CDD505-2E9C-101B-9397-08002B2CF9AE}" pid="5" name="MSIP_Label_7254c57a-b775-490a-a27c-0e643c8fd3c7_SiteId">
    <vt:lpwstr>09d5c224-c624-4040-ba7b-dcfa64d7b17a</vt:lpwstr>
  </property>
  <property fmtid="{D5CDD505-2E9C-101B-9397-08002B2CF9AE}" pid="6" name="MSIP_Label_7254c57a-b775-490a-a27c-0e643c8fd3c7_Owner">
    <vt:lpwstr>Michael.Fielder@janushenderson.com</vt:lpwstr>
  </property>
  <property fmtid="{D5CDD505-2E9C-101B-9397-08002B2CF9AE}" pid="7" name="MSIP_Label_7254c57a-b775-490a-a27c-0e643c8fd3c7_SetDate">
    <vt:lpwstr>2020-03-19T16:30:44.4120485Z</vt:lpwstr>
  </property>
  <property fmtid="{D5CDD505-2E9C-101B-9397-08002B2CF9AE}" pid="8" name="MSIP_Label_7254c57a-b775-490a-a27c-0e643c8fd3c7_Name">
    <vt:lpwstr>Confidential</vt:lpwstr>
  </property>
  <property fmtid="{D5CDD505-2E9C-101B-9397-08002B2CF9AE}" pid="9" name="MSIP_Label_7254c57a-b775-490a-a27c-0e643c8fd3c7_Application">
    <vt:lpwstr>Microsoft Azure Information Protection</vt:lpwstr>
  </property>
  <property fmtid="{D5CDD505-2E9C-101B-9397-08002B2CF9AE}" pid="10" name="MSIP_Label_7254c57a-b775-490a-a27c-0e643c8fd3c7_ActionId">
    <vt:lpwstr>47d7b918-a82a-4f61-b194-c68e8d72f0a1</vt:lpwstr>
  </property>
  <property fmtid="{D5CDD505-2E9C-101B-9397-08002B2CF9AE}" pid="11" name="MSIP_Label_7254c57a-b775-490a-a27c-0e643c8fd3c7_Extended_MSFT_Method">
    <vt:lpwstr>Automatic</vt:lpwstr>
  </property>
  <property fmtid="{D5CDD505-2E9C-101B-9397-08002B2CF9AE}" pid="12" name="MSIP_Label_afcddd43-8c7c-4abe-8fa4-d188c81eadb1_Enabled">
    <vt:lpwstr>True</vt:lpwstr>
  </property>
  <property fmtid="{D5CDD505-2E9C-101B-9397-08002B2CF9AE}" pid="13" name="MSIP_Label_afcddd43-8c7c-4abe-8fa4-d188c81eadb1_SiteId">
    <vt:lpwstr>c5fb477d-6f95-4b6f-a174-acc68564fad6</vt:lpwstr>
  </property>
  <property fmtid="{D5CDD505-2E9C-101B-9397-08002B2CF9AE}" pid="14" name="MSIP_Label_afcddd43-8c7c-4abe-8fa4-d188c81eadb1_Owner">
    <vt:lpwstr>Rebecca.Collis@HDS.Int</vt:lpwstr>
  </property>
  <property fmtid="{D5CDD505-2E9C-101B-9397-08002B2CF9AE}" pid="15" name="MSIP_Label_afcddd43-8c7c-4abe-8fa4-d188c81eadb1_SetDate">
    <vt:lpwstr>2018-03-15T16:49:41.9045417+00:00</vt:lpwstr>
  </property>
  <property fmtid="{D5CDD505-2E9C-101B-9397-08002B2CF9AE}" pid="16" name="MSIP_Label_afcddd43-8c7c-4abe-8fa4-d188c81eadb1_Name">
    <vt:lpwstr>Confidential</vt:lpwstr>
  </property>
  <property fmtid="{D5CDD505-2E9C-101B-9397-08002B2CF9AE}" pid="17" name="MSIP_Label_afcddd43-8c7c-4abe-8fa4-d188c81eadb1_Application">
    <vt:lpwstr>Microsoft Azure Information Protection</vt:lpwstr>
  </property>
  <property fmtid="{D5CDD505-2E9C-101B-9397-08002B2CF9AE}" pid="18" name="MSIP_Label_afcddd43-8c7c-4abe-8fa4-d188c81eadb1_Extended_MSFT_Method">
    <vt:lpwstr>Automatic</vt:lpwstr>
  </property>
  <property fmtid="{D5CDD505-2E9C-101B-9397-08002B2CF9AE}" pid="19" name="Sensitivity">
    <vt:lpwstr>Confidential Confidential</vt:lpwstr>
  </property>
  <property fmtid="{D5CDD505-2E9C-101B-9397-08002B2CF9AE}" pid="20" name="ContentTypeId">
    <vt:lpwstr>0x0101003FF8C521EB5C8E439FAE5B377D60CCC0</vt:lpwstr>
  </property>
</Properties>
</file>