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4598" w14:textId="77777777" w:rsidR="002A0352" w:rsidRDefault="002A0352">
      <w:pPr>
        <w:spacing w:after="120"/>
        <w:ind w:left="2160" w:firstLine="720"/>
        <w:jc w:val="both"/>
        <w:rPr>
          <w:rFonts w:ascii="Times New Roman" w:hAnsi="Times New Roman"/>
          <w:b/>
          <w:sz w:val="24"/>
        </w:rPr>
      </w:pPr>
    </w:p>
    <w:p w14:paraId="5EF68879" w14:textId="77777777" w:rsidR="002A0352" w:rsidRDefault="004A6A1D">
      <w:pPr>
        <w:spacing w:after="120"/>
        <w:jc w:val="center"/>
        <w:rPr>
          <w:rFonts w:ascii="Times New Roman" w:hAnsi="Times New Roman"/>
          <w:b/>
          <w:sz w:val="24"/>
        </w:rPr>
      </w:pPr>
      <w:r>
        <w:rPr>
          <w:rFonts w:ascii="Times New Roman" w:hAnsi="Times New Roman"/>
          <w:b/>
          <w:sz w:val="24"/>
        </w:rPr>
        <w:t>B&amp;M EUROPEAN VALUE RETAIL S.A.</w:t>
      </w:r>
    </w:p>
    <w:p w14:paraId="32DE62E6" w14:textId="77777777" w:rsidR="002A0352" w:rsidRPr="0076565F" w:rsidRDefault="004A6A1D">
      <w:pPr>
        <w:spacing w:after="120"/>
        <w:jc w:val="center"/>
        <w:rPr>
          <w:rFonts w:ascii="Times New Roman" w:hAnsi="Times New Roman"/>
          <w:i/>
          <w:sz w:val="24"/>
        </w:rPr>
      </w:pPr>
      <w:r w:rsidRPr="0076565F">
        <w:rPr>
          <w:rFonts w:ascii="Times New Roman" w:hAnsi="Times New Roman"/>
          <w:i/>
          <w:sz w:val="24"/>
        </w:rPr>
        <w:t>Société Anonyme</w:t>
      </w:r>
    </w:p>
    <w:p w14:paraId="1884DC56" w14:textId="128015B9" w:rsidR="002A0352" w:rsidRPr="002E5038" w:rsidRDefault="004A6A1D">
      <w:pPr>
        <w:spacing w:after="0"/>
        <w:jc w:val="center"/>
        <w:rPr>
          <w:rFonts w:ascii="Times New Roman" w:hAnsi="Times New Roman"/>
          <w:sz w:val="24"/>
        </w:rPr>
      </w:pPr>
      <w:r w:rsidRPr="002E5038">
        <w:rPr>
          <w:rFonts w:ascii="Times New Roman" w:hAnsi="Times New Roman"/>
          <w:sz w:val="24"/>
        </w:rPr>
        <w:t xml:space="preserve">Registered office: </w:t>
      </w:r>
      <w:r w:rsidR="002E5038" w:rsidRPr="002E5038">
        <w:rPr>
          <w:rFonts w:ascii="Times New Roman" w:hAnsi="Times New Roman"/>
          <w:sz w:val="24"/>
          <w:lang w:eastAsia="fr-FR"/>
        </w:rPr>
        <w:t>3,</w:t>
      </w:r>
      <w:r w:rsidRPr="002E5038">
        <w:rPr>
          <w:rFonts w:ascii="Times New Roman" w:hAnsi="Times New Roman"/>
          <w:sz w:val="24"/>
          <w:lang w:eastAsia="fr-FR"/>
        </w:rPr>
        <w:t xml:space="preserve"> </w:t>
      </w:r>
      <w:r w:rsidR="002E5038" w:rsidRPr="002E5038">
        <w:rPr>
          <w:rFonts w:ascii="Times New Roman" w:hAnsi="Times New Roman"/>
          <w:sz w:val="24"/>
          <w:lang w:eastAsia="fr-FR"/>
        </w:rPr>
        <w:t>rue Gabriel Lippmann</w:t>
      </w:r>
      <w:r w:rsidRPr="002E5038">
        <w:rPr>
          <w:rFonts w:ascii="Times New Roman" w:hAnsi="Times New Roman"/>
          <w:sz w:val="24"/>
          <w:lang w:eastAsia="fr-FR"/>
        </w:rPr>
        <w:t xml:space="preserve"> - L-</w:t>
      </w:r>
      <w:r w:rsidR="002E5038" w:rsidRPr="002E5038">
        <w:rPr>
          <w:rFonts w:ascii="Times New Roman" w:hAnsi="Times New Roman"/>
          <w:sz w:val="24"/>
          <w:lang w:eastAsia="fr-FR"/>
        </w:rPr>
        <w:t>5365</w:t>
      </w:r>
      <w:r w:rsidRPr="002E5038">
        <w:rPr>
          <w:rFonts w:ascii="Times New Roman" w:hAnsi="Times New Roman"/>
          <w:sz w:val="24"/>
          <w:lang w:eastAsia="fr-FR"/>
        </w:rPr>
        <w:t xml:space="preserve"> </w:t>
      </w:r>
      <w:proofErr w:type="spellStart"/>
      <w:r w:rsidR="002E5038" w:rsidRPr="002E5038">
        <w:rPr>
          <w:rFonts w:ascii="Times New Roman" w:hAnsi="Times New Roman"/>
          <w:sz w:val="24"/>
          <w:lang w:eastAsia="fr-FR"/>
        </w:rPr>
        <w:t>Munsbach</w:t>
      </w:r>
      <w:proofErr w:type="spellEnd"/>
      <w:r w:rsidRPr="002E5038">
        <w:rPr>
          <w:rFonts w:ascii="Times New Roman" w:hAnsi="Times New Roman"/>
          <w:sz w:val="24"/>
        </w:rPr>
        <w:t>,</w:t>
      </w:r>
    </w:p>
    <w:p w14:paraId="3C058D5C" w14:textId="77777777" w:rsidR="002A0352" w:rsidRPr="007A53EF" w:rsidRDefault="004A6A1D">
      <w:pPr>
        <w:spacing w:after="0"/>
        <w:jc w:val="center"/>
        <w:rPr>
          <w:rFonts w:ascii="Times New Roman" w:hAnsi="Times New Roman"/>
          <w:sz w:val="24"/>
        </w:rPr>
      </w:pPr>
      <w:r w:rsidRPr="007A53EF">
        <w:rPr>
          <w:rFonts w:ascii="Times New Roman" w:hAnsi="Times New Roman"/>
          <w:sz w:val="24"/>
        </w:rPr>
        <w:t>Grand-Duchy of Luxembourg</w:t>
      </w:r>
    </w:p>
    <w:p w14:paraId="3C0CCC27" w14:textId="77777777" w:rsidR="002A0352" w:rsidRPr="007A53EF" w:rsidRDefault="004A6A1D">
      <w:pPr>
        <w:spacing w:after="240"/>
        <w:jc w:val="center"/>
        <w:rPr>
          <w:rFonts w:ascii="Times New Roman" w:hAnsi="Times New Roman"/>
          <w:sz w:val="24"/>
        </w:rPr>
      </w:pPr>
      <w:r w:rsidRPr="007A53EF">
        <w:rPr>
          <w:rFonts w:ascii="Times New Roman" w:hAnsi="Times New Roman"/>
          <w:sz w:val="24"/>
        </w:rPr>
        <w:t>R.C.S. Luxembourg: B 187275</w:t>
      </w:r>
    </w:p>
    <w:p w14:paraId="5200C3D1" w14:textId="77777777" w:rsidR="002A0352" w:rsidRDefault="004A6A1D">
      <w:pPr>
        <w:spacing w:after="240"/>
        <w:jc w:val="center"/>
        <w:rPr>
          <w:rFonts w:ascii="Times New Roman" w:hAnsi="Times New Roman"/>
          <w:sz w:val="24"/>
        </w:rPr>
      </w:pPr>
      <w:r>
        <w:rPr>
          <w:rFonts w:ascii="Times New Roman" w:hAnsi="Times New Roman"/>
          <w:sz w:val="24"/>
        </w:rPr>
        <w:t>(the “Company”)</w:t>
      </w:r>
    </w:p>
    <w:p w14:paraId="026505FE" w14:textId="77777777" w:rsidR="002A0352" w:rsidRDefault="002A0352">
      <w:pPr>
        <w:spacing w:after="120"/>
        <w:ind w:left="720"/>
        <w:jc w:val="both"/>
        <w:rPr>
          <w:rFonts w:ascii="Times New Roman" w:hAnsi="Times New Roman"/>
          <w:b/>
          <w:sz w:val="24"/>
        </w:rPr>
      </w:pPr>
    </w:p>
    <w:p w14:paraId="78A38550" w14:textId="1417FDD0" w:rsidR="002A0352" w:rsidRDefault="004A6A1D" w:rsidP="00156C73">
      <w:pPr>
        <w:spacing w:after="120"/>
        <w:ind w:left="567"/>
        <w:jc w:val="both"/>
        <w:rPr>
          <w:rFonts w:ascii="Times New Roman" w:hAnsi="Times New Roman"/>
          <w:sz w:val="24"/>
        </w:rPr>
      </w:pPr>
      <w:r>
        <w:rPr>
          <w:rFonts w:ascii="Times New Roman" w:hAnsi="Times New Roman"/>
          <w:sz w:val="24"/>
        </w:rPr>
        <w:t xml:space="preserve">Each of the following resolutions were duly passed by the shareholders of the Company at the Annual General Meeting on </w:t>
      </w:r>
      <w:r w:rsidR="004A6A42">
        <w:rPr>
          <w:rFonts w:ascii="Times New Roman" w:hAnsi="Times New Roman"/>
          <w:sz w:val="24"/>
        </w:rPr>
        <w:t>22</w:t>
      </w:r>
      <w:r>
        <w:rPr>
          <w:rFonts w:ascii="Times New Roman" w:hAnsi="Times New Roman"/>
          <w:sz w:val="24"/>
        </w:rPr>
        <w:t xml:space="preserve"> July </w:t>
      </w:r>
      <w:r w:rsidR="004A6A42">
        <w:rPr>
          <w:rFonts w:ascii="Times New Roman" w:hAnsi="Times New Roman"/>
          <w:sz w:val="24"/>
        </w:rPr>
        <w:t>2025</w:t>
      </w:r>
      <w:r>
        <w:rPr>
          <w:rFonts w:ascii="Times New Roman" w:hAnsi="Times New Roman"/>
          <w:sz w:val="24"/>
        </w:rPr>
        <w:t xml:space="preserve">. </w:t>
      </w:r>
    </w:p>
    <w:p w14:paraId="343E3611" w14:textId="77777777" w:rsidR="002A0352" w:rsidRDefault="002A0352">
      <w:pPr>
        <w:spacing w:after="120"/>
        <w:ind w:left="720"/>
        <w:jc w:val="both"/>
        <w:rPr>
          <w:rFonts w:ascii="Times New Roman" w:hAnsi="Times New Roman"/>
          <w:sz w:val="24"/>
        </w:rPr>
      </w:pPr>
    </w:p>
    <w:p w14:paraId="51ACF939" w14:textId="77777777" w:rsidR="002A0352" w:rsidRDefault="004A6A1D" w:rsidP="00156C73">
      <w:pPr>
        <w:ind w:left="-113" w:firstLine="709"/>
        <w:jc w:val="both"/>
        <w:rPr>
          <w:rFonts w:ascii="Times New Roman" w:hAnsi="Times New Roman"/>
          <w:b/>
          <w:sz w:val="24"/>
        </w:rPr>
      </w:pPr>
      <w:r>
        <w:rPr>
          <w:rFonts w:ascii="Times New Roman" w:hAnsi="Times New Roman"/>
          <w:b/>
          <w:sz w:val="24"/>
        </w:rPr>
        <w:t>RESOLUTIONS</w:t>
      </w:r>
    </w:p>
    <w:p w14:paraId="73E1F1BF" w14:textId="404299FB" w:rsidR="002A0352" w:rsidRDefault="004A6A1D" w:rsidP="00156C73">
      <w:pPr>
        <w:ind w:left="567"/>
        <w:jc w:val="both"/>
        <w:rPr>
          <w:rFonts w:ascii="Times New Roman" w:hAnsi="Times New Roman"/>
          <w:sz w:val="24"/>
        </w:rPr>
      </w:pPr>
      <w:r>
        <w:rPr>
          <w:rFonts w:ascii="Times New Roman" w:hAnsi="Times New Roman"/>
          <w:sz w:val="24"/>
        </w:rPr>
        <w:t xml:space="preserve">1. </w:t>
      </w:r>
      <w:r>
        <w:rPr>
          <w:rFonts w:ascii="Times New Roman" w:hAnsi="Times New Roman"/>
          <w:sz w:val="24"/>
          <w:lang w:eastAsia="en-GB"/>
        </w:rPr>
        <w:t xml:space="preserve">To receive the Report of the Board of Directors on </w:t>
      </w:r>
      <w:r w:rsidR="004A6A42">
        <w:rPr>
          <w:rFonts w:ascii="Times New Roman" w:hAnsi="Times New Roman"/>
          <w:sz w:val="24"/>
          <w:lang w:eastAsia="en-GB"/>
        </w:rPr>
        <w:t xml:space="preserve">the Annual Accounts and </w:t>
      </w:r>
      <w:r>
        <w:rPr>
          <w:rFonts w:ascii="Times New Roman" w:hAnsi="Times New Roman"/>
          <w:sz w:val="24"/>
          <w:lang w:eastAsia="en-GB"/>
        </w:rPr>
        <w:t>Financial Statements of the Company for the financial year ended 31 March 202</w:t>
      </w:r>
      <w:r w:rsidR="004A6A42">
        <w:rPr>
          <w:rFonts w:ascii="Times New Roman" w:hAnsi="Times New Roman"/>
          <w:sz w:val="24"/>
          <w:lang w:eastAsia="en-GB"/>
        </w:rPr>
        <w:t>5</w:t>
      </w:r>
      <w:r w:rsidR="00BF75D6">
        <w:rPr>
          <w:rFonts w:ascii="Times New Roman" w:hAnsi="Times New Roman"/>
          <w:sz w:val="24"/>
          <w:lang w:eastAsia="en-GB"/>
        </w:rPr>
        <w:t xml:space="preserve"> and on the consolidated</w:t>
      </w:r>
      <w:r w:rsidR="004A6A42">
        <w:rPr>
          <w:rFonts w:ascii="Times New Roman" w:hAnsi="Times New Roman"/>
          <w:sz w:val="24"/>
          <w:lang w:eastAsia="en-GB"/>
        </w:rPr>
        <w:t xml:space="preserve"> Annual Accounts and</w:t>
      </w:r>
      <w:r w:rsidR="00BF75D6">
        <w:rPr>
          <w:rFonts w:ascii="Times New Roman" w:hAnsi="Times New Roman"/>
          <w:sz w:val="24"/>
          <w:lang w:eastAsia="en-GB"/>
        </w:rPr>
        <w:t xml:space="preserve"> Financial Statements of the Company</w:t>
      </w:r>
      <w:r w:rsidR="00FE080A">
        <w:rPr>
          <w:rFonts w:ascii="Times New Roman" w:hAnsi="Times New Roman"/>
          <w:sz w:val="24"/>
          <w:lang w:eastAsia="en-GB"/>
        </w:rPr>
        <w:t xml:space="preserve"> and its subsidiaries</w:t>
      </w:r>
      <w:r w:rsidR="000C0164">
        <w:rPr>
          <w:rFonts w:ascii="Times New Roman" w:hAnsi="Times New Roman"/>
          <w:sz w:val="24"/>
          <w:lang w:eastAsia="en-GB"/>
        </w:rPr>
        <w:t xml:space="preserve"> (the “Group”)</w:t>
      </w:r>
      <w:r w:rsidR="00BF75D6">
        <w:rPr>
          <w:rFonts w:ascii="Times New Roman" w:hAnsi="Times New Roman"/>
          <w:sz w:val="24"/>
          <w:lang w:eastAsia="en-GB"/>
        </w:rPr>
        <w:t xml:space="preserve"> for the financial year ended </w:t>
      </w:r>
      <w:r w:rsidR="004A6A42">
        <w:rPr>
          <w:rFonts w:ascii="Times New Roman" w:hAnsi="Times New Roman"/>
          <w:sz w:val="24"/>
          <w:lang w:eastAsia="en-GB"/>
        </w:rPr>
        <w:t>29</w:t>
      </w:r>
      <w:r w:rsidR="00BF75D6">
        <w:rPr>
          <w:rFonts w:ascii="Times New Roman" w:hAnsi="Times New Roman"/>
          <w:sz w:val="24"/>
          <w:lang w:eastAsia="en-GB"/>
        </w:rPr>
        <w:t xml:space="preserve"> March 202</w:t>
      </w:r>
      <w:r w:rsidR="004A6A42">
        <w:rPr>
          <w:rFonts w:ascii="Times New Roman" w:hAnsi="Times New Roman"/>
          <w:sz w:val="24"/>
          <w:lang w:eastAsia="en-GB"/>
        </w:rPr>
        <w:t>5</w:t>
      </w:r>
      <w:r>
        <w:rPr>
          <w:rFonts w:ascii="Times New Roman" w:hAnsi="Times New Roman"/>
          <w:sz w:val="24"/>
          <w:lang w:eastAsia="en-GB"/>
        </w:rPr>
        <w:t>.</w:t>
      </w:r>
    </w:p>
    <w:p w14:paraId="3E0417C2" w14:textId="61099576" w:rsidR="002A0352" w:rsidRDefault="004A6A1D" w:rsidP="00156C73">
      <w:pPr>
        <w:ind w:left="567"/>
        <w:jc w:val="both"/>
        <w:rPr>
          <w:rFonts w:ascii="Times New Roman" w:hAnsi="Times New Roman"/>
          <w:sz w:val="24"/>
        </w:rPr>
      </w:pPr>
      <w:r>
        <w:rPr>
          <w:rFonts w:ascii="Times New Roman" w:hAnsi="Times New Roman"/>
          <w:sz w:val="24"/>
        </w:rPr>
        <w:t xml:space="preserve">2. </w:t>
      </w:r>
      <w:r>
        <w:rPr>
          <w:rFonts w:ascii="Times New Roman" w:hAnsi="Times New Roman"/>
          <w:sz w:val="24"/>
          <w:lang w:eastAsia="en-GB"/>
        </w:rPr>
        <w:t>To receive the</w:t>
      </w:r>
      <w:r w:rsidR="004A6A42">
        <w:rPr>
          <w:rFonts w:ascii="Times New Roman" w:hAnsi="Times New Roman"/>
          <w:sz w:val="24"/>
          <w:lang w:eastAsia="en-GB"/>
        </w:rPr>
        <w:t xml:space="preserve"> Annual Accounts and</w:t>
      </w:r>
      <w:r>
        <w:rPr>
          <w:rFonts w:ascii="Times New Roman" w:hAnsi="Times New Roman"/>
          <w:sz w:val="24"/>
          <w:lang w:eastAsia="en-GB"/>
        </w:rPr>
        <w:t xml:space="preserve"> Financial Statements of the Company for the financial year ended </w:t>
      </w:r>
      <w:r w:rsidR="00BF75D6">
        <w:rPr>
          <w:rFonts w:ascii="Times New Roman" w:hAnsi="Times New Roman"/>
          <w:sz w:val="24"/>
          <w:lang w:eastAsia="en-GB"/>
        </w:rPr>
        <w:t xml:space="preserve">31 </w:t>
      </w:r>
      <w:r>
        <w:rPr>
          <w:rFonts w:ascii="Times New Roman" w:hAnsi="Times New Roman"/>
          <w:sz w:val="24"/>
          <w:lang w:eastAsia="en-GB"/>
        </w:rPr>
        <w:t>March 202</w:t>
      </w:r>
      <w:r w:rsidR="004A6A42">
        <w:rPr>
          <w:rFonts w:ascii="Times New Roman" w:hAnsi="Times New Roman"/>
          <w:sz w:val="24"/>
          <w:lang w:eastAsia="en-GB"/>
        </w:rPr>
        <w:t>5</w:t>
      </w:r>
      <w:r>
        <w:rPr>
          <w:rFonts w:ascii="Times New Roman" w:hAnsi="Times New Roman"/>
          <w:sz w:val="24"/>
          <w:lang w:eastAsia="en-GB"/>
        </w:rPr>
        <w:t xml:space="preserve">, the consolidated </w:t>
      </w:r>
      <w:r w:rsidR="004A6A42">
        <w:rPr>
          <w:rFonts w:ascii="Times New Roman" w:hAnsi="Times New Roman"/>
          <w:sz w:val="24"/>
          <w:lang w:eastAsia="en-GB"/>
        </w:rPr>
        <w:t xml:space="preserve">Annual Accounts and </w:t>
      </w:r>
      <w:r>
        <w:rPr>
          <w:rFonts w:ascii="Times New Roman" w:hAnsi="Times New Roman"/>
          <w:sz w:val="24"/>
          <w:lang w:eastAsia="en-GB"/>
        </w:rPr>
        <w:t xml:space="preserve">Financial Statements of the </w:t>
      </w:r>
      <w:r w:rsidR="000C0164">
        <w:rPr>
          <w:rFonts w:ascii="Times New Roman" w:hAnsi="Times New Roman"/>
          <w:sz w:val="24"/>
          <w:lang w:eastAsia="en-GB"/>
        </w:rPr>
        <w:t xml:space="preserve">Group </w:t>
      </w:r>
      <w:r>
        <w:rPr>
          <w:rFonts w:ascii="Times New Roman" w:hAnsi="Times New Roman"/>
          <w:sz w:val="24"/>
          <w:lang w:eastAsia="en-GB"/>
        </w:rPr>
        <w:t xml:space="preserve">for the financial year ended </w:t>
      </w:r>
      <w:r w:rsidR="004A6A42">
        <w:rPr>
          <w:rFonts w:ascii="Times New Roman" w:hAnsi="Times New Roman"/>
          <w:sz w:val="24"/>
          <w:lang w:eastAsia="en-GB"/>
        </w:rPr>
        <w:t>29</w:t>
      </w:r>
      <w:r w:rsidR="00BF75D6">
        <w:rPr>
          <w:rFonts w:ascii="Times New Roman" w:hAnsi="Times New Roman"/>
          <w:sz w:val="24"/>
          <w:lang w:eastAsia="en-GB"/>
        </w:rPr>
        <w:t xml:space="preserve"> </w:t>
      </w:r>
      <w:r>
        <w:rPr>
          <w:rFonts w:ascii="Times New Roman" w:hAnsi="Times New Roman"/>
          <w:sz w:val="24"/>
          <w:lang w:eastAsia="en-GB"/>
        </w:rPr>
        <w:t>March 202</w:t>
      </w:r>
      <w:r w:rsidR="004A6A42">
        <w:rPr>
          <w:rFonts w:ascii="Times New Roman" w:hAnsi="Times New Roman"/>
          <w:sz w:val="24"/>
          <w:lang w:eastAsia="en-GB"/>
        </w:rPr>
        <w:t>5</w:t>
      </w:r>
      <w:r>
        <w:rPr>
          <w:rFonts w:ascii="Times New Roman" w:hAnsi="Times New Roman"/>
          <w:sz w:val="24"/>
          <w:lang w:eastAsia="en-GB"/>
        </w:rPr>
        <w:t xml:space="preserve"> and the Reports of the Independent Auditor (“</w:t>
      </w:r>
      <w:proofErr w:type="spellStart"/>
      <w:r>
        <w:rPr>
          <w:rFonts w:ascii="Times New Roman" w:hAnsi="Times New Roman"/>
          <w:i/>
          <w:sz w:val="24"/>
          <w:lang w:eastAsia="en-GB"/>
        </w:rPr>
        <w:t>réviseur</w:t>
      </w:r>
      <w:proofErr w:type="spellEnd"/>
      <w:r>
        <w:rPr>
          <w:rFonts w:ascii="Times New Roman" w:hAnsi="Times New Roman"/>
          <w:i/>
          <w:sz w:val="24"/>
          <w:lang w:eastAsia="en-GB"/>
        </w:rPr>
        <w:t xml:space="preserve"> </w:t>
      </w:r>
      <w:proofErr w:type="spellStart"/>
      <w:r>
        <w:rPr>
          <w:rFonts w:ascii="Times New Roman" w:hAnsi="Times New Roman"/>
          <w:i/>
          <w:sz w:val="24"/>
          <w:lang w:eastAsia="en-GB"/>
        </w:rPr>
        <w:t>d’entreprises</w:t>
      </w:r>
      <w:proofErr w:type="spellEnd"/>
      <w:r>
        <w:rPr>
          <w:rFonts w:ascii="Times New Roman" w:hAnsi="Times New Roman"/>
          <w:i/>
          <w:sz w:val="24"/>
          <w:lang w:eastAsia="en-GB"/>
        </w:rPr>
        <w:t xml:space="preserve"> </w:t>
      </w:r>
      <w:proofErr w:type="spellStart"/>
      <w:r>
        <w:rPr>
          <w:rFonts w:ascii="Times New Roman" w:hAnsi="Times New Roman"/>
          <w:i/>
          <w:sz w:val="24"/>
          <w:lang w:eastAsia="en-GB"/>
        </w:rPr>
        <w:t>agréé</w:t>
      </w:r>
      <w:proofErr w:type="spellEnd"/>
      <w:r>
        <w:rPr>
          <w:rFonts w:ascii="Times New Roman" w:hAnsi="Times New Roman"/>
          <w:sz w:val="24"/>
          <w:lang w:eastAsia="en-GB"/>
        </w:rPr>
        <w:t>”) thereon.</w:t>
      </w:r>
    </w:p>
    <w:p w14:paraId="3E10528E" w14:textId="6D5DA642" w:rsidR="002A0352" w:rsidRDefault="004A6A1D" w:rsidP="00156C73">
      <w:pPr>
        <w:ind w:left="567"/>
        <w:jc w:val="both"/>
        <w:rPr>
          <w:rFonts w:ascii="Times New Roman" w:hAnsi="Times New Roman"/>
          <w:sz w:val="24"/>
        </w:rPr>
      </w:pPr>
      <w:r>
        <w:rPr>
          <w:rFonts w:ascii="Times New Roman" w:hAnsi="Times New Roman"/>
          <w:sz w:val="24"/>
        </w:rPr>
        <w:t xml:space="preserve">3. </w:t>
      </w:r>
      <w:r>
        <w:rPr>
          <w:rFonts w:ascii="Times New Roman" w:hAnsi="Times New Roman"/>
          <w:sz w:val="24"/>
          <w:lang w:eastAsia="en-GB"/>
        </w:rPr>
        <w:t xml:space="preserve">To approve the Annual Accounts and Financial Statements of the Company for the financial year ended </w:t>
      </w:r>
      <w:r w:rsidR="00BF75D6">
        <w:rPr>
          <w:rFonts w:ascii="Times New Roman" w:hAnsi="Times New Roman"/>
          <w:sz w:val="24"/>
          <w:lang w:eastAsia="en-GB"/>
        </w:rPr>
        <w:t>3</w:t>
      </w:r>
      <w:r w:rsidR="002E5038">
        <w:rPr>
          <w:rFonts w:ascii="Times New Roman" w:hAnsi="Times New Roman"/>
          <w:sz w:val="24"/>
          <w:lang w:eastAsia="en-GB"/>
        </w:rPr>
        <w:t>1</w:t>
      </w:r>
      <w:r w:rsidR="00BF75D6">
        <w:rPr>
          <w:rFonts w:ascii="Times New Roman" w:hAnsi="Times New Roman"/>
          <w:sz w:val="24"/>
          <w:lang w:eastAsia="en-GB"/>
        </w:rPr>
        <w:t xml:space="preserve"> </w:t>
      </w:r>
      <w:r>
        <w:rPr>
          <w:rFonts w:ascii="Times New Roman" w:hAnsi="Times New Roman"/>
          <w:sz w:val="24"/>
          <w:lang w:eastAsia="en-GB"/>
        </w:rPr>
        <w:t>March 202</w:t>
      </w:r>
      <w:r w:rsidR="004A6A42">
        <w:rPr>
          <w:rFonts w:ascii="Times New Roman" w:hAnsi="Times New Roman"/>
          <w:sz w:val="24"/>
          <w:lang w:eastAsia="en-GB"/>
        </w:rPr>
        <w:t>5</w:t>
      </w:r>
      <w:r>
        <w:rPr>
          <w:rFonts w:ascii="Times New Roman" w:hAnsi="Times New Roman"/>
          <w:sz w:val="24"/>
          <w:lang w:eastAsia="en-GB"/>
        </w:rPr>
        <w:t>.</w:t>
      </w:r>
    </w:p>
    <w:p w14:paraId="133BECB4" w14:textId="74C91260" w:rsidR="002A0352" w:rsidRDefault="004A6A1D" w:rsidP="00156C73">
      <w:pPr>
        <w:ind w:left="567"/>
        <w:jc w:val="both"/>
        <w:rPr>
          <w:rFonts w:ascii="Times New Roman" w:hAnsi="Times New Roman"/>
          <w:sz w:val="24"/>
        </w:rPr>
      </w:pPr>
      <w:r>
        <w:rPr>
          <w:rFonts w:ascii="Times New Roman" w:hAnsi="Times New Roman"/>
          <w:sz w:val="24"/>
        </w:rPr>
        <w:t xml:space="preserve">4. </w:t>
      </w:r>
      <w:r>
        <w:rPr>
          <w:rFonts w:ascii="Times New Roman" w:hAnsi="Times New Roman"/>
          <w:sz w:val="24"/>
          <w:lang w:eastAsia="en-GB"/>
        </w:rPr>
        <w:t xml:space="preserve">To approve the consolidated Annual Accounts and Financial Statements of the </w:t>
      </w:r>
      <w:r w:rsidR="000C0164">
        <w:rPr>
          <w:rFonts w:ascii="Times New Roman" w:hAnsi="Times New Roman"/>
          <w:sz w:val="24"/>
          <w:lang w:eastAsia="en-GB"/>
        </w:rPr>
        <w:t xml:space="preserve">Group </w:t>
      </w:r>
      <w:r>
        <w:rPr>
          <w:rFonts w:ascii="Times New Roman" w:hAnsi="Times New Roman"/>
          <w:sz w:val="24"/>
          <w:lang w:eastAsia="en-GB"/>
        </w:rPr>
        <w:t xml:space="preserve">for the financial year ended </w:t>
      </w:r>
      <w:r w:rsidR="004A6A42">
        <w:rPr>
          <w:rFonts w:ascii="Times New Roman" w:hAnsi="Times New Roman"/>
          <w:sz w:val="24"/>
          <w:lang w:eastAsia="en-GB"/>
        </w:rPr>
        <w:t>29</w:t>
      </w:r>
      <w:r w:rsidR="00BF75D6">
        <w:rPr>
          <w:rFonts w:ascii="Times New Roman" w:hAnsi="Times New Roman"/>
          <w:sz w:val="24"/>
          <w:lang w:eastAsia="en-GB"/>
        </w:rPr>
        <w:t xml:space="preserve"> </w:t>
      </w:r>
      <w:r>
        <w:rPr>
          <w:rFonts w:ascii="Times New Roman" w:hAnsi="Times New Roman"/>
          <w:sz w:val="24"/>
          <w:lang w:eastAsia="en-GB"/>
        </w:rPr>
        <w:t>March 202</w:t>
      </w:r>
      <w:r w:rsidR="004A6A42">
        <w:rPr>
          <w:rFonts w:ascii="Times New Roman" w:hAnsi="Times New Roman"/>
          <w:sz w:val="24"/>
          <w:lang w:eastAsia="en-GB"/>
        </w:rPr>
        <w:t>5</w:t>
      </w:r>
      <w:r w:rsidR="002E5038">
        <w:rPr>
          <w:rFonts w:ascii="Times New Roman" w:hAnsi="Times New Roman"/>
          <w:sz w:val="24"/>
          <w:lang w:eastAsia="en-GB"/>
        </w:rPr>
        <w:t>.</w:t>
      </w:r>
    </w:p>
    <w:p w14:paraId="7CF46411" w14:textId="20808A4F" w:rsidR="002A0352" w:rsidRDefault="004A6A1D" w:rsidP="00156C73">
      <w:pPr>
        <w:spacing w:after="120"/>
        <w:ind w:left="567"/>
        <w:jc w:val="both"/>
        <w:rPr>
          <w:rFonts w:ascii="Times New Roman" w:hAnsi="Times New Roman"/>
          <w:sz w:val="24"/>
        </w:rPr>
      </w:pPr>
      <w:r>
        <w:rPr>
          <w:rFonts w:ascii="Times New Roman" w:hAnsi="Times New Roman"/>
          <w:sz w:val="24"/>
        </w:rPr>
        <w:t xml:space="preserve">5. </w:t>
      </w:r>
      <w:bookmarkStart w:id="0" w:name="_Hlk141116871"/>
      <w:r>
        <w:rPr>
          <w:rFonts w:ascii="Times New Roman" w:hAnsi="Times New Roman"/>
          <w:sz w:val="24"/>
        </w:rPr>
        <w:t>To approve the result of the Company for the financial year ended 31 March 202</w:t>
      </w:r>
      <w:r w:rsidR="004A6A42">
        <w:rPr>
          <w:rFonts w:ascii="Times New Roman" w:hAnsi="Times New Roman"/>
          <w:sz w:val="24"/>
        </w:rPr>
        <w:t>5</w:t>
      </w:r>
      <w:r>
        <w:rPr>
          <w:rFonts w:ascii="Times New Roman" w:hAnsi="Times New Roman"/>
          <w:sz w:val="24"/>
        </w:rPr>
        <w:t xml:space="preserve"> and the allocation of the result in the total amount of GBP£</w:t>
      </w:r>
      <w:r w:rsidR="00C93D44">
        <w:rPr>
          <w:rFonts w:ascii="Times New Roman" w:hAnsi="Times New Roman"/>
          <w:sz w:val="24"/>
        </w:rPr>
        <w:t xml:space="preserve"> </w:t>
      </w:r>
      <w:r w:rsidR="007F325F" w:rsidRPr="002D4271">
        <w:rPr>
          <w:rFonts w:ascii="Times New Roman" w:hAnsi="Times New Roman"/>
          <w:sz w:val="24"/>
        </w:rPr>
        <w:t>285,209,117.77</w:t>
      </w:r>
      <w:r w:rsidR="002D4271">
        <w:rPr>
          <w:rFonts w:ascii="Times New Roman" w:hAnsi="Times New Roman"/>
          <w:sz w:val="24"/>
        </w:rPr>
        <w:t xml:space="preserve"> </w:t>
      </w:r>
      <w:r>
        <w:rPr>
          <w:rFonts w:ascii="Times New Roman" w:hAnsi="Times New Roman"/>
          <w:sz w:val="24"/>
        </w:rPr>
        <w:t>on the following basis:</w:t>
      </w:r>
    </w:p>
    <w:p w14:paraId="46AFE699" w14:textId="5272EBD0" w:rsidR="002A0352" w:rsidRDefault="004A6A1D" w:rsidP="00D04FDD">
      <w:pPr>
        <w:spacing w:after="120"/>
        <w:ind w:left="1020"/>
        <w:jc w:val="both"/>
        <w:rPr>
          <w:rFonts w:ascii="Times New Roman" w:hAnsi="Times New Roman"/>
          <w:sz w:val="24"/>
        </w:rPr>
      </w:pPr>
      <w:r>
        <w:rPr>
          <w:rFonts w:ascii="Times New Roman" w:hAnsi="Times New Roman"/>
          <w:sz w:val="24"/>
        </w:rPr>
        <w:t>(a) to the interim dividend of 5</w:t>
      </w:r>
      <w:r w:rsidR="002E5038">
        <w:rPr>
          <w:rFonts w:ascii="Times New Roman" w:hAnsi="Times New Roman"/>
          <w:sz w:val="24"/>
        </w:rPr>
        <w:t>.</w:t>
      </w:r>
      <w:r w:rsidR="004A6A42">
        <w:rPr>
          <w:rFonts w:ascii="Times New Roman" w:hAnsi="Times New Roman"/>
          <w:sz w:val="24"/>
        </w:rPr>
        <w:t>3</w:t>
      </w:r>
      <w:r>
        <w:rPr>
          <w:rFonts w:ascii="Times New Roman" w:hAnsi="Times New Roman"/>
          <w:sz w:val="24"/>
        </w:rPr>
        <w:t xml:space="preserve"> pence (gross) per ordinary share paid by the Company in December 202</w:t>
      </w:r>
      <w:r w:rsidR="004A6A42">
        <w:rPr>
          <w:rFonts w:ascii="Times New Roman" w:hAnsi="Times New Roman"/>
          <w:sz w:val="24"/>
        </w:rPr>
        <w:t>4</w:t>
      </w:r>
      <w:r>
        <w:rPr>
          <w:rFonts w:ascii="Times New Roman" w:hAnsi="Times New Roman"/>
          <w:sz w:val="24"/>
        </w:rPr>
        <w:t>, being a total aggregate distribution of GBP £ 5</w:t>
      </w:r>
      <w:r w:rsidR="004A6A42">
        <w:rPr>
          <w:rFonts w:ascii="Times New Roman" w:hAnsi="Times New Roman"/>
          <w:sz w:val="24"/>
        </w:rPr>
        <w:t>3</w:t>
      </w:r>
      <w:r>
        <w:rPr>
          <w:rFonts w:ascii="Times New Roman" w:hAnsi="Times New Roman"/>
          <w:sz w:val="24"/>
        </w:rPr>
        <w:t>,</w:t>
      </w:r>
      <w:r w:rsidR="004467BA">
        <w:rPr>
          <w:rFonts w:ascii="Times New Roman" w:hAnsi="Times New Roman"/>
          <w:sz w:val="24"/>
        </w:rPr>
        <w:t>200</w:t>
      </w:r>
      <w:r>
        <w:rPr>
          <w:rFonts w:ascii="Times New Roman" w:hAnsi="Times New Roman"/>
          <w:sz w:val="24"/>
        </w:rPr>
        <w:t>,</w:t>
      </w:r>
      <w:r w:rsidR="004467BA">
        <w:rPr>
          <w:rFonts w:ascii="Times New Roman" w:hAnsi="Times New Roman"/>
          <w:sz w:val="24"/>
        </w:rPr>
        <w:t>548</w:t>
      </w:r>
      <w:r>
        <w:rPr>
          <w:rFonts w:ascii="Times New Roman" w:hAnsi="Times New Roman"/>
          <w:sz w:val="24"/>
        </w:rPr>
        <w:t>.</w:t>
      </w:r>
      <w:r w:rsidR="004467BA">
        <w:rPr>
          <w:rFonts w:ascii="Times New Roman" w:hAnsi="Times New Roman"/>
          <w:sz w:val="24"/>
        </w:rPr>
        <w:t>24</w:t>
      </w:r>
      <w:r>
        <w:rPr>
          <w:rFonts w:ascii="Times New Roman" w:hAnsi="Times New Roman"/>
          <w:sz w:val="24"/>
        </w:rPr>
        <w:t xml:space="preserve"> (gross);</w:t>
      </w:r>
    </w:p>
    <w:p w14:paraId="652E5053" w14:textId="4828A078" w:rsidR="002A0352" w:rsidRDefault="004A6A1D" w:rsidP="00D04FDD">
      <w:pPr>
        <w:spacing w:after="120"/>
        <w:ind w:left="1020"/>
        <w:jc w:val="both"/>
        <w:rPr>
          <w:rFonts w:ascii="Times New Roman" w:hAnsi="Times New Roman"/>
          <w:sz w:val="24"/>
        </w:rPr>
      </w:pPr>
      <w:r>
        <w:rPr>
          <w:rFonts w:ascii="Times New Roman" w:hAnsi="Times New Roman"/>
          <w:sz w:val="24"/>
        </w:rPr>
        <w:t xml:space="preserve">(b) to the interim dividend of </w:t>
      </w:r>
      <w:r w:rsidR="004A6A42">
        <w:rPr>
          <w:rFonts w:ascii="Times New Roman" w:hAnsi="Times New Roman"/>
          <w:sz w:val="24"/>
        </w:rPr>
        <w:t>15</w:t>
      </w:r>
      <w:r>
        <w:rPr>
          <w:rFonts w:ascii="Times New Roman" w:hAnsi="Times New Roman"/>
          <w:sz w:val="24"/>
        </w:rPr>
        <w:t xml:space="preserve"> pence (gross) </w:t>
      </w:r>
      <w:r w:rsidR="002248F7">
        <w:rPr>
          <w:rFonts w:ascii="Times New Roman" w:hAnsi="Times New Roman"/>
          <w:sz w:val="24"/>
        </w:rPr>
        <w:t xml:space="preserve">per ordinary share </w:t>
      </w:r>
      <w:r>
        <w:rPr>
          <w:rFonts w:ascii="Times New Roman" w:hAnsi="Times New Roman"/>
          <w:sz w:val="24"/>
        </w:rPr>
        <w:t xml:space="preserve">paid by the Company in </w:t>
      </w:r>
      <w:r w:rsidR="00C93D44">
        <w:rPr>
          <w:rFonts w:ascii="Times New Roman" w:hAnsi="Times New Roman"/>
          <w:sz w:val="24"/>
        </w:rPr>
        <w:t>February</w:t>
      </w:r>
      <w:r>
        <w:rPr>
          <w:rFonts w:ascii="Times New Roman" w:hAnsi="Times New Roman"/>
          <w:sz w:val="24"/>
        </w:rPr>
        <w:t xml:space="preserve"> 202</w:t>
      </w:r>
      <w:r w:rsidR="004A6A42">
        <w:rPr>
          <w:rFonts w:ascii="Times New Roman" w:hAnsi="Times New Roman"/>
          <w:sz w:val="24"/>
        </w:rPr>
        <w:t>5</w:t>
      </w:r>
      <w:r>
        <w:rPr>
          <w:rFonts w:ascii="Times New Roman" w:hAnsi="Times New Roman"/>
          <w:sz w:val="24"/>
        </w:rPr>
        <w:t xml:space="preserve">, being a total aggregate amount of GBP £ </w:t>
      </w:r>
      <w:bookmarkStart w:id="1" w:name="_Hlk167964438"/>
      <w:r w:rsidR="004A6A42">
        <w:rPr>
          <w:rFonts w:ascii="Times New Roman" w:hAnsi="Times New Roman"/>
          <w:sz w:val="24"/>
        </w:rPr>
        <w:t>150</w:t>
      </w:r>
      <w:r>
        <w:rPr>
          <w:rFonts w:ascii="Times New Roman" w:hAnsi="Times New Roman"/>
          <w:sz w:val="24"/>
        </w:rPr>
        <w:t>,</w:t>
      </w:r>
      <w:r w:rsidR="004A6A42">
        <w:rPr>
          <w:rFonts w:ascii="Times New Roman" w:hAnsi="Times New Roman"/>
          <w:sz w:val="24"/>
        </w:rPr>
        <w:t>573</w:t>
      </w:r>
      <w:r>
        <w:rPr>
          <w:rFonts w:ascii="Times New Roman" w:hAnsi="Times New Roman"/>
          <w:sz w:val="24"/>
        </w:rPr>
        <w:t>,</w:t>
      </w:r>
      <w:r w:rsidR="004A6A42">
        <w:rPr>
          <w:rFonts w:ascii="Times New Roman" w:hAnsi="Times New Roman"/>
          <w:sz w:val="24"/>
        </w:rPr>
        <w:t>280</w:t>
      </w:r>
      <w:r>
        <w:rPr>
          <w:rFonts w:ascii="Times New Roman" w:hAnsi="Times New Roman"/>
          <w:sz w:val="24"/>
        </w:rPr>
        <w:t>.</w:t>
      </w:r>
      <w:r w:rsidR="004A6A42">
        <w:rPr>
          <w:rFonts w:ascii="Times New Roman" w:hAnsi="Times New Roman"/>
          <w:sz w:val="24"/>
        </w:rPr>
        <w:t>65</w:t>
      </w:r>
      <w:r>
        <w:rPr>
          <w:rFonts w:ascii="Times New Roman" w:hAnsi="Times New Roman"/>
          <w:sz w:val="24"/>
        </w:rPr>
        <w:t xml:space="preserve"> </w:t>
      </w:r>
      <w:bookmarkEnd w:id="1"/>
      <w:r>
        <w:rPr>
          <w:rFonts w:ascii="Times New Roman" w:hAnsi="Times New Roman"/>
          <w:sz w:val="24"/>
        </w:rPr>
        <w:t>(gross);</w:t>
      </w:r>
    </w:p>
    <w:p w14:paraId="3CCC6AB3" w14:textId="0FDE1DB0" w:rsidR="002A0352" w:rsidRDefault="004A6A1D" w:rsidP="00D04FDD">
      <w:pPr>
        <w:spacing w:after="120"/>
        <w:ind w:left="1020"/>
        <w:jc w:val="both"/>
        <w:rPr>
          <w:rFonts w:ascii="Times New Roman" w:hAnsi="Times New Roman"/>
          <w:sz w:val="24"/>
        </w:rPr>
      </w:pPr>
      <w:r>
        <w:rPr>
          <w:rFonts w:ascii="Times New Roman" w:hAnsi="Times New Roman"/>
          <w:sz w:val="24"/>
        </w:rPr>
        <w:t>(c) to a final dividend of</w:t>
      </w:r>
      <w:r w:rsidR="002E5038">
        <w:rPr>
          <w:rFonts w:ascii="Times New Roman" w:hAnsi="Times New Roman"/>
          <w:sz w:val="24"/>
        </w:rPr>
        <w:t xml:space="preserve"> </w:t>
      </w:r>
      <w:r w:rsidR="005E4A01">
        <w:rPr>
          <w:rFonts w:ascii="Times New Roman" w:hAnsi="Times New Roman"/>
          <w:sz w:val="24"/>
        </w:rPr>
        <w:t>9.7</w:t>
      </w:r>
      <w:r>
        <w:rPr>
          <w:rFonts w:ascii="Times New Roman" w:hAnsi="Times New Roman"/>
          <w:sz w:val="24"/>
        </w:rPr>
        <w:t xml:space="preserve"> pence (gross) per ordinary share to be paid to shareholders by the Company on</w:t>
      </w:r>
      <w:r w:rsidR="004A6A42">
        <w:rPr>
          <w:rFonts w:ascii="Times New Roman" w:hAnsi="Times New Roman"/>
          <w:sz w:val="24"/>
        </w:rPr>
        <w:t xml:space="preserve"> 1</w:t>
      </w:r>
      <w:r>
        <w:rPr>
          <w:rFonts w:ascii="Times New Roman" w:hAnsi="Times New Roman"/>
          <w:sz w:val="24"/>
        </w:rPr>
        <w:t xml:space="preserve"> August 202</w:t>
      </w:r>
      <w:r w:rsidR="004A6A42">
        <w:rPr>
          <w:rFonts w:ascii="Times New Roman" w:hAnsi="Times New Roman"/>
          <w:sz w:val="24"/>
        </w:rPr>
        <w:t>5</w:t>
      </w:r>
      <w:r>
        <w:rPr>
          <w:rFonts w:ascii="Times New Roman" w:hAnsi="Times New Roman"/>
          <w:sz w:val="24"/>
        </w:rPr>
        <w:t>, in relation to their shareholding as at</w:t>
      </w:r>
      <w:r w:rsidR="007E5B71">
        <w:rPr>
          <w:rFonts w:ascii="Times New Roman" w:hAnsi="Times New Roman"/>
          <w:sz w:val="24"/>
        </w:rPr>
        <w:t xml:space="preserve"> </w:t>
      </w:r>
      <w:r w:rsidR="00294CE5">
        <w:rPr>
          <w:rFonts w:ascii="Times New Roman" w:hAnsi="Times New Roman"/>
          <w:sz w:val="24"/>
        </w:rPr>
        <w:t>2</w:t>
      </w:r>
      <w:r w:rsidR="004A6A42">
        <w:rPr>
          <w:rFonts w:ascii="Times New Roman" w:hAnsi="Times New Roman"/>
          <w:sz w:val="24"/>
        </w:rPr>
        <w:t>7</w:t>
      </w:r>
      <w:r w:rsidR="007E5B71">
        <w:rPr>
          <w:rFonts w:ascii="Times New Roman" w:hAnsi="Times New Roman"/>
          <w:sz w:val="24"/>
        </w:rPr>
        <w:t xml:space="preserve"> June </w:t>
      </w:r>
      <w:r>
        <w:rPr>
          <w:rFonts w:ascii="Times New Roman" w:hAnsi="Times New Roman"/>
          <w:sz w:val="24"/>
        </w:rPr>
        <w:t>202</w:t>
      </w:r>
      <w:r w:rsidR="004A6A42">
        <w:rPr>
          <w:rFonts w:ascii="Times New Roman" w:hAnsi="Times New Roman"/>
          <w:sz w:val="24"/>
        </w:rPr>
        <w:t>5</w:t>
      </w:r>
      <w:r>
        <w:rPr>
          <w:rFonts w:ascii="Times New Roman" w:hAnsi="Times New Roman"/>
          <w:sz w:val="24"/>
        </w:rPr>
        <w:t>;</w:t>
      </w:r>
    </w:p>
    <w:p w14:paraId="1A8FF8ED" w14:textId="210A0193" w:rsidR="002A0352" w:rsidRDefault="004A6A1D" w:rsidP="00D04FDD">
      <w:pPr>
        <w:spacing w:after="120"/>
        <w:ind w:left="1020"/>
        <w:jc w:val="both"/>
        <w:rPr>
          <w:rFonts w:ascii="Times New Roman" w:hAnsi="Times New Roman"/>
          <w:sz w:val="24"/>
        </w:rPr>
      </w:pPr>
      <w:r>
        <w:rPr>
          <w:rFonts w:ascii="Times New Roman" w:hAnsi="Times New Roman"/>
          <w:sz w:val="24"/>
        </w:rPr>
        <w:t>(d)</w:t>
      </w:r>
      <w:r w:rsidRPr="00BC74CB">
        <w:rPr>
          <w:rFonts w:ascii="Times New Roman" w:hAnsi="Times New Roman"/>
          <w:sz w:val="24"/>
        </w:rPr>
        <w:t xml:space="preserve"> </w:t>
      </w:r>
      <w:r>
        <w:rPr>
          <w:rFonts w:ascii="Times New Roman" w:hAnsi="Times New Roman"/>
          <w:sz w:val="24"/>
        </w:rPr>
        <w:t>to the payment of the nominal value of the shares allocated for free to certain employees and directors of the Group, on the exercise of share options in relation to the Company during the financial year ended 31 March 202</w:t>
      </w:r>
      <w:r w:rsidR="004A6A42">
        <w:rPr>
          <w:rFonts w:ascii="Times New Roman" w:hAnsi="Times New Roman"/>
          <w:sz w:val="24"/>
        </w:rPr>
        <w:t>5</w:t>
      </w:r>
      <w:r>
        <w:rPr>
          <w:rFonts w:ascii="Times New Roman" w:hAnsi="Times New Roman"/>
          <w:sz w:val="24"/>
        </w:rPr>
        <w:t xml:space="preserve">, the aggregate amount of GBP £ </w:t>
      </w:r>
      <w:r w:rsidR="004A6A42">
        <w:rPr>
          <w:rFonts w:ascii="Times New Roman" w:hAnsi="Times New Roman"/>
          <w:sz w:val="24"/>
        </w:rPr>
        <w:t>10</w:t>
      </w:r>
      <w:r w:rsidR="00294CE5">
        <w:rPr>
          <w:rFonts w:ascii="Times New Roman" w:hAnsi="Times New Roman"/>
          <w:sz w:val="24"/>
        </w:rPr>
        <w:t>3</w:t>
      </w:r>
      <w:r w:rsidR="00C93D44">
        <w:rPr>
          <w:rFonts w:ascii="Times New Roman" w:hAnsi="Times New Roman"/>
          <w:sz w:val="24"/>
        </w:rPr>
        <w:t>,</w:t>
      </w:r>
      <w:r w:rsidR="004A6A42">
        <w:rPr>
          <w:rFonts w:ascii="Times New Roman" w:hAnsi="Times New Roman"/>
          <w:sz w:val="24"/>
        </w:rPr>
        <w:t>097</w:t>
      </w:r>
      <w:r w:rsidR="00C93D44">
        <w:rPr>
          <w:rFonts w:ascii="Times New Roman" w:hAnsi="Times New Roman"/>
          <w:sz w:val="24"/>
        </w:rPr>
        <w:t>.</w:t>
      </w:r>
      <w:r w:rsidR="004A6A42">
        <w:rPr>
          <w:rFonts w:ascii="Times New Roman" w:hAnsi="Times New Roman"/>
          <w:sz w:val="24"/>
        </w:rPr>
        <w:t>5</w:t>
      </w:r>
      <w:r w:rsidR="00C93D44">
        <w:rPr>
          <w:rFonts w:ascii="Times New Roman" w:hAnsi="Times New Roman"/>
          <w:sz w:val="24"/>
        </w:rPr>
        <w:t>0</w:t>
      </w:r>
      <w:r>
        <w:rPr>
          <w:rFonts w:ascii="Times New Roman" w:hAnsi="Times New Roman"/>
          <w:sz w:val="24"/>
        </w:rPr>
        <w:t xml:space="preserve">; </w:t>
      </w:r>
    </w:p>
    <w:p w14:paraId="204D4AC8" w14:textId="1B0528E4" w:rsidR="002A0352" w:rsidRDefault="004A6A1D" w:rsidP="00D04FDD">
      <w:pPr>
        <w:spacing w:after="0"/>
        <w:ind w:left="1020"/>
        <w:jc w:val="both"/>
        <w:rPr>
          <w:rFonts w:ascii="Times New Roman" w:hAnsi="Times New Roman"/>
          <w:sz w:val="24"/>
        </w:rPr>
      </w:pPr>
      <w:r>
        <w:rPr>
          <w:rFonts w:ascii="Times New Roman" w:hAnsi="Times New Roman"/>
          <w:sz w:val="24"/>
        </w:rPr>
        <w:t>(</w:t>
      </w:r>
      <w:r w:rsidR="00C93D44">
        <w:rPr>
          <w:rFonts w:ascii="Times New Roman" w:hAnsi="Times New Roman"/>
          <w:sz w:val="24"/>
        </w:rPr>
        <w:t>e</w:t>
      </w:r>
      <w:r>
        <w:rPr>
          <w:rFonts w:ascii="Times New Roman" w:hAnsi="Times New Roman"/>
          <w:sz w:val="24"/>
        </w:rPr>
        <w:t xml:space="preserve">) to carry forward the balance thereafter to the Company’s retained earnings account. </w:t>
      </w:r>
    </w:p>
    <w:bookmarkEnd w:id="0"/>
    <w:p w14:paraId="503A945A" w14:textId="77777777" w:rsidR="002A0352" w:rsidRDefault="002A0352">
      <w:pPr>
        <w:spacing w:after="120"/>
        <w:ind w:left="720"/>
        <w:jc w:val="both"/>
        <w:rPr>
          <w:rFonts w:ascii="Times New Roman" w:hAnsi="Times New Roman"/>
          <w:sz w:val="24"/>
        </w:rPr>
      </w:pPr>
    </w:p>
    <w:p w14:paraId="725A1549" w14:textId="6143752D" w:rsidR="002A0352" w:rsidRDefault="004A6A1D" w:rsidP="00156C73">
      <w:pPr>
        <w:spacing w:after="120"/>
        <w:ind w:left="567"/>
        <w:jc w:val="both"/>
        <w:rPr>
          <w:rFonts w:ascii="Times New Roman" w:hAnsi="Times New Roman"/>
          <w:sz w:val="24"/>
        </w:rPr>
      </w:pPr>
      <w:r>
        <w:rPr>
          <w:rFonts w:ascii="Times New Roman" w:hAnsi="Times New Roman"/>
          <w:sz w:val="24"/>
        </w:rPr>
        <w:t>6. To approve a total dividend distribution by the Company for the year ended 31 March 202</w:t>
      </w:r>
      <w:r w:rsidR="004A6A42">
        <w:rPr>
          <w:rFonts w:ascii="Times New Roman" w:hAnsi="Times New Roman"/>
          <w:sz w:val="24"/>
        </w:rPr>
        <w:t>5</w:t>
      </w:r>
      <w:r>
        <w:rPr>
          <w:rFonts w:ascii="Times New Roman" w:hAnsi="Times New Roman"/>
          <w:sz w:val="24"/>
        </w:rPr>
        <w:t xml:space="preserve"> of </w:t>
      </w:r>
      <w:r w:rsidR="005E4A01">
        <w:rPr>
          <w:rFonts w:ascii="Times New Roman" w:hAnsi="Times New Roman"/>
          <w:sz w:val="24"/>
        </w:rPr>
        <w:t>30</w:t>
      </w:r>
      <w:r w:rsidR="00795B4A">
        <w:rPr>
          <w:rFonts w:ascii="Times New Roman" w:hAnsi="Times New Roman"/>
          <w:sz w:val="24"/>
        </w:rPr>
        <w:t xml:space="preserve"> </w:t>
      </w:r>
      <w:r>
        <w:rPr>
          <w:rFonts w:ascii="Times New Roman" w:hAnsi="Times New Roman"/>
          <w:sz w:val="24"/>
        </w:rPr>
        <w:t xml:space="preserve">pence (gross) per ordinary share out of the available distributable profits of the Company, comprising: </w:t>
      </w:r>
    </w:p>
    <w:p w14:paraId="04EF9480" w14:textId="4429B972" w:rsidR="002A0352" w:rsidRDefault="004A6A1D" w:rsidP="00D04FDD">
      <w:pPr>
        <w:spacing w:after="120"/>
        <w:ind w:left="1020"/>
        <w:jc w:val="both"/>
        <w:rPr>
          <w:rFonts w:ascii="Times New Roman" w:hAnsi="Times New Roman"/>
          <w:sz w:val="24"/>
        </w:rPr>
      </w:pPr>
      <w:bookmarkStart w:id="2" w:name="_Hlk141117080"/>
      <w:r>
        <w:rPr>
          <w:rFonts w:ascii="Times New Roman" w:hAnsi="Times New Roman"/>
          <w:sz w:val="24"/>
        </w:rPr>
        <w:t>(a) an interim dividend of 5</w:t>
      </w:r>
      <w:r w:rsidR="00294CE5">
        <w:rPr>
          <w:rFonts w:ascii="Times New Roman" w:hAnsi="Times New Roman"/>
          <w:sz w:val="24"/>
        </w:rPr>
        <w:t>.</w:t>
      </w:r>
      <w:r w:rsidR="004A6A42">
        <w:rPr>
          <w:rFonts w:ascii="Times New Roman" w:hAnsi="Times New Roman"/>
          <w:sz w:val="24"/>
        </w:rPr>
        <w:t>3</w:t>
      </w:r>
      <w:r>
        <w:rPr>
          <w:rFonts w:ascii="Times New Roman" w:hAnsi="Times New Roman"/>
          <w:sz w:val="24"/>
        </w:rPr>
        <w:t xml:space="preserve"> pence per ordinary share paid on </w:t>
      </w:r>
      <w:r w:rsidR="004A6A42">
        <w:rPr>
          <w:rFonts w:ascii="Times New Roman" w:hAnsi="Times New Roman"/>
          <w:sz w:val="24"/>
        </w:rPr>
        <w:t>13</w:t>
      </w:r>
      <w:r>
        <w:rPr>
          <w:rFonts w:ascii="Times New Roman" w:hAnsi="Times New Roman"/>
          <w:sz w:val="24"/>
        </w:rPr>
        <w:t xml:space="preserve"> December 202</w:t>
      </w:r>
      <w:r w:rsidR="009D1495">
        <w:rPr>
          <w:rFonts w:ascii="Times New Roman" w:hAnsi="Times New Roman"/>
          <w:sz w:val="24"/>
        </w:rPr>
        <w:t>4</w:t>
      </w:r>
      <w:r>
        <w:rPr>
          <w:rFonts w:ascii="Times New Roman" w:hAnsi="Times New Roman"/>
          <w:sz w:val="24"/>
        </w:rPr>
        <w:t xml:space="preserve">; </w:t>
      </w:r>
    </w:p>
    <w:p w14:paraId="76209317" w14:textId="7D2E6864" w:rsidR="002A0352" w:rsidRDefault="004A6A1D" w:rsidP="00D04FDD">
      <w:pPr>
        <w:spacing w:after="120"/>
        <w:ind w:left="1020"/>
        <w:jc w:val="both"/>
        <w:rPr>
          <w:rFonts w:ascii="Times New Roman" w:hAnsi="Times New Roman"/>
          <w:sz w:val="24"/>
        </w:rPr>
      </w:pPr>
      <w:r>
        <w:rPr>
          <w:rFonts w:ascii="Times New Roman" w:hAnsi="Times New Roman"/>
          <w:sz w:val="24"/>
        </w:rPr>
        <w:t xml:space="preserve">(b) an interim dividend of </w:t>
      </w:r>
      <w:r w:rsidR="009D1495">
        <w:rPr>
          <w:rFonts w:ascii="Times New Roman" w:hAnsi="Times New Roman"/>
          <w:sz w:val="24"/>
        </w:rPr>
        <w:t>15</w:t>
      </w:r>
      <w:r>
        <w:rPr>
          <w:rFonts w:ascii="Times New Roman" w:hAnsi="Times New Roman"/>
          <w:sz w:val="24"/>
        </w:rPr>
        <w:t xml:space="preserve"> pence per ordinary share paid on </w:t>
      </w:r>
      <w:r w:rsidR="009D1495">
        <w:rPr>
          <w:rFonts w:ascii="Times New Roman" w:hAnsi="Times New Roman"/>
          <w:sz w:val="24"/>
        </w:rPr>
        <w:t>14</w:t>
      </w:r>
      <w:r>
        <w:rPr>
          <w:rFonts w:ascii="Times New Roman" w:hAnsi="Times New Roman"/>
          <w:sz w:val="24"/>
        </w:rPr>
        <w:t xml:space="preserve"> </w:t>
      </w:r>
      <w:r w:rsidR="00C93D44">
        <w:rPr>
          <w:rFonts w:ascii="Times New Roman" w:hAnsi="Times New Roman"/>
          <w:sz w:val="24"/>
        </w:rPr>
        <w:t>February</w:t>
      </w:r>
      <w:r>
        <w:rPr>
          <w:rFonts w:ascii="Times New Roman" w:hAnsi="Times New Roman"/>
          <w:sz w:val="24"/>
        </w:rPr>
        <w:t xml:space="preserve"> 202</w:t>
      </w:r>
      <w:r w:rsidR="009D1495">
        <w:rPr>
          <w:rFonts w:ascii="Times New Roman" w:hAnsi="Times New Roman"/>
          <w:sz w:val="24"/>
        </w:rPr>
        <w:t>5</w:t>
      </w:r>
      <w:r>
        <w:rPr>
          <w:rFonts w:ascii="Times New Roman" w:hAnsi="Times New Roman"/>
          <w:sz w:val="24"/>
        </w:rPr>
        <w:t>; and</w:t>
      </w:r>
    </w:p>
    <w:p w14:paraId="5AB7DA15" w14:textId="118C659D" w:rsidR="002A0352" w:rsidRDefault="004A6A1D" w:rsidP="00D04FDD">
      <w:pPr>
        <w:spacing w:after="240"/>
        <w:ind w:left="1020"/>
        <w:jc w:val="both"/>
        <w:rPr>
          <w:rFonts w:ascii="Times New Roman" w:hAnsi="Times New Roman"/>
          <w:sz w:val="24"/>
        </w:rPr>
      </w:pPr>
      <w:r>
        <w:rPr>
          <w:rFonts w:ascii="Times New Roman" w:hAnsi="Times New Roman"/>
          <w:sz w:val="24"/>
        </w:rPr>
        <w:lastRenderedPageBreak/>
        <w:t xml:space="preserve">(c) a final dividend of </w:t>
      </w:r>
      <w:r w:rsidR="005E4A01">
        <w:rPr>
          <w:rFonts w:ascii="Times New Roman" w:hAnsi="Times New Roman"/>
          <w:sz w:val="24"/>
        </w:rPr>
        <w:t>9.7</w:t>
      </w:r>
      <w:r>
        <w:rPr>
          <w:rFonts w:ascii="Times New Roman" w:hAnsi="Times New Roman"/>
          <w:sz w:val="24"/>
        </w:rPr>
        <w:t xml:space="preserve"> pence per ordinary share recommended by the Board of Directors on </w:t>
      </w:r>
      <w:r w:rsidR="009D1495">
        <w:rPr>
          <w:rFonts w:ascii="Times New Roman" w:hAnsi="Times New Roman"/>
          <w:sz w:val="24"/>
        </w:rPr>
        <w:t>3</w:t>
      </w:r>
      <w:r w:rsidRPr="00BC74CB">
        <w:rPr>
          <w:rFonts w:ascii="Times New Roman" w:hAnsi="Times New Roman"/>
          <w:sz w:val="24"/>
        </w:rPr>
        <w:t xml:space="preserve"> </w:t>
      </w:r>
      <w:r w:rsidR="00A23921">
        <w:rPr>
          <w:rFonts w:ascii="Times New Roman" w:hAnsi="Times New Roman"/>
          <w:sz w:val="24"/>
        </w:rPr>
        <w:t>June</w:t>
      </w:r>
      <w:r>
        <w:rPr>
          <w:rFonts w:ascii="Times New Roman" w:hAnsi="Times New Roman"/>
          <w:sz w:val="24"/>
        </w:rPr>
        <w:t xml:space="preserve"> 202</w:t>
      </w:r>
      <w:r w:rsidR="009D1495">
        <w:rPr>
          <w:rFonts w:ascii="Times New Roman" w:hAnsi="Times New Roman"/>
          <w:sz w:val="24"/>
        </w:rPr>
        <w:t>5</w:t>
      </w:r>
      <w:r>
        <w:rPr>
          <w:rFonts w:ascii="Times New Roman" w:hAnsi="Times New Roman"/>
          <w:sz w:val="24"/>
        </w:rPr>
        <w:t xml:space="preserve">, to be paid on </w:t>
      </w:r>
      <w:r w:rsidR="009D1495">
        <w:rPr>
          <w:rFonts w:ascii="Times New Roman" w:hAnsi="Times New Roman"/>
          <w:sz w:val="24"/>
        </w:rPr>
        <w:t>1</w:t>
      </w:r>
      <w:r>
        <w:rPr>
          <w:rFonts w:ascii="Times New Roman" w:hAnsi="Times New Roman"/>
          <w:sz w:val="24"/>
        </w:rPr>
        <w:t xml:space="preserve"> August 202</w:t>
      </w:r>
      <w:r w:rsidR="009D1495">
        <w:rPr>
          <w:rFonts w:ascii="Times New Roman" w:hAnsi="Times New Roman"/>
          <w:sz w:val="24"/>
        </w:rPr>
        <w:t>5</w:t>
      </w:r>
      <w:r>
        <w:rPr>
          <w:rFonts w:ascii="Times New Roman" w:hAnsi="Times New Roman"/>
          <w:sz w:val="24"/>
        </w:rPr>
        <w:t xml:space="preserve"> to shareholders of the Company in relation to the number of shares held by them as at the close of business on</w:t>
      </w:r>
      <w:r w:rsidR="007E5B71">
        <w:rPr>
          <w:rFonts w:ascii="Times New Roman" w:hAnsi="Times New Roman"/>
          <w:sz w:val="24"/>
        </w:rPr>
        <w:t xml:space="preserve"> </w:t>
      </w:r>
      <w:r w:rsidR="00294CE5">
        <w:rPr>
          <w:rFonts w:ascii="Times New Roman" w:hAnsi="Times New Roman"/>
          <w:sz w:val="24"/>
        </w:rPr>
        <w:t>2</w:t>
      </w:r>
      <w:r w:rsidR="009D1495">
        <w:rPr>
          <w:rFonts w:ascii="Times New Roman" w:hAnsi="Times New Roman"/>
          <w:sz w:val="24"/>
        </w:rPr>
        <w:t>7</w:t>
      </w:r>
      <w:r>
        <w:rPr>
          <w:rFonts w:ascii="Times New Roman" w:hAnsi="Times New Roman"/>
          <w:sz w:val="24"/>
        </w:rPr>
        <w:t xml:space="preserve"> Ju</w:t>
      </w:r>
      <w:r w:rsidR="007E5B71">
        <w:rPr>
          <w:rFonts w:ascii="Times New Roman" w:hAnsi="Times New Roman"/>
          <w:sz w:val="24"/>
        </w:rPr>
        <w:t>ne</w:t>
      </w:r>
      <w:r>
        <w:rPr>
          <w:rFonts w:ascii="Times New Roman" w:hAnsi="Times New Roman"/>
          <w:sz w:val="24"/>
        </w:rPr>
        <w:t xml:space="preserve"> 202</w:t>
      </w:r>
      <w:r w:rsidR="009D1495">
        <w:rPr>
          <w:rFonts w:ascii="Times New Roman" w:hAnsi="Times New Roman"/>
          <w:sz w:val="24"/>
        </w:rPr>
        <w:t>5</w:t>
      </w:r>
      <w:r>
        <w:rPr>
          <w:rFonts w:ascii="Times New Roman" w:hAnsi="Times New Roman"/>
          <w:sz w:val="24"/>
        </w:rPr>
        <w:t>.</w:t>
      </w:r>
    </w:p>
    <w:bookmarkEnd w:id="2"/>
    <w:p w14:paraId="5A3633DD" w14:textId="6B96DEDC" w:rsidR="002A0352" w:rsidRDefault="004A6A1D" w:rsidP="00156C73">
      <w:pPr>
        <w:spacing w:after="240"/>
        <w:ind w:left="567"/>
        <w:jc w:val="both"/>
        <w:rPr>
          <w:rFonts w:ascii="Times New Roman" w:hAnsi="Times New Roman"/>
          <w:sz w:val="24"/>
          <w:lang w:eastAsia="en-GB"/>
        </w:rPr>
      </w:pPr>
      <w:r>
        <w:rPr>
          <w:rFonts w:ascii="Times New Roman" w:hAnsi="Times New Roman"/>
          <w:sz w:val="24"/>
        </w:rPr>
        <w:t xml:space="preserve">7. </w:t>
      </w:r>
      <w:r>
        <w:rPr>
          <w:rFonts w:ascii="Times New Roman" w:hAnsi="Times New Roman"/>
          <w:sz w:val="24"/>
          <w:lang w:eastAsia="en-GB"/>
        </w:rPr>
        <w:t xml:space="preserve">To approve the Directors’ Remuneration Report </w:t>
      </w:r>
      <w:r w:rsidR="00047124">
        <w:rPr>
          <w:rFonts w:ascii="Times New Roman" w:hAnsi="Times New Roman"/>
          <w:sz w:val="24"/>
          <w:lang w:eastAsia="en-GB"/>
        </w:rPr>
        <w:t xml:space="preserve">as set out on pages </w:t>
      </w:r>
      <w:r w:rsidR="005E4A01">
        <w:rPr>
          <w:rFonts w:ascii="Times New Roman" w:hAnsi="Times New Roman"/>
          <w:sz w:val="24"/>
          <w:lang w:eastAsia="en-GB"/>
        </w:rPr>
        <w:t>77</w:t>
      </w:r>
      <w:r w:rsidR="00047124">
        <w:rPr>
          <w:rFonts w:ascii="Times New Roman" w:hAnsi="Times New Roman"/>
          <w:sz w:val="24"/>
          <w:lang w:eastAsia="en-GB"/>
        </w:rPr>
        <w:t xml:space="preserve"> to </w:t>
      </w:r>
      <w:r w:rsidR="005E4A01">
        <w:rPr>
          <w:rFonts w:ascii="Times New Roman" w:hAnsi="Times New Roman"/>
          <w:sz w:val="24"/>
          <w:lang w:eastAsia="en-GB"/>
        </w:rPr>
        <w:t>92</w:t>
      </w:r>
      <w:r w:rsidR="00047124">
        <w:rPr>
          <w:rFonts w:ascii="Times New Roman" w:hAnsi="Times New Roman"/>
          <w:sz w:val="24"/>
          <w:lang w:eastAsia="en-GB"/>
        </w:rPr>
        <w:t xml:space="preserve"> </w:t>
      </w:r>
      <w:r>
        <w:rPr>
          <w:rFonts w:ascii="Times New Roman" w:hAnsi="Times New Roman"/>
          <w:sz w:val="24"/>
          <w:lang w:eastAsia="en-GB"/>
        </w:rPr>
        <w:t>of the Company’s Annual Report and Accounts for the financial year ended 31 March 202</w:t>
      </w:r>
      <w:r w:rsidR="009D1495">
        <w:rPr>
          <w:rFonts w:ascii="Times New Roman" w:hAnsi="Times New Roman"/>
          <w:sz w:val="24"/>
          <w:lang w:eastAsia="en-GB"/>
        </w:rPr>
        <w:t>5</w:t>
      </w:r>
      <w:r>
        <w:rPr>
          <w:rFonts w:ascii="Times New Roman" w:hAnsi="Times New Roman"/>
          <w:sz w:val="24"/>
          <w:lang w:eastAsia="en-GB"/>
        </w:rPr>
        <w:t xml:space="preserve"> (excluding the Directors’ Remuneration Policy set out on pages </w:t>
      </w:r>
      <w:r w:rsidR="005E4A01">
        <w:rPr>
          <w:rFonts w:ascii="Times New Roman" w:hAnsi="Times New Roman"/>
          <w:sz w:val="24"/>
          <w:lang w:eastAsia="en-GB"/>
        </w:rPr>
        <w:t>90</w:t>
      </w:r>
      <w:r>
        <w:rPr>
          <w:rFonts w:ascii="Times New Roman" w:hAnsi="Times New Roman"/>
          <w:sz w:val="24"/>
          <w:lang w:eastAsia="en-GB"/>
        </w:rPr>
        <w:t xml:space="preserve"> </w:t>
      </w:r>
      <w:r w:rsidR="000E7E4A">
        <w:rPr>
          <w:rFonts w:ascii="Times New Roman" w:hAnsi="Times New Roman"/>
          <w:sz w:val="24"/>
          <w:lang w:eastAsia="en-GB"/>
        </w:rPr>
        <w:t>to</w:t>
      </w:r>
      <w:r w:rsidRPr="00BC74CB">
        <w:rPr>
          <w:rFonts w:ascii="Times New Roman" w:hAnsi="Times New Roman"/>
          <w:sz w:val="24"/>
          <w:lang w:eastAsia="en-GB"/>
        </w:rPr>
        <w:t xml:space="preserve"> </w:t>
      </w:r>
      <w:r w:rsidR="005E4A01">
        <w:rPr>
          <w:rFonts w:ascii="Times New Roman" w:hAnsi="Times New Roman"/>
          <w:sz w:val="24"/>
          <w:lang w:eastAsia="en-GB"/>
        </w:rPr>
        <w:t>92</w:t>
      </w:r>
      <w:r>
        <w:rPr>
          <w:rFonts w:ascii="Times New Roman" w:hAnsi="Times New Roman"/>
          <w:sz w:val="24"/>
          <w:lang w:eastAsia="en-GB"/>
        </w:rPr>
        <w:t>).</w:t>
      </w:r>
    </w:p>
    <w:p w14:paraId="6C709620" w14:textId="650CC4A8" w:rsidR="002A0352" w:rsidRDefault="009D1495" w:rsidP="00156C73">
      <w:pPr>
        <w:ind w:left="567"/>
        <w:jc w:val="both"/>
        <w:rPr>
          <w:rFonts w:ascii="Times New Roman" w:hAnsi="Times New Roman"/>
          <w:sz w:val="24"/>
          <w:lang w:eastAsia="en-GB"/>
        </w:rPr>
      </w:pPr>
      <w:r>
        <w:rPr>
          <w:rFonts w:ascii="Times New Roman" w:hAnsi="Times New Roman"/>
          <w:sz w:val="24"/>
          <w:lang w:eastAsia="en-GB"/>
        </w:rPr>
        <w:t>8</w:t>
      </w:r>
      <w:r w:rsidR="00294CE5">
        <w:rPr>
          <w:rFonts w:ascii="Times New Roman" w:hAnsi="Times New Roman"/>
          <w:sz w:val="24"/>
          <w:lang w:eastAsia="en-GB"/>
        </w:rPr>
        <w:t xml:space="preserve">. </w:t>
      </w:r>
      <w:bookmarkStart w:id="3" w:name="_Hlk203400650"/>
      <w:r w:rsidR="004A6A1D">
        <w:rPr>
          <w:rFonts w:ascii="Times New Roman" w:hAnsi="Times New Roman"/>
          <w:sz w:val="24"/>
          <w:lang w:eastAsia="en-GB"/>
        </w:rPr>
        <w:t>To grant full discharge to each of the Directors of the Company</w:t>
      </w:r>
      <w:r w:rsidR="00395DA3">
        <w:rPr>
          <w:rFonts w:ascii="Times New Roman" w:hAnsi="Times New Roman"/>
          <w:sz w:val="24"/>
          <w:lang w:eastAsia="en-GB"/>
        </w:rPr>
        <w:t xml:space="preserve"> (including the Director</w:t>
      </w:r>
      <w:r w:rsidR="0010240C">
        <w:rPr>
          <w:rFonts w:ascii="Times New Roman" w:hAnsi="Times New Roman"/>
          <w:sz w:val="24"/>
          <w:lang w:eastAsia="en-GB"/>
        </w:rPr>
        <w:t>s</w:t>
      </w:r>
      <w:r w:rsidR="00395DA3">
        <w:rPr>
          <w:rFonts w:ascii="Times New Roman" w:hAnsi="Times New Roman"/>
          <w:sz w:val="24"/>
          <w:lang w:eastAsia="en-GB"/>
        </w:rPr>
        <w:t xml:space="preserve"> who retired during the financial year</w:t>
      </w:r>
      <w:r w:rsidR="00707CC6">
        <w:rPr>
          <w:rFonts w:ascii="Times New Roman" w:hAnsi="Times New Roman"/>
          <w:sz w:val="24"/>
          <w:lang w:eastAsia="en-GB"/>
        </w:rPr>
        <w:t xml:space="preserve"> but prior to the financial year-end</w:t>
      </w:r>
      <w:r w:rsidR="00395DA3">
        <w:rPr>
          <w:rFonts w:ascii="Times New Roman" w:hAnsi="Times New Roman"/>
          <w:sz w:val="24"/>
          <w:lang w:eastAsia="en-GB"/>
        </w:rPr>
        <w:t>)</w:t>
      </w:r>
      <w:r w:rsidR="00B125C3" w:rsidRPr="00B125C3">
        <w:rPr>
          <w:rFonts w:ascii="Times New Roman" w:hAnsi="Times New Roman"/>
          <w:sz w:val="24"/>
          <w:lang w:eastAsia="en-GB"/>
        </w:rPr>
        <w:t xml:space="preserve"> </w:t>
      </w:r>
      <w:r w:rsidR="004A6A1D">
        <w:rPr>
          <w:rFonts w:ascii="Times New Roman" w:hAnsi="Times New Roman"/>
          <w:sz w:val="24"/>
          <w:lang w:eastAsia="en-GB"/>
        </w:rPr>
        <w:t>for the performance of their mandate during the financial year ended 31 March 202</w:t>
      </w:r>
      <w:r w:rsidR="00707CC6">
        <w:rPr>
          <w:rFonts w:ascii="Times New Roman" w:hAnsi="Times New Roman"/>
          <w:sz w:val="24"/>
          <w:lang w:eastAsia="en-GB"/>
        </w:rPr>
        <w:t>5</w:t>
      </w:r>
      <w:r w:rsidR="004A6A1D">
        <w:rPr>
          <w:rFonts w:ascii="Times New Roman" w:hAnsi="Times New Roman"/>
          <w:sz w:val="24"/>
          <w:lang w:eastAsia="en-GB"/>
        </w:rPr>
        <w:t xml:space="preserve">. </w:t>
      </w:r>
    </w:p>
    <w:bookmarkEnd w:id="3"/>
    <w:p w14:paraId="57370324" w14:textId="105FAEBA" w:rsidR="00707CC6" w:rsidRDefault="00477E3C" w:rsidP="00707CC6">
      <w:pPr>
        <w:ind w:left="567"/>
        <w:jc w:val="both"/>
        <w:rPr>
          <w:rFonts w:ascii="Times New Roman" w:hAnsi="Times New Roman"/>
          <w:sz w:val="24"/>
        </w:rPr>
      </w:pPr>
      <w:r>
        <w:rPr>
          <w:rFonts w:ascii="Times New Roman" w:hAnsi="Times New Roman"/>
          <w:sz w:val="24"/>
          <w:lang w:eastAsia="en-GB"/>
        </w:rPr>
        <w:t>9</w:t>
      </w:r>
      <w:r w:rsidR="00707CC6">
        <w:rPr>
          <w:rFonts w:ascii="Times New Roman" w:hAnsi="Times New Roman"/>
          <w:sz w:val="24"/>
          <w:lang w:eastAsia="en-GB"/>
        </w:rPr>
        <w:t xml:space="preserve">. </w:t>
      </w:r>
      <w:bookmarkStart w:id="4" w:name="_Hlk203400883"/>
      <w:r w:rsidR="00707CC6">
        <w:rPr>
          <w:rFonts w:ascii="Times New Roman" w:hAnsi="Times New Roman"/>
          <w:sz w:val="24"/>
          <w:lang w:eastAsia="en-GB"/>
        </w:rPr>
        <w:t>To re-elect Tiffany Hall as a Director of the Company until the Annual General Meeting resolving on th</w:t>
      </w:r>
      <w:r w:rsidR="00707CC6" w:rsidRPr="00BC74CB">
        <w:rPr>
          <w:rFonts w:ascii="Times New Roman" w:hAnsi="Times New Roman"/>
          <w:sz w:val="24"/>
          <w:lang w:eastAsia="en-GB"/>
        </w:rPr>
        <w:t>e annual accounts</w:t>
      </w:r>
      <w:r w:rsidR="00707CC6">
        <w:rPr>
          <w:rFonts w:ascii="Times New Roman" w:hAnsi="Times New Roman"/>
          <w:sz w:val="24"/>
          <w:lang w:eastAsia="en-GB"/>
        </w:rPr>
        <w:t xml:space="preserve"> for the financial year end</w:t>
      </w:r>
      <w:r w:rsidR="00707CC6" w:rsidRPr="00BC74CB">
        <w:rPr>
          <w:rFonts w:ascii="Times New Roman" w:hAnsi="Times New Roman"/>
          <w:sz w:val="24"/>
          <w:lang w:eastAsia="en-GB"/>
        </w:rPr>
        <w:t>ing</w:t>
      </w:r>
      <w:r w:rsidR="00707CC6">
        <w:rPr>
          <w:rFonts w:ascii="Times New Roman" w:hAnsi="Times New Roman"/>
          <w:sz w:val="24"/>
          <w:lang w:eastAsia="en-GB"/>
        </w:rPr>
        <w:t xml:space="preserve"> 31 March 2026</w:t>
      </w:r>
      <w:r w:rsidR="00707CC6">
        <w:rPr>
          <w:rFonts w:ascii="Times New Roman" w:hAnsi="Times New Roman"/>
          <w:sz w:val="24"/>
        </w:rPr>
        <w:t>.</w:t>
      </w:r>
    </w:p>
    <w:bookmarkEnd w:id="4"/>
    <w:p w14:paraId="22ECFA07" w14:textId="4A5269D6" w:rsidR="00477E3C" w:rsidRDefault="00477E3C" w:rsidP="00477E3C">
      <w:pPr>
        <w:spacing w:after="240"/>
        <w:ind w:left="567"/>
        <w:jc w:val="both"/>
        <w:rPr>
          <w:rFonts w:ascii="Times New Roman" w:hAnsi="Times New Roman"/>
          <w:sz w:val="24"/>
          <w:lang w:eastAsia="en-GB"/>
        </w:rPr>
      </w:pPr>
      <w:r>
        <w:rPr>
          <w:rFonts w:ascii="Times New Roman" w:hAnsi="Times New Roman"/>
          <w:sz w:val="24"/>
          <w:lang w:eastAsia="en-GB"/>
        </w:rPr>
        <w:t xml:space="preserve">10. </w:t>
      </w:r>
      <w:bookmarkStart w:id="5" w:name="_Hlk203400924"/>
      <w:r>
        <w:rPr>
          <w:rFonts w:ascii="Times New Roman" w:hAnsi="Times New Roman"/>
          <w:sz w:val="24"/>
          <w:lang w:eastAsia="en-GB"/>
        </w:rPr>
        <w:t xml:space="preserve">To ratify the appointment made by the Board </w:t>
      </w:r>
      <w:r w:rsidRPr="00286DAB">
        <w:rPr>
          <w:rFonts w:ascii="Times New Roman" w:hAnsi="Times New Roman"/>
          <w:sz w:val="24"/>
          <w:lang w:eastAsia="en-GB"/>
        </w:rPr>
        <w:t xml:space="preserve">of Directors </w:t>
      </w:r>
      <w:r>
        <w:rPr>
          <w:rFonts w:ascii="Times New Roman" w:hAnsi="Times New Roman"/>
          <w:sz w:val="24"/>
          <w:lang w:eastAsia="en-GB"/>
        </w:rPr>
        <w:t>on 14 May 2025 with effect as from 16 June 202</w:t>
      </w:r>
      <w:r w:rsidR="003B7447">
        <w:rPr>
          <w:rFonts w:ascii="Times New Roman" w:hAnsi="Times New Roman"/>
          <w:sz w:val="24"/>
          <w:lang w:eastAsia="en-GB"/>
        </w:rPr>
        <w:t>5</w:t>
      </w:r>
      <w:r>
        <w:rPr>
          <w:rFonts w:ascii="Times New Roman" w:hAnsi="Times New Roman"/>
          <w:sz w:val="24"/>
          <w:lang w:eastAsia="en-GB"/>
        </w:rPr>
        <w:t>, of Gerardus (“</w:t>
      </w:r>
      <w:proofErr w:type="spellStart"/>
      <w:r>
        <w:rPr>
          <w:rFonts w:ascii="Times New Roman" w:hAnsi="Times New Roman"/>
          <w:sz w:val="24"/>
          <w:lang w:eastAsia="en-GB"/>
        </w:rPr>
        <w:t>Tjeerd</w:t>
      </w:r>
      <w:proofErr w:type="spellEnd"/>
      <w:r>
        <w:rPr>
          <w:rFonts w:ascii="Times New Roman" w:hAnsi="Times New Roman"/>
          <w:sz w:val="24"/>
          <w:lang w:eastAsia="en-GB"/>
        </w:rPr>
        <w:t xml:space="preserve">”) </w:t>
      </w:r>
      <w:proofErr w:type="spellStart"/>
      <w:r>
        <w:rPr>
          <w:rFonts w:ascii="Times New Roman" w:hAnsi="Times New Roman"/>
          <w:sz w:val="24"/>
          <w:lang w:eastAsia="en-GB"/>
        </w:rPr>
        <w:t>Jeg</w:t>
      </w:r>
      <w:r w:rsidR="001E2129">
        <w:rPr>
          <w:rFonts w:ascii="Times New Roman" w:hAnsi="Times New Roman"/>
          <w:sz w:val="24"/>
          <w:lang w:eastAsia="en-GB"/>
        </w:rPr>
        <w:t>e</w:t>
      </w:r>
      <w:r>
        <w:rPr>
          <w:rFonts w:ascii="Times New Roman" w:hAnsi="Times New Roman"/>
          <w:sz w:val="24"/>
          <w:lang w:eastAsia="en-GB"/>
        </w:rPr>
        <w:t>n</w:t>
      </w:r>
      <w:proofErr w:type="spellEnd"/>
      <w:r>
        <w:rPr>
          <w:rFonts w:ascii="Times New Roman" w:hAnsi="Times New Roman"/>
          <w:sz w:val="24"/>
          <w:lang w:eastAsia="en-GB"/>
        </w:rPr>
        <w:t xml:space="preserve"> as a Director of the Company and to re-elect </w:t>
      </w:r>
      <w:proofErr w:type="spellStart"/>
      <w:r>
        <w:rPr>
          <w:rFonts w:ascii="Times New Roman" w:hAnsi="Times New Roman"/>
          <w:sz w:val="24"/>
          <w:lang w:eastAsia="en-GB"/>
        </w:rPr>
        <w:t>Tjeerd</w:t>
      </w:r>
      <w:proofErr w:type="spellEnd"/>
      <w:r>
        <w:rPr>
          <w:rFonts w:ascii="Times New Roman" w:hAnsi="Times New Roman"/>
          <w:sz w:val="24"/>
          <w:lang w:eastAsia="en-GB"/>
        </w:rPr>
        <w:t xml:space="preserve"> </w:t>
      </w:r>
      <w:proofErr w:type="spellStart"/>
      <w:r>
        <w:rPr>
          <w:rFonts w:ascii="Times New Roman" w:hAnsi="Times New Roman"/>
          <w:sz w:val="24"/>
          <w:lang w:eastAsia="en-GB"/>
        </w:rPr>
        <w:t>Jegen</w:t>
      </w:r>
      <w:proofErr w:type="spellEnd"/>
      <w:r>
        <w:rPr>
          <w:rFonts w:ascii="Times New Roman" w:hAnsi="Times New Roman"/>
          <w:sz w:val="24"/>
          <w:lang w:eastAsia="en-GB"/>
        </w:rPr>
        <w:t xml:space="preserve"> </w:t>
      </w:r>
      <w:r w:rsidRPr="00286DAB">
        <w:rPr>
          <w:rFonts w:ascii="Times New Roman" w:hAnsi="Times New Roman"/>
          <w:sz w:val="24"/>
          <w:lang w:eastAsia="en-GB"/>
        </w:rPr>
        <w:t xml:space="preserve">as a Director of the Company </w:t>
      </w:r>
      <w:r>
        <w:rPr>
          <w:rFonts w:ascii="Times New Roman" w:hAnsi="Times New Roman"/>
          <w:sz w:val="24"/>
          <w:lang w:eastAsia="en-GB"/>
        </w:rPr>
        <w:t xml:space="preserve">until the </w:t>
      </w:r>
      <w:r w:rsidRPr="00286DAB">
        <w:rPr>
          <w:rFonts w:ascii="Times New Roman" w:hAnsi="Times New Roman"/>
          <w:sz w:val="24"/>
          <w:lang w:eastAsia="en-GB"/>
        </w:rPr>
        <w:t xml:space="preserve">Annual General Meeting resolving on the </w:t>
      </w:r>
      <w:r>
        <w:rPr>
          <w:rFonts w:ascii="Times New Roman" w:hAnsi="Times New Roman"/>
          <w:sz w:val="24"/>
          <w:lang w:eastAsia="en-GB"/>
        </w:rPr>
        <w:t>annual accounts for the financial year ended</w:t>
      </w:r>
      <w:r w:rsidRPr="00286DAB">
        <w:rPr>
          <w:rFonts w:ascii="Times New Roman" w:hAnsi="Times New Roman"/>
          <w:sz w:val="24"/>
          <w:lang w:eastAsia="en-GB"/>
        </w:rPr>
        <w:t xml:space="preserve"> 31 March</w:t>
      </w:r>
      <w:r>
        <w:rPr>
          <w:rFonts w:ascii="Times New Roman" w:hAnsi="Times New Roman"/>
          <w:sz w:val="24"/>
          <w:lang w:eastAsia="en-GB"/>
        </w:rPr>
        <w:t xml:space="preserve"> 2026.</w:t>
      </w:r>
      <w:bookmarkEnd w:id="5"/>
    </w:p>
    <w:p w14:paraId="563CB928" w14:textId="28C8A884" w:rsidR="002A0352" w:rsidRDefault="00707CC6" w:rsidP="00707CC6">
      <w:pPr>
        <w:spacing w:after="240"/>
        <w:ind w:left="567"/>
        <w:jc w:val="both"/>
        <w:rPr>
          <w:rFonts w:ascii="Times New Roman" w:hAnsi="Times New Roman"/>
          <w:sz w:val="24"/>
          <w:lang w:eastAsia="en-GB"/>
        </w:rPr>
      </w:pPr>
      <w:r>
        <w:rPr>
          <w:rFonts w:ascii="Times New Roman" w:hAnsi="Times New Roman"/>
          <w:sz w:val="24"/>
          <w:lang w:eastAsia="en-GB"/>
        </w:rPr>
        <w:t xml:space="preserve">11. </w:t>
      </w:r>
      <w:bookmarkStart w:id="6" w:name="_Hlk203409648"/>
      <w:r w:rsidR="00324F60">
        <w:rPr>
          <w:rFonts w:ascii="Times New Roman" w:hAnsi="Times New Roman"/>
          <w:sz w:val="24"/>
          <w:lang w:eastAsia="en-GB"/>
        </w:rPr>
        <w:t xml:space="preserve">To re-elect </w:t>
      </w:r>
      <w:bookmarkStart w:id="7" w:name="_Hlk141117973"/>
      <w:r w:rsidR="00324F60">
        <w:rPr>
          <w:rFonts w:ascii="Times New Roman" w:hAnsi="Times New Roman"/>
          <w:sz w:val="24"/>
          <w:lang w:eastAsia="en-GB"/>
        </w:rPr>
        <w:t xml:space="preserve">Michael Schmidt </w:t>
      </w:r>
      <w:bookmarkEnd w:id="7"/>
      <w:r w:rsidR="00324F60">
        <w:rPr>
          <w:rFonts w:ascii="Times New Roman" w:hAnsi="Times New Roman"/>
          <w:sz w:val="24"/>
          <w:lang w:eastAsia="en-GB"/>
        </w:rPr>
        <w:t>as a Director of the Company until the Annual General Meeting resolving on the annual accounts for the financial year ending 31 March 202</w:t>
      </w:r>
      <w:r>
        <w:rPr>
          <w:rFonts w:ascii="Times New Roman" w:hAnsi="Times New Roman"/>
          <w:sz w:val="24"/>
          <w:lang w:eastAsia="en-GB"/>
        </w:rPr>
        <w:t>6</w:t>
      </w:r>
      <w:r w:rsidR="00324F60">
        <w:rPr>
          <w:rFonts w:ascii="Times New Roman" w:hAnsi="Times New Roman"/>
          <w:sz w:val="24"/>
          <w:lang w:eastAsia="en-GB"/>
        </w:rPr>
        <w:t>.</w:t>
      </w:r>
      <w:bookmarkEnd w:id="6"/>
    </w:p>
    <w:p w14:paraId="72981D54" w14:textId="352D61DB" w:rsidR="002A0352" w:rsidRDefault="004A6A1D" w:rsidP="00156C73">
      <w:pPr>
        <w:ind w:left="567"/>
        <w:jc w:val="both"/>
        <w:rPr>
          <w:rFonts w:ascii="Times New Roman" w:hAnsi="Times New Roman"/>
          <w:sz w:val="24"/>
        </w:rPr>
      </w:pPr>
      <w:r>
        <w:rPr>
          <w:rFonts w:ascii="Times New Roman" w:hAnsi="Times New Roman"/>
          <w:sz w:val="24"/>
        </w:rPr>
        <w:t>1</w:t>
      </w:r>
      <w:r w:rsidR="00707CC6">
        <w:rPr>
          <w:rFonts w:ascii="Times New Roman" w:hAnsi="Times New Roman"/>
          <w:sz w:val="24"/>
        </w:rPr>
        <w:t>2</w:t>
      </w:r>
      <w:r w:rsidR="007E5B71">
        <w:rPr>
          <w:rFonts w:ascii="Times New Roman" w:hAnsi="Times New Roman"/>
          <w:sz w:val="24"/>
        </w:rPr>
        <w:t xml:space="preserve">. </w:t>
      </w:r>
      <w:r w:rsidR="00324F60">
        <w:rPr>
          <w:rFonts w:ascii="Times New Roman" w:hAnsi="Times New Roman"/>
          <w:sz w:val="24"/>
        </w:rPr>
        <w:t xml:space="preserve">To re-elect Oliver Tant </w:t>
      </w:r>
      <w:r w:rsidR="00324F60">
        <w:rPr>
          <w:rFonts w:ascii="Times New Roman" w:hAnsi="Times New Roman"/>
          <w:sz w:val="24"/>
          <w:lang w:eastAsia="en-GB"/>
        </w:rPr>
        <w:t xml:space="preserve">as a Director </w:t>
      </w:r>
      <w:r w:rsidR="005D07AF">
        <w:rPr>
          <w:rFonts w:ascii="Times New Roman" w:hAnsi="Times New Roman"/>
          <w:sz w:val="24"/>
          <w:lang w:eastAsia="en-GB"/>
        </w:rPr>
        <w:t xml:space="preserve">of the Company </w:t>
      </w:r>
      <w:r w:rsidR="00324F60">
        <w:rPr>
          <w:rFonts w:ascii="Times New Roman" w:hAnsi="Times New Roman"/>
          <w:sz w:val="24"/>
          <w:lang w:eastAsia="en-GB"/>
        </w:rPr>
        <w:t>until the Annual General Meeting resolving on the annual accounts for the financial year end</w:t>
      </w:r>
      <w:r w:rsidR="00324F60" w:rsidRPr="00BC74CB">
        <w:rPr>
          <w:rFonts w:ascii="Times New Roman" w:hAnsi="Times New Roman"/>
          <w:sz w:val="24"/>
          <w:lang w:eastAsia="en-GB"/>
        </w:rPr>
        <w:t>ing</w:t>
      </w:r>
      <w:r w:rsidR="00324F60">
        <w:rPr>
          <w:rFonts w:ascii="Times New Roman" w:hAnsi="Times New Roman"/>
          <w:sz w:val="24"/>
          <w:lang w:eastAsia="en-GB"/>
        </w:rPr>
        <w:t xml:space="preserve"> 31 March 202</w:t>
      </w:r>
      <w:r w:rsidR="00707CC6">
        <w:rPr>
          <w:rFonts w:ascii="Times New Roman" w:hAnsi="Times New Roman"/>
          <w:sz w:val="24"/>
          <w:lang w:eastAsia="en-GB"/>
        </w:rPr>
        <w:t>6</w:t>
      </w:r>
      <w:r w:rsidR="00324F60">
        <w:rPr>
          <w:rFonts w:ascii="Times New Roman" w:hAnsi="Times New Roman"/>
          <w:sz w:val="24"/>
        </w:rPr>
        <w:t>.</w:t>
      </w:r>
    </w:p>
    <w:p w14:paraId="6B3CDA21" w14:textId="5FF940A6" w:rsidR="00707CC6" w:rsidRDefault="00707CC6" w:rsidP="00156C73">
      <w:pPr>
        <w:ind w:left="567"/>
        <w:jc w:val="both"/>
        <w:rPr>
          <w:rFonts w:ascii="Times New Roman" w:hAnsi="Times New Roman"/>
          <w:sz w:val="24"/>
        </w:rPr>
      </w:pPr>
      <w:r>
        <w:rPr>
          <w:rFonts w:ascii="Times New Roman" w:hAnsi="Times New Roman"/>
          <w:sz w:val="24"/>
        </w:rPr>
        <w:t xml:space="preserve">13. To re-elect Paula MacKenzie </w:t>
      </w:r>
      <w:r>
        <w:rPr>
          <w:rFonts w:ascii="Times New Roman" w:hAnsi="Times New Roman"/>
          <w:sz w:val="24"/>
          <w:lang w:eastAsia="en-GB"/>
        </w:rPr>
        <w:t>as a Director of the Company until the Annual General Meeting resolving on the annual accounts for the financial year end</w:t>
      </w:r>
      <w:r w:rsidRPr="00BC74CB">
        <w:rPr>
          <w:rFonts w:ascii="Times New Roman" w:hAnsi="Times New Roman"/>
          <w:sz w:val="24"/>
          <w:lang w:eastAsia="en-GB"/>
        </w:rPr>
        <w:t>ing</w:t>
      </w:r>
      <w:r>
        <w:rPr>
          <w:rFonts w:ascii="Times New Roman" w:hAnsi="Times New Roman"/>
          <w:sz w:val="24"/>
          <w:lang w:eastAsia="en-GB"/>
        </w:rPr>
        <w:t xml:space="preserve"> 31 March 2026.</w:t>
      </w:r>
    </w:p>
    <w:p w14:paraId="69B37D64" w14:textId="1241E3DB" w:rsidR="005D07AF" w:rsidRDefault="005D07AF" w:rsidP="00156C73">
      <w:pPr>
        <w:ind w:left="567"/>
        <w:jc w:val="both"/>
        <w:rPr>
          <w:rFonts w:ascii="Times New Roman" w:hAnsi="Times New Roman"/>
          <w:sz w:val="24"/>
        </w:rPr>
      </w:pPr>
      <w:r>
        <w:rPr>
          <w:rFonts w:ascii="Times New Roman" w:hAnsi="Times New Roman"/>
          <w:sz w:val="24"/>
        </w:rPr>
        <w:t>1</w:t>
      </w:r>
      <w:r w:rsidR="00707CC6">
        <w:rPr>
          <w:rFonts w:ascii="Times New Roman" w:hAnsi="Times New Roman"/>
          <w:sz w:val="24"/>
        </w:rPr>
        <w:t>4</w:t>
      </w:r>
      <w:r>
        <w:rPr>
          <w:rFonts w:ascii="Times New Roman" w:hAnsi="Times New Roman"/>
          <w:sz w:val="24"/>
        </w:rPr>
        <w:t xml:space="preserve">. To re-elect Hounaïda Lasry as a Director </w:t>
      </w:r>
      <w:r>
        <w:rPr>
          <w:rFonts w:ascii="Times New Roman" w:hAnsi="Times New Roman"/>
          <w:sz w:val="24"/>
          <w:lang w:eastAsia="en-GB"/>
        </w:rPr>
        <w:t>of the Company</w:t>
      </w:r>
      <w:r>
        <w:rPr>
          <w:rFonts w:ascii="Times New Roman" w:hAnsi="Times New Roman"/>
          <w:sz w:val="24"/>
        </w:rPr>
        <w:t xml:space="preserve"> until the Annual General Meeting resolving on the annual accounts for the financial year ending 31 March 202</w:t>
      </w:r>
      <w:r w:rsidR="00707CC6">
        <w:rPr>
          <w:rFonts w:ascii="Times New Roman" w:hAnsi="Times New Roman"/>
          <w:sz w:val="24"/>
        </w:rPr>
        <w:t>6</w:t>
      </w:r>
      <w:r>
        <w:rPr>
          <w:rFonts w:ascii="Times New Roman" w:hAnsi="Times New Roman"/>
          <w:sz w:val="24"/>
        </w:rPr>
        <w:t>.</w:t>
      </w:r>
    </w:p>
    <w:p w14:paraId="06B9BAA9" w14:textId="320C1B4C" w:rsidR="005D07AF" w:rsidRDefault="005D07AF" w:rsidP="00156C73">
      <w:pPr>
        <w:ind w:left="567"/>
        <w:jc w:val="both"/>
        <w:rPr>
          <w:rFonts w:ascii="Times New Roman" w:hAnsi="Times New Roman"/>
          <w:sz w:val="24"/>
        </w:rPr>
      </w:pPr>
      <w:r>
        <w:rPr>
          <w:rFonts w:ascii="Times New Roman" w:hAnsi="Times New Roman"/>
          <w:sz w:val="24"/>
        </w:rPr>
        <w:t>1</w:t>
      </w:r>
      <w:r w:rsidR="00707CC6">
        <w:rPr>
          <w:rFonts w:ascii="Times New Roman" w:hAnsi="Times New Roman"/>
          <w:sz w:val="24"/>
        </w:rPr>
        <w:t>5</w:t>
      </w:r>
      <w:r>
        <w:rPr>
          <w:rFonts w:ascii="Times New Roman" w:hAnsi="Times New Roman"/>
          <w:sz w:val="24"/>
        </w:rPr>
        <w:t>. To re-elect Nadia Shouraboura</w:t>
      </w:r>
      <w:r w:rsidR="000C0164">
        <w:rPr>
          <w:rFonts w:ascii="Times New Roman" w:hAnsi="Times New Roman"/>
          <w:sz w:val="24"/>
        </w:rPr>
        <w:t xml:space="preserve"> as a Director</w:t>
      </w:r>
      <w:r>
        <w:rPr>
          <w:rFonts w:ascii="Times New Roman" w:hAnsi="Times New Roman"/>
          <w:sz w:val="24"/>
        </w:rPr>
        <w:t xml:space="preserve"> </w:t>
      </w:r>
      <w:r w:rsidR="00707CC6">
        <w:rPr>
          <w:rFonts w:ascii="Times New Roman" w:hAnsi="Times New Roman"/>
          <w:sz w:val="24"/>
          <w:lang w:eastAsia="en-GB"/>
        </w:rPr>
        <w:t xml:space="preserve">of the Company </w:t>
      </w:r>
      <w:r>
        <w:rPr>
          <w:rFonts w:ascii="Times New Roman" w:hAnsi="Times New Roman"/>
          <w:sz w:val="24"/>
        </w:rPr>
        <w:t>until the Annual General Meeting resolving on the annual accounts for the financial year ending 31 March 202</w:t>
      </w:r>
      <w:r w:rsidR="00707CC6">
        <w:rPr>
          <w:rFonts w:ascii="Times New Roman" w:hAnsi="Times New Roman"/>
          <w:sz w:val="24"/>
        </w:rPr>
        <w:t>6</w:t>
      </w:r>
      <w:r>
        <w:rPr>
          <w:rFonts w:ascii="Times New Roman" w:hAnsi="Times New Roman"/>
          <w:sz w:val="24"/>
        </w:rPr>
        <w:t>.</w:t>
      </w:r>
    </w:p>
    <w:p w14:paraId="144907C0" w14:textId="4FF89D93" w:rsidR="00707CC6" w:rsidRDefault="00707CC6" w:rsidP="00707CC6">
      <w:pPr>
        <w:ind w:left="567"/>
        <w:jc w:val="both"/>
        <w:rPr>
          <w:rFonts w:ascii="Times New Roman" w:hAnsi="Times New Roman"/>
          <w:sz w:val="24"/>
        </w:rPr>
      </w:pPr>
      <w:r>
        <w:rPr>
          <w:rFonts w:ascii="Times New Roman" w:hAnsi="Times New Roman"/>
          <w:sz w:val="24"/>
        </w:rPr>
        <w:t>16.</w:t>
      </w:r>
      <w:r w:rsidRPr="00707CC6">
        <w:rPr>
          <w:rFonts w:ascii="Times New Roman" w:hAnsi="Times New Roman"/>
          <w:sz w:val="24"/>
        </w:rPr>
        <w:t xml:space="preserve"> </w:t>
      </w:r>
      <w:r>
        <w:rPr>
          <w:rFonts w:ascii="Times New Roman" w:hAnsi="Times New Roman"/>
          <w:sz w:val="24"/>
        </w:rPr>
        <w:t xml:space="preserve">To re-elect Euan Sutherland as a Director </w:t>
      </w:r>
      <w:r>
        <w:rPr>
          <w:rFonts w:ascii="Times New Roman" w:hAnsi="Times New Roman"/>
          <w:sz w:val="24"/>
          <w:lang w:eastAsia="en-GB"/>
        </w:rPr>
        <w:t>of the Company</w:t>
      </w:r>
      <w:r>
        <w:rPr>
          <w:rFonts w:ascii="Times New Roman" w:hAnsi="Times New Roman"/>
          <w:sz w:val="24"/>
        </w:rPr>
        <w:t xml:space="preserve"> until the Annual General Meeting resolving on the annual accounts for the financial year ending 31 March 2026.</w:t>
      </w:r>
    </w:p>
    <w:p w14:paraId="50AA0BA3" w14:textId="53E22271" w:rsidR="002A0352" w:rsidRDefault="003A3019" w:rsidP="00156C73">
      <w:pPr>
        <w:ind w:left="567"/>
        <w:jc w:val="both"/>
        <w:rPr>
          <w:rFonts w:ascii="Times New Roman" w:hAnsi="Times New Roman"/>
          <w:sz w:val="24"/>
        </w:rPr>
      </w:pPr>
      <w:r>
        <w:rPr>
          <w:rFonts w:ascii="Times New Roman" w:hAnsi="Times New Roman"/>
          <w:sz w:val="24"/>
        </w:rPr>
        <w:t>1</w:t>
      </w:r>
      <w:r w:rsidR="00707CC6">
        <w:rPr>
          <w:rFonts w:ascii="Times New Roman" w:hAnsi="Times New Roman"/>
          <w:sz w:val="24"/>
        </w:rPr>
        <w:t>7</w:t>
      </w:r>
      <w:r w:rsidR="004A6A1D">
        <w:rPr>
          <w:rFonts w:ascii="Times New Roman" w:hAnsi="Times New Roman"/>
          <w:sz w:val="24"/>
        </w:rPr>
        <w:t xml:space="preserve">. </w:t>
      </w:r>
      <w:r w:rsidR="004A6A1D">
        <w:rPr>
          <w:rFonts w:ascii="Times New Roman" w:hAnsi="Times New Roman"/>
          <w:sz w:val="24"/>
          <w:lang w:eastAsia="en-GB"/>
        </w:rPr>
        <w:t>To grant discharge to the Independent Auditor (“</w:t>
      </w:r>
      <w:proofErr w:type="spellStart"/>
      <w:r w:rsidR="004A6A1D">
        <w:rPr>
          <w:rFonts w:ascii="Times New Roman" w:hAnsi="Times New Roman"/>
          <w:i/>
          <w:sz w:val="24"/>
          <w:lang w:eastAsia="en-GB"/>
        </w:rPr>
        <w:t>réviseur</w:t>
      </w:r>
      <w:proofErr w:type="spellEnd"/>
      <w:r w:rsidR="004A6A1D">
        <w:rPr>
          <w:rFonts w:ascii="Times New Roman" w:hAnsi="Times New Roman"/>
          <w:i/>
          <w:sz w:val="24"/>
          <w:lang w:eastAsia="en-GB"/>
        </w:rPr>
        <w:t xml:space="preserve"> </w:t>
      </w:r>
      <w:proofErr w:type="spellStart"/>
      <w:r w:rsidR="004A6A1D">
        <w:rPr>
          <w:rFonts w:ascii="Times New Roman" w:hAnsi="Times New Roman"/>
          <w:i/>
          <w:sz w:val="24"/>
          <w:lang w:eastAsia="en-GB"/>
        </w:rPr>
        <w:t>d’entreprises</w:t>
      </w:r>
      <w:proofErr w:type="spellEnd"/>
      <w:r w:rsidR="004A6A1D">
        <w:rPr>
          <w:rFonts w:ascii="Times New Roman" w:hAnsi="Times New Roman"/>
          <w:i/>
          <w:sz w:val="24"/>
          <w:lang w:eastAsia="en-GB"/>
        </w:rPr>
        <w:t xml:space="preserve"> </w:t>
      </w:r>
      <w:proofErr w:type="spellStart"/>
      <w:r w:rsidR="004A6A1D">
        <w:rPr>
          <w:rFonts w:ascii="Times New Roman" w:hAnsi="Times New Roman"/>
          <w:i/>
          <w:sz w:val="24"/>
          <w:lang w:eastAsia="en-GB"/>
        </w:rPr>
        <w:t>agréé</w:t>
      </w:r>
      <w:proofErr w:type="spellEnd"/>
      <w:r w:rsidR="004A6A1D">
        <w:rPr>
          <w:rFonts w:ascii="Times New Roman" w:hAnsi="Times New Roman"/>
          <w:sz w:val="24"/>
          <w:lang w:eastAsia="en-GB"/>
        </w:rPr>
        <w:t>”)</w:t>
      </w:r>
      <w:r w:rsidR="00047124">
        <w:rPr>
          <w:rFonts w:ascii="Times New Roman" w:hAnsi="Times New Roman"/>
          <w:sz w:val="24"/>
          <w:lang w:eastAsia="en-GB"/>
        </w:rPr>
        <w:t>,</w:t>
      </w:r>
      <w:r w:rsidR="004A6A1D">
        <w:rPr>
          <w:rFonts w:ascii="Times New Roman" w:hAnsi="Times New Roman"/>
          <w:sz w:val="24"/>
          <w:lang w:eastAsia="en-GB"/>
        </w:rPr>
        <w:t xml:space="preserve"> KPMG </w:t>
      </w:r>
      <w:r>
        <w:rPr>
          <w:rFonts w:ascii="Times New Roman" w:hAnsi="Times New Roman"/>
          <w:sz w:val="24"/>
          <w:lang w:eastAsia="en-GB"/>
        </w:rPr>
        <w:t>Audit</w:t>
      </w:r>
      <w:r w:rsidR="00056088">
        <w:rPr>
          <w:rFonts w:ascii="Times New Roman" w:hAnsi="Times New Roman"/>
          <w:sz w:val="24"/>
          <w:lang w:eastAsia="en-GB"/>
        </w:rPr>
        <w:t xml:space="preserve"> </w:t>
      </w:r>
      <w:proofErr w:type="spellStart"/>
      <w:r w:rsidR="005D07AF">
        <w:rPr>
          <w:rFonts w:ascii="Times New Roman" w:hAnsi="Times New Roman"/>
          <w:sz w:val="24"/>
          <w:lang w:eastAsia="en-GB"/>
        </w:rPr>
        <w:t>S.à</w:t>
      </w:r>
      <w:proofErr w:type="spellEnd"/>
      <w:r w:rsidR="005D07AF">
        <w:rPr>
          <w:rFonts w:ascii="Times New Roman" w:hAnsi="Times New Roman"/>
          <w:sz w:val="24"/>
          <w:lang w:eastAsia="en-GB"/>
        </w:rPr>
        <w:t xml:space="preserve"> </w:t>
      </w:r>
      <w:proofErr w:type="spellStart"/>
      <w:r w:rsidR="005D07AF">
        <w:rPr>
          <w:rFonts w:ascii="Times New Roman" w:hAnsi="Times New Roman"/>
          <w:sz w:val="24"/>
          <w:lang w:eastAsia="en-GB"/>
        </w:rPr>
        <w:t>r.l</w:t>
      </w:r>
      <w:proofErr w:type="spellEnd"/>
      <w:r w:rsidR="005D07AF">
        <w:rPr>
          <w:rFonts w:ascii="Times New Roman" w:hAnsi="Times New Roman"/>
          <w:sz w:val="24"/>
          <w:lang w:eastAsia="en-GB"/>
        </w:rPr>
        <w:t>.</w:t>
      </w:r>
      <w:r w:rsidR="004A6A1D" w:rsidRPr="00BC74CB">
        <w:rPr>
          <w:rFonts w:ascii="Times New Roman" w:hAnsi="Times New Roman"/>
          <w:sz w:val="24"/>
          <w:lang w:eastAsia="en-GB"/>
        </w:rPr>
        <w:t xml:space="preserve">, </w:t>
      </w:r>
      <w:r w:rsidR="004A6A1D">
        <w:rPr>
          <w:rFonts w:ascii="Times New Roman" w:hAnsi="Times New Roman"/>
          <w:sz w:val="24"/>
          <w:lang w:eastAsia="en-GB"/>
        </w:rPr>
        <w:t xml:space="preserve">for </w:t>
      </w:r>
      <w:r w:rsidR="004A6A1D" w:rsidRPr="00BC74CB">
        <w:rPr>
          <w:rFonts w:ascii="Times New Roman" w:hAnsi="Times New Roman"/>
          <w:sz w:val="24"/>
          <w:lang w:eastAsia="en-GB"/>
        </w:rPr>
        <w:t xml:space="preserve">the performance of their duties during the </w:t>
      </w:r>
      <w:r w:rsidR="004A6A1D">
        <w:rPr>
          <w:rFonts w:ascii="Times New Roman" w:hAnsi="Times New Roman"/>
          <w:sz w:val="24"/>
          <w:lang w:eastAsia="en-GB"/>
        </w:rPr>
        <w:t>financial year ended 31 March 202</w:t>
      </w:r>
      <w:r w:rsidR="00707CC6">
        <w:rPr>
          <w:rFonts w:ascii="Times New Roman" w:hAnsi="Times New Roman"/>
          <w:sz w:val="24"/>
          <w:lang w:eastAsia="en-GB"/>
        </w:rPr>
        <w:t>5</w:t>
      </w:r>
      <w:r w:rsidR="004A6A1D">
        <w:rPr>
          <w:rFonts w:ascii="Times New Roman" w:hAnsi="Times New Roman"/>
          <w:sz w:val="24"/>
        </w:rPr>
        <w:t>.</w:t>
      </w:r>
    </w:p>
    <w:p w14:paraId="268D4A40" w14:textId="5BB5CFC5" w:rsidR="002A0352" w:rsidRDefault="003A3019" w:rsidP="00156C73">
      <w:pPr>
        <w:ind w:left="567"/>
        <w:jc w:val="both"/>
        <w:rPr>
          <w:rFonts w:ascii="Times New Roman" w:hAnsi="Times New Roman"/>
          <w:sz w:val="24"/>
        </w:rPr>
      </w:pPr>
      <w:r>
        <w:rPr>
          <w:rFonts w:ascii="Times New Roman" w:hAnsi="Times New Roman"/>
          <w:sz w:val="24"/>
        </w:rPr>
        <w:t>1</w:t>
      </w:r>
      <w:r w:rsidR="00707CC6">
        <w:rPr>
          <w:rFonts w:ascii="Times New Roman" w:hAnsi="Times New Roman"/>
          <w:sz w:val="24"/>
        </w:rPr>
        <w:t>8</w:t>
      </w:r>
      <w:r w:rsidR="004A6A1D">
        <w:rPr>
          <w:rFonts w:ascii="Times New Roman" w:hAnsi="Times New Roman"/>
          <w:sz w:val="24"/>
        </w:rPr>
        <w:t xml:space="preserve">. </w:t>
      </w:r>
      <w:r w:rsidR="004A6A1D">
        <w:rPr>
          <w:rFonts w:ascii="Times New Roman" w:hAnsi="Times New Roman"/>
          <w:sz w:val="24"/>
          <w:lang w:eastAsia="en-GB"/>
        </w:rPr>
        <w:t xml:space="preserve">To re-appoint KPMG </w:t>
      </w:r>
      <w:r w:rsidR="00047124">
        <w:rPr>
          <w:rFonts w:ascii="Times New Roman" w:hAnsi="Times New Roman"/>
          <w:sz w:val="24"/>
          <w:lang w:eastAsia="en-GB"/>
        </w:rPr>
        <w:t>Audit</w:t>
      </w:r>
      <w:r w:rsidR="005D07AF">
        <w:rPr>
          <w:rFonts w:ascii="Times New Roman" w:hAnsi="Times New Roman"/>
          <w:sz w:val="24"/>
          <w:lang w:eastAsia="en-GB"/>
        </w:rPr>
        <w:t xml:space="preserve"> </w:t>
      </w:r>
      <w:proofErr w:type="spellStart"/>
      <w:r w:rsidR="005D07AF">
        <w:rPr>
          <w:rFonts w:ascii="Times New Roman" w:hAnsi="Times New Roman"/>
          <w:sz w:val="24"/>
          <w:lang w:eastAsia="en-GB"/>
        </w:rPr>
        <w:t>S.à</w:t>
      </w:r>
      <w:proofErr w:type="spellEnd"/>
      <w:r w:rsidR="005D07AF">
        <w:rPr>
          <w:rFonts w:ascii="Times New Roman" w:hAnsi="Times New Roman"/>
          <w:sz w:val="24"/>
          <w:lang w:eastAsia="en-GB"/>
        </w:rPr>
        <w:t xml:space="preserve"> </w:t>
      </w:r>
      <w:proofErr w:type="spellStart"/>
      <w:r w:rsidR="005D07AF">
        <w:rPr>
          <w:rFonts w:ascii="Times New Roman" w:hAnsi="Times New Roman"/>
          <w:sz w:val="24"/>
          <w:lang w:eastAsia="en-GB"/>
        </w:rPr>
        <w:t>r.l</w:t>
      </w:r>
      <w:proofErr w:type="spellEnd"/>
      <w:r w:rsidR="005D07AF">
        <w:rPr>
          <w:rFonts w:ascii="Times New Roman" w:hAnsi="Times New Roman"/>
          <w:sz w:val="24"/>
          <w:lang w:eastAsia="en-GB"/>
        </w:rPr>
        <w:t xml:space="preserve">. </w:t>
      </w:r>
      <w:r w:rsidR="004A6A1D">
        <w:rPr>
          <w:rFonts w:ascii="Times New Roman" w:hAnsi="Times New Roman"/>
          <w:sz w:val="24"/>
          <w:lang w:eastAsia="en-GB"/>
        </w:rPr>
        <w:t>as Independent Auditor (“</w:t>
      </w:r>
      <w:proofErr w:type="spellStart"/>
      <w:r w:rsidR="004A6A1D">
        <w:rPr>
          <w:rFonts w:ascii="Times New Roman" w:hAnsi="Times New Roman"/>
          <w:i/>
          <w:sz w:val="24"/>
          <w:lang w:eastAsia="en-GB"/>
        </w:rPr>
        <w:t>réviseur</w:t>
      </w:r>
      <w:proofErr w:type="spellEnd"/>
      <w:r w:rsidR="004A6A1D">
        <w:rPr>
          <w:rFonts w:ascii="Times New Roman" w:hAnsi="Times New Roman"/>
          <w:sz w:val="24"/>
          <w:lang w:eastAsia="en-GB"/>
        </w:rPr>
        <w:t xml:space="preserve"> </w:t>
      </w:r>
      <w:proofErr w:type="spellStart"/>
      <w:r w:rsidR="004A6A1D">
        <w:rPr>
          <w:rFonts w:ascii="Times New Roman" w:hAnsi="Times New Roman"/>
          <w:i/>
          <w:sz w:val="24"/>
          <w:lang w:eastAsia="en-GB"/>
        </w:rPr>
        <w:t>d’entreprises</w:t>
      </w:r>
      <w:proofErr w:type="spellEnd"/>
      <w:r w:rsidR="004A6A1D">
        <w:rPr>
          <w:rFonts w:ascii="Times New Roman" w:hAnsi="Times New Roman"/>
          <w:i/>
          <w:sz w:val="24"/>
          <w:lang w:eastAsia="en-GB"/>
        </w:rPr>
        <w:t xml:space="preserve"> </w:t>
      </w:r>
      <w:proofErr w:type="spellStart"/>
      <w:r w:rsidR="004A6A1D">
        <w:rPr>
          <w:rFonts w:ascii="Times New Roman" w:hAnsi="Times New Roman"/>
          <w:i/>
          <w:sz w:val="24"/>
          <w:lang w:eastAsia="en-GB"/>
        </w:rPr>
        <w:t>agréé</w:t>
      </w:r>
      <w:proofErr w:type="spellEnd"/>
      <w:r w:rsidR="004A6A1D">
        <w:rPr>
          <w:rFonts w:ascii="Times New Roman" w:hAnsi="Times New Roman"/>
          <w:sz w:val="24"/>
          <w:lang w:eastAsia="en-GB"/>
        </w:rPr>
        <w:t>”) of the Company, to hold office until the conclusion of the Annual General Meeting resolving on the annual accounts for the financial year end</w:t>
      </w:r>
      <w:r w:rsidR="00D654C6">
        <w:rPr>
          <w:rFonts w:ascii="Times New Roman" w:hAnsi="Times New Roman"/>
          <w:sz w:val="24"/>
          <w:lang w:eastAsia="en-GB"/>
        </w:rPr>
        <w:t>ing</w:t>
      </w:r>
      <w:r w:rsidR="004A6A1D">
        <w:rPr>
          <w:rFonts w:ascii="Times New Roman" w:hAnsi="Times New Roman"/>
          <w:sz w:val="24"/>
          <w:lang w:eastAsia="en-GB"/>
        </w:rPr>
        <w:t xml:space="preserve"> 31 March 20</w:t>
      </w:r>
      <w:r w:rsidR="00707CC6">
        <w:rPr>
          <w:rFonts w:ascii="Times New Roman" w:hAnsi="Times New Roman"/>
          <w:sz w:val="24"/>
          <w:lang w:eastAsia="en-GB"/>
        </w:rPr>
        <w:t>26</w:t>
      </w:r>
      <w:r w:rsidR="004A6A1D">
        <w:rPr>
          <w:rFonts w:ascii="Times New Roman" w:hAnsi="Times New Roman"/>
          <w:sz w:val="24"/>
          <w:lang w:eastAsia="en-GB"/>
        </w:rPr>
        <w:t>.</w:t>
      </w:r>
    </w:p>
    <w:p w14:paraId="15665185" w14:textId="1627AFD9" w:rsidR="002A0352" w:rsidRDefault="00707CC6" w:rsidP="00156C73">
      <w:pPr>
        <w:ind w:left="567"/>
        <w:jc w:val="both"/>
        <w:rPr>
          <w:rFonts w:ascii="Times New Roman" w:hAnsi="Times New Roman"/>
          <w:sz w:val="24"/>
        </w:rPr>
      </w:pPr>
      <w:r>
        <w:rPr>
          <w:rFonts w:ascii="Times New Roman" w:hAnsi="Times New Roman"/>
          <w:sz w:val="24"/>
        </w:rPr>
        <w:t>19</w:t>
      </w:r>
      <w:r w:rsidR="004A6A1D">
        <w:rPr>
          <w:rFonts w:ascii="Times New Roman" w:hAnsi="Times New Roman"/>
          <w:sz w:val="24"/>
        </w:rPr>
        <w:t xml:space="preserve">. To authorise the Directors to determine the remuneration of KPMG </w:t>
      </w:r>
      <w:r w:rsidR="00047124">
        <w:rPr>
          <w:rFonts w:ascii="Times New Roman" w:hAnsi="Times New Roman"/>
          <w:sz w:val="24"/>
        </w:rPr>
        <w:t>Audit</w:t>
      </w:r>
      <w:r w:rsidR="004A6A1D">
        <w:rPr>
          <w:rFonts w:ascii="Times New Roman" w:hAnsi="Times New Roman"/>
          <w:sz w:val="24"/>
        </w:rPr>
        <w:t xml:space="preserve"> </w:t>
      </w:r>
      <w:proofErr w:type="spellStart"/>
      <w:r w:rsidR="00047124">
        <w:rPr>
          <w:rFonts w:ascii="Times New Roman" w:hAnsi="Times New Roman"/>
          <w:sz w:val="24"/>
          <w:lang w:eastAsia="en-GB"/>
        </w:rPr>
        <w:t>S.à</w:t>
      </w:r>
      <w:proofErr w:type="spellEnd"/>
      <w:r w:rsidR="00047124">
        <w:rPr>
          <w:rFonts w:ascii="Times New Roman" w:hAnsi="Times New Roman"/>
          <w:sz w:val="24"/>
          <w:lang w:eastAsia="en-GB"/>
        </w:rPr>
        <w:t xml:space="preserve"> </w:t>
      </w:r>
      <w:proofErr w:type="spellStart"/>
      <w:r w:rsidR="00047124">
        <w:rPr>
          <w:rFonts w:ascii="Times New Roman" w:hAnsi="Times New Roman"/>
          <w:sz w:val="24"/>
          <w:lang w:eastAsia="en-GB"/>
        </w:rPr>
        <w:t>r.l</w:t>
      </w:r>
      <w:proofErr w:type="spellEnd"/>
      <w:r w:rsidR="00047124">
        <w:rPr>
          <w:rFonts w:ascii="Times New Roman" w:hAnsi="Times New Roman"/>
          <w:sz w:val="24"/>
          <w:lang w:eastAsia="en-GB"/>
        </w:rPr>
        <w:t xml:space="preserve">. </w:t>
      </w:r>
      <w:r w:rsidR="004A6A1D">
        <w:rPr>
          <w:rFonts w:ascii="Times New Roman" w:hAnsi="Times New Roman"/>
          <w:sz w:val="24"/>
        </w:rPr>
        <w:t>as the Independent Auditor (“</w:t>
      </w:r>
      <w:proofErr w:type="spellStart"/>
      <w:r w:rsidR="004A6A1D">
        <w:rPr>
          <w:rFonts w:ascii="Times New Roman" w:hAnsi="Times New Roman"/>
          <w:i/>
          <w:sz w:val="24"/>
        </w:rPr>
        <w:t>réviseur</w:t>
      </w:r>
      <w:proofErr w:type="spellEnd"/>
      <w:r w:rsidR="004A6A1D">
        <w:rPr>
          <w:rFonts w:ascii="Times New Roman" w:hAnsi="Times New Roman"/>
          <w:i/>
          <w:sz w:val="24"/>
        </w:rPr>
        <w:t xml:space="preserve"> </w:t>
      </w:r>
      <w:proofErr w:type="spellStart"/>
      <w:r w:rsidR="004A6A1D">
        <w:rPr>
          <w:rFonts w:ascii="Times New Roman" w:hAnsi="Times New Roman"/>
          <w:i/>
          <w:sz w:val="24"/>
        </w:rPr>
        <w:t>d’entreprises</w:t>
      </w:r>
      <w:proofErr w:type="spellEnd"/>
      <w:r w:rsidR="004A6A1D">
        <w:rPr>
          <w:rFonts w:ascii="Times New Roman" w:hAnsi="Times New Roman"/>
          <w:i/>
          <w:sz w:val="24"/>
          <w:lang w:eastAsia="en-GB"/>
        </w:rPr>
        <w:t xml:space="preserve"> </w:t>
      </w:r>
      <w:proofErr w:type="spellStart"/>
      <w:r w:rsidR="004A6A1D">
        <w:rPr>
          <w:rFonts w:ascii="Times New Roman" w:hAnsi="Times New Roman"/>
          <w:i/>
          <w:sz w:val="24"/>
          <w:lang w:eastAsia="en-GB"/>
        </w:rPr>
        <w:t>agréé</w:t>
      </w:r>
      <w:proofErr w:type="spellEnd"/>
      <w:r w:rsidR="004A6A1D">
        <w:rPr>
          <w:rFonts w:ascii="Times New Roman" w:hAnsi="Times New Roman"/>
          <w:sz w:val="24"/>
        </w:rPr>
        <w:t>”)</w:t>
      </w:r>
      <w:r w:rsidR="00047124">
        <w:rPr>
          <w:rFonts w:ascii="Times New Roman" w:hAnsi="Times New Roman"/>
          <w:sz w:val="24"/>
        </w:rPr>
        <w:t xml:space="preserve"> of the Company</w:t>
      </w:r>
      <w:r w:rsidR="004A6A1D">
        <w:rPr>
          <w:rFonts w:ascii="Times New Roman" w:hAnsi="Times New Roman"/>
          <w:sz w:val="24"/>
        </w:rPr>
        <w:t xml:space="preserve">, subject to resolution </w:t>
      </w:r>
      <w:r w:rsidR="00047124">
        <w:rPr>
          <w:rFonts w:ascii="Times New Roman" w:hAnsi="Times New Roman"/>
          <w:sz w:val="24"/>
        </w:rPr>
        <w:t>1</w:t>
      </w:r>
      <w:r>
        <w:rPr>
          <w:rFonts w:ascii="Times New Roman" w:hAnsi="Times New Roman"/>
          <w:sz w:val="24"/>
        </w:rPr>
        <w:t>8</w:t>
      </w:r>
      <w:r w:rsidR="00FE080A">
        <w:rPr>
          <w:rFonts w:ascii="Times New Roman" w:hAnsi="Times New Roman"/>
          <w:sz w:val="24"/>
        </w:rPr>
        <w:t xml:space="preserve"> </w:t>
      </w:r>
      <w:r w:rsidR="004A6A1D">
        <w:rPr>
          <w:rFonts w:ascii="Times New Roman" w:hAnsi="Times New Roman"/>
          <w:sz w:val="24"/>
        </w:rPr>
        <w:t>being passed.</w:t>
      </w:r>
    </w:p>
    <w:p w14:paraId="11520DBF" w14:textId="74119D48" w:rsidR="002A0352" w:rsidRDefault="005D07AF" w:rsidP="00156C73">
      <w:pPr>
        <w:autoSpaceDE w:val="0"/>
        <w:autoSpaceDN w:val="0"/>
        <w:adjustRightInd w:val="0"/>
        <w:spacing w:after="120"/>
        <w:ind w:left="567"/>
        <w:jc w:val="both"/>
        <w:rPr>
          <w:rFonts w:ascii="Times New Roman" w:hAnsi="Times New Roman"/>
          <w:sz w:val="24"/>
          <w:lang w:eastAsia="en-GB"/>
        </w:rPr>
      </w:pPr>
      <w:r>
        <w:rPr>
          <w:rFonts w:ascii="Times New Roman" w:hAnsi="Times New Roman"/>
          <w:sz w:val="24"/>
        </w:rPr>
        <w:t>2</w:t>
      </w:r>
      <w:r w:rsidR="00707CC6">
        <w:rPr>
          <w:rFonts w:ascii="Times New Roman" w:hAnsi="Times New Roman"/>
          <w:sz w:val="24"/>
        </w:rPr>
        <w:t>0</w:t>
      </w:r>
      <w:r w:rsidR="004A6A1D">
        <w:rPr>
          <w:rFonts w:ascii="Times New Roman" w:hAnsi="Times New Roman"/>
          <w:sz w:val="24"/>
        </w:rPr>
        <w:t xml:space="preserve">. </w:t>
      </w:r>
      <w:bookmarkStart w:id="8" w:name="_Hlk203412479"/>
      <w:r w:rsidR="004A6A1D">
        <w:rPr>
          <w:rFonts w:ascii="Times New Roman" w:hAnsi="Times New Roman"/>
          <w:sz w:val="24"/>
          <w:lang w:eastAsia="en-GB"/>
        </w:rPr>
        <w:t xml:space="preserve">To resolve that the Company be and is hereby generally authorised to make market purchases of its ordinary shares of 10 pence each on the London Stock Exchange, in conformity with the conditions set out under article 430-15 of the Luxembourg Law of 10 August 1915 on commercial companies </w:t>
      </w:r>
      <w:r w:rsidR="004A6A1D" w:rsidRPr="00BC74CB">
        <w:rPr>
          <w:rFonts w:ascii="Times New Roman" w:hAnsi="Times New Roman"/>
          <w:sz w:val="24"/>
          <w:lang w:eastAsia="en-GB"/>
        </w:rPr>
        <w:t>(</w:t>
      </w:r>
      <w:r w:rsidR="004A6A1D">
        <w:rPr>
          <w:rFonts w:ascii="Times New Roman" w:hAnsi="Times New Roman"/>
          <w:sz w:val="24"/>
          <w:lang w:eastAsia="en-GB"/>
        </w:rPr>
        <w:t>as amended</w:t>
      </w:r>
      <w:r w:rsidR="004A6A1D" w:rsidRPr="00BC74CB">
        <w:rPr>
          <w:rFonts w:ascii="Times New Roman" w:hAnsi="Times New Roman"/>
          <w:sz w:val="24"/>
          <w:lang w:eastAsia="en-GB"/>
        </w:rPr>
        <w:t>)</w:t>
      </w:r>
      <w:r w:rsidR="004A6A1D">
        <w:rPr>
          <w:rFonts w:ascii="Times New Roman" w:hAnsi="Times New Roman"/>
          <w:sz w:val="24"/>
          <w:lang w:eastAsia="en-GB"/>
        </w:rPr>
        <w:t xml:space="preserve"> and subject to the following conditions:</w:t>
      </w:r>
    </w:p>
    <w:p w14:paraId="13E6153B" w14:textId="73245EC8" w:rsidR="002A0352" w:rsidRDefault="004A6A1D" w:rsidP="00156C73">
      <w:pPr>
        <w:autoSpaceDE w:val="0"/>
        <w:autoSpaceDN w:val="0"/>
        <w:adjustRightInd w:val="0"/>
        <w:spacing w:after="120"/>
        <w:ind w:left="567"/>
        <w:jc w:val="both"/>
        <w:rPr>
          <w:rFonts w:ascii="Times New Roman" w:hAnsi="Times New Roman"/>
          <w:sz w:val="24"/>
          <w:lang w:eastAsia="en-GB"/>
        </w:rPr>
      </w:pPr>
      <w:r>
        <w:rPr>
          <w:rFonts w:ascii="Times New Roman" w:hAnsi="Times New Roman"/>
          <w:sz w:val="24"/>
          <w:lang w:eastAsia="en-GB"/>
        </w:rPr>
        <w:t xml:space="preserve">(a) the maximum aggregate number of ordinary shares which may be purchased is </w:t>
      </w:r>
      <w:bookmarkStart w:id="9" w:name="_Hlk128412643"/>
      <w:r>
        <w:rPr>
          <w:rFonts w:ascii="Times New Roman" w:hAnsi="Times New Roman"/>
          <w:sz w:val="24"/>
          <w:lang w:eastAsia="en-GB"/>
        </w:rPr>
        <w:t>100,</w:t>
      </w:r>
      <w:r w:rsidR="00707CC6">
        <w:rPr>
          <w:rFonts w:ascii="Times New Roman" w:hAnsi="Times New Roman"/>
          <w:sz w:val="24"/>
          <w:lang w:eastAsia="en-GB"/>
        </w:rPr>
        <w:t>382</w:t>
      </w:r>
      <w:r>
        <w:rPr>
          <w:rFonts w:ascii="Times New Roman" w:hAnsi="Times New Roman"/>
          <w:sz w:val="24"/>
          <w:lang w:eastAsia="en-GB"/>
        </w:rPr>
        <w:t>,</w:t>
      </w:r>
      <w:r w:rsidR="00707CC6">
        <w:rPr>
          <w:rFonts w:ascii="Times New Roman" w:hAnsi="Times New Roman"/>
          <w:sz w:val="24"/>
          <w:lang w:eastAsia="en-GB"/>
        </w:rPr>
        <w:t>187</w:t>
      </w:r>
      <w:r>
        <w:rPr>
          <w:rFonts w:ascii="Times New Roman" w:hAnsi="Times New Roman"/>
          <w:sz w:val="24"/>
          <w:lang w:eastAsia="en-GB"/>
        </w:rPr>
        <w:t xml:space="preserve"> (one hundred million </w:t>
      </w:r>
      <w:r w:rsidR="00707CC6">
        <w:rPr>
          <w:rFonts w:ascii="Times New Roman" w:hAnsi="Times New Roman"/>
          <w:sz w:val="24"/>
          <w:lang w:eastAsia="en-GB"/>
        </w:rPr>
        <w:t>three</w:t>
      </w:r>
      <w:r>
        <w:rPr>
          <w:rFonts w:ascii="Times New Roman" w:hAnsi="Times New Roman"/>
          <w:sz w:val="24"/>
          <w:lang w:eastAsia="en-GB"/>
        </w:rPr>
        <w:t xml:space="preserve"> hundred and </w:t>
      </w:r>
      <w:r w:rsidR="00707CC6">
        <w:rPr>
          <w:rFonts w:ascii="Times New Roman" w:hAnsi="Times New Roman"/>
          <w:sz w:val="24"/>
          <w:lang w:eastAsia="en-GB"/>
        </w:rPr>
        <w:t>eighty-two</w:t>
      </w:r>
      <w:r>
        <w:rPr>
          <w:rFonts w:ascii="Times New Roman" w:hAnsi="Times New Roman"/>
          <w:sz w:val="24"/>
          <w:lang w:eastAsia="en-GB"/>
        </w:rPr>
        <w:t xml:space="preserve"> </w:t>
      </w:r>
      <w:r w:rsidR="005D07AF">
        <w:rPr>
          <w:rFonts w:ascii="Times New Roman" w:hAnsi="Times New Roman"/>
          <w:sz w:val="24"/>
          <w:lang w:eastAsia="en-GB"/>
        </w:rPr>
        <w:t xml:space="preserve">thousand </w:t>
      </w:r>
      <w:r w:rsidR="00707CC6">
        <w:rPr>
          <w:rFonts w:ascii="Times New Roman" w:hAnsi="Times New Roman"/>
          <w:sz w:val="24"/>
          <w:lang w:eastAsia="en-GB"/>
        </w:rPr>
        <w:t>one hundred</w:t>
      </w:r>
      <w:r>
        <w:rPr>
          <w:rFonts w:ascii="Times New Roman" w:hAnsi="Times New Roman"/>
          <w:sz w:val="24"/>
          <w:lang w:eastAsia="en-GB"/>
        </w:rPr>
        <w:t xml:space="preserve"> </w:t>
      </w:r>
      <w:r w:rsidR="00DE3018">
        <w:rPr>
          <w:rFonts w:ascii="Times New Roman" w:hAnsi="Times New Roman"/>
          <w:sz w:val="24"/>
          <w:lang w:eastAsia="en-GB"/>
        </w:rPr>
        <w:t>eighty-</w:t>
      </w:r>
      <w:r w:rsidR="00707CC6">
        <w:rPr>
          <w:rFonts w:ascii="Times New Roman" w:hAnsi="Times New Roman"/>
          <w:sz w:val="24"/>
          <w:lang w:eastAsia="en-GB"/>
        </w:rPr>
        <w:t>seven</w:t>
      </w:r>
      <w:r>
        <w:rPr>
          <w:rFonts w:ascii="Times New Roman" w:hAnsi="Times New Roman"/>
          <w:sz w:val="24"/>
          <w:lang w:eastAsia="en-GB"/>
        </w:rPr>
        <w:t xml:space="preserve">) </w:t>
      </w:r>
      <w:bookmarkEnd w:id="9"/>
      <w:r>
        <w:rPr>
          <w:rFonts w:ascii="Times New Roman" w:hAnsi="Times New Roman"/>
          <w:sz w:val="24"/>
          <w:lang w:eastAsia="en-GB"/>
        </w:rPr>
        <w:t xml:space="preserve">ordinary shares </w:t>
      </w:r>
      <w:r>
        <w:rPr>
          <w:rFonts w:ascii="Times New Roman" w:hAnsi="Times New Roman"/>
          <w:sz w:val="24"/>
          <w:lang w:eastAsia="en-GB"/>
        </w:rPr>
        <w:lastRenderedPageBreak/>
        <w:t xml:space="preserve">representing approximately 10% (ten per cent) of the issued ordinary share capital of the Company as at </w:t>
      </w:r>
      <w:r w:rsidR="00C37933">
        <w:rPr>
          <w:rFonts w:ascii="Times New Roman" w:hAnsi="Times New Roman"/>
          <w:sz w:val="24"/>
          <w:lang w:eastAsia="en-GB"/>
        </w:rPr>
        <w:t>18</w:t>
      </w:r>
      <w:r w:rsidR="005D07AF">
        <w:rPr>
          <w:rFonts w:ascii="Times New Roman" w:hAnsi="Times New Roman"/>
          <w:sz w:val="24"/>
          <w:lang w:eastAsia="en-GB"/>
        </w:rPr>
        <w:t xml:space="preserve"> </w:t>
      </w:r>
      <w:r>
        <w:rPr>
          <w:rFonts w:ascii="Times New Roman" w:hAnsi="Times New Roman"/>
          <w:sz w:val="24"/>
          <w:lang w:eastAsia="en-GB"/>
        </w:rPr>
        <w:t>June 202</w:t>
      </w:r>
      <w:r w:rsidR="00707CC6">
        <w:rPr>
          <w:rFonts w:ascii="Times New Roman" w:hAnsi="Times New Roman"/>
          <w:sz w:val="24"/>
          <w:lang w:eastAsia="en-GB"/>
        </w:rPr>
        <w:t>5</w:t>
      </w:r>
      <w:r>
        <w:rPr>
          <w:rFonts w:ascii="Times New Roman" w:hAnsi="Times New Roman"/>
          <w:sz w:val="24"/>
          <w:lang w:eastAsia="en-GB"/>
        </w:rPr>
        <w:t>;</w:t>
      </w:r>
    </w:p>
    <w:p w14:paraId="7CC93ECA" w14:textId="77777777" w:rsidR="002A0352" w:rsidRDefault="004A6A1D" w:rsidP="00156C73">
      <w:pPr>
        <w:autoSpaceDE w:val="0"/>
        <w:autoSpaceDN w:val="0"/>
        <w:adjustRightInd w:val="0"/>
        <w:spacing w:after="120"/>
        <w:ind w:left="567"/>
        <w:jc w:val="both"/>
        <w:rPr>
          <w:rFonts w:ascii="Times New Roman" w:hAnsi="Times New Roman"/>
          <w:sz w:val="24"/>
          <w:lang w:eastAsia="en-GB"/>
        </w:rPr>
      </w:pPr>
      <w:r>
        <w:rPr>
          <w:rFonts w:ascii="Times New Roman" w:hAnsi="Times New Roman"/>
          <w:sz w:val="24"/>
          <w:lang w:eastAsia="en-GB"/>
        </w:rPr>
        <w:t>(b) the minimum price, exclusive of any expenses, which may be paid for each ordinary share is 10 pence;</w:t>
      </w:r>
    </w:p>
    <w:p w14:paraId="4F7ABABA" w14:textId="77777777" w:rsidR="002A0352" w:rsidRDefault="004A6A1D" w:rsidP="00156C73">
      <w:pPr>
        <w:autoSpaceDE w:val="0"/>
        <w:autoSpaceDN w:val="0"/>
        <w:adjustRightInd w:val="0"/>
        <w:spacing w:after="120"/>
        <w:ind w:left="567"/>
        <w:jc w:val="both"/>
        <w:rPr>
          <w:rFonts w:ascii="Times New Roman" w:hAnsi="Times New Roman"/>
          <w:sz w:val="24"/>
          <w:lang w:eastAsia="en-GB"/>
        </w:rPr>
      </w:pPr>
      <w:r>
        <w:rPr>
          <w:rFonts w:ascii="Times New Roman" w:hAnsi="Times New Roman"/>
          <w:sz w:val="24"/>
          <w:lang w:eastAsia="en-GB"/>
        </w:rPr>
        <w:t>(c) the maximum price, exclusive of any expenses, which may be paid for each ordinary share is an amount equal to the higher of:</w:t>
      </w:r>
    </w:p>
    <w:p w14:paraId="325A486A" w14:textId="77777777" w:rsidR="002A0352" w:rsidRDefault="004A6A1D" w:rsidP="00156C73">
      <w:pPr>
        <w:autoSpaceDE w:val="0"/>
        <w:autoSpaceDN w:val="0"/>
        <w:adjustRightInd w:val="0"/>
        <w:spacing w:after="120"/>
        <w:ind w:left="567"/>
        <w:jc w:val="both"/>
        <w:rPr>
          <w:rFonts w:ascii="Times New Roman" w:hAnsi="Times New Roman"/>
          <w:sz w:val="24"/>
          <w:lang w:eastAsia="en-GB"/>
        </w:rPr>
      </w:pPr>
      <w:r>
        <w:rPr>
          <w:rFonts w:ascii="Times New Roman" w:hAnsi="Times New Roman"/>
          <w:sz w:val="24"/>
          <w:lang w:eastAsia="en-GB"/>
        </w:rPr>
        <w:t>(</w:t>
      </w:r>
      <w:proofErr w:type="spellStart"/>
      <w:r>
        <w:rPr>
          <w:rFonts w:ascii="Times New Roman" w:hAnsi="Times New Roman"/>
          <w:sz w:val="24"/>
          <w:lang w:eastAsia="en-GB"/>
        </w:rPr>
        <w:t>i</w:t>
      </w:r>
      <w:proofErr w:type="spellEnd"/>
      <w:r>
        <w:rPr>
          <w:rFonts w:ascii="Times New Roman" w:hAnsi="Times New Roman"/>
          <w:sz w:val="24"/>
          <w:lang w:eastAsia="en-GB"/>
        </w:rPr>
        <w:t>) 105% of the average of the middle market quotations for an ordinary share in the Company, as derived from the London Stock Exchange Daily Official List for the five</w:t>
      </w:r>
      <w:r w:rsidRPr="00BC74CB">
        <w:rPr>
          <w:rFonts w:ascii="Times New Roman" w:hAnsi="Times New Roman"/>
          <w:sz w:val="24"/>
          <w:lang w:eastAsia="en-GB"/>
        </w:rPr>
        <w:t xml:space="preserve"> (5)</w:t>
      </w:r>
      <w:r>
        <w:rPr>
          <w:rFonts w:ascii="Times New Roman" w:hAnsi="Times New Roman"/>
          <w:sz w:val="24"/>
          <w:lang w:eastAsia="en-GB"/>
        </w:rPr>
        <w:t xml:space="preserve"> business days immediately preceding the day on which such ordinary share is contracted to be purchased; and</w:t>
      </w:r>
    </w:p>
    <w:p w14:paraId="4C98D1FD" w14:textId="1BF7DE63" w:rsidR="002A0352" w:rsidRDefault="004A6A1D" w:rsidP="00156C73">
      <w:pPr>
        <w:autoSpaceDE w:val="0"/>
        <w:autoSpaceDN w:val="0"/>
        <w:adjustRightInd w:val="0"/>
        <w:spacing w:after="120"/>
        <w:ind w:left="567"/>
        <w:jc w:val="both"/>
        <w:rPr>
          <w:rFonts w:ascii="Times New Roman" w:hAnsi="Times New Roman"/>
          <w:sz w:val="24"/>
          <w:lang w:eastAsia="en-GB"/>
        </w:rPr>
      </w:pPr>
      <w:r>
        <w:rPr>
          <w:rFonts w:ascii="Times New Roman" w:hAnsi="Times New Roman"/>
          <w:sz w:val="24"/>
          <w:lang w:eastAsia="en-GB"/>
        </w:rPr>
        <w:t>(ii) an amount equal to the higher of the price of the last independent trade of an ordinary share and the highest current independent bid for an ordinary share in the Company as derived from the</w:t>
      </w:r>
      <w:r w:rsidR="00C37933">
        <w:rPr>
          <w:rFonts w:ascii="Times New Roman" w:hAnsi="Times New Roman"/>
          <w:sz w:val="24"/>
          <w:lang w:eastAsia="en-GB"/>
        </w:rPr>
        <w:t xml:space="preserve"> </w:t>
      </w:r>
      <w:r>
        <w:rPr>
          <w:rFonts w:ascii="Times New Roman" w:hAnsi="Times New Roman"/>
          <w:sz w:val="24"/>
          <w:lang w:eastAsia="en-GB"/>
        </w:rPr>
        <w:t>London Stock Exchange Trading System; and</w:t>
      </w:r>
    </w:p>
    <w:p w14:paraId="123B8F32" w14:textId="034C9EE5" w:rsidR="002A0352" w:rsidRDefault="004A6A1D" w:rsidP="00DD6EE9">
      <w:pPr>
        <w:autoSpaceDE w:val="0"/>
        <w:autoSpaceDN w:val="0"/>
        <w:adjustRightInd w:val="0"/>
        <w:ind w:left="567"/>
        <w:jc w:val="both"/>
        <w:rPr>
          <w:rFonts w:ascii="Times New Roman" w:hAnsi="Times New Roman"/>
          <w:sz w:val="24"/>
          <w:lang w:eastAsia="en-GB"/>
        </w:rPr>
      </w:pPr>
      <w:r>
        <w:rPr>
          <w:rFonts w:ascii="Times New Roman" w:hAnsi="Times New Roman"/>
          <w:sz w:val="24"/>
          <w:lang w:eastAsia="en-GB"/>
        </w:rPr>
        <w:t xml:space="preserve">(d) the authority to purchase conferred by this resolution shall expire at the conclusion of the next AGM of the Company or on </w:t>
      </w:r>
      <w:r w:rsidR="00FE080A">
        <w:rPr>
          <w:rFonts w:ascii="Times New Roman" w:hAnsi="Times New Roman"/>
          <w:sz w:val="24"/>
          <w:lang w:eastAsia="en-GB"/>
        </w:rPr>
        <w:t>2</w:t>
      </w:r>
      <w:r w:rsidR="00265AD8">
        <w:rPr>
          <w:rFonts w:ascii="Times New Roman" w:hAnsi="Times New Roman"/>
          <w:sz w:val="24"/>
          <w:lang w:eastAsia="en-GB"/>
        </w:rPr>
        <w:t>1</w:t>
      </w:r>
      <w:r>
        <w:rPr>
          <w:rFonts w:ascii="Times New Roman" w:hAnsi="Times New Roman"/>
          <w:sz w:val="24"/>
          <w:lang w:eastAsia="en-GB"/>
        </w:rPr>
        <w:t xml:space="preserve"> July 202</w:t>
      </w:r>
      <w:r w:rsidR="00265AD8">
        <w:rPr>
          <w:rFonts w:ascii="Times New Roman" w:hAnsi="Times New Roman"/>
          <w:sz w:val="24"/>
          <w:lang w:eastAsia="en-GB"/>
        </w:rPr>
        <w:t>6</w:t>
      </w:r>
      <w:r>
        <w:t xml:space="preserve"> </w:t>
      </w:r>
      <w:r>
        <w:rPr>
          <w:rFonts w:ascii="Times New Roman" w:hAnsi="Times New Roman"/>
          <w:sz w:val="24"/>
          <w:lang w:eastAsia="en-GB"/>
        </w:rPr>
        <w:t xml:space="preserve">whichever is the earlier, save that the Company may before such expiry enter into a contract of purchase under which such purchase may be completed or executed wholly or partly after the expiration of this authority. </w:t>
      </w:r>
    </w:p>
    <w:bookmarkEnd w:id="8"/>
    <w:p w14:paraId="0943F1D6" w14:textId="37C202B4" w:rsidR="00DD6EE9" w:rsidRDefault="00DD6EE9" w:rsidP="00DD6EE9">
      <w:pPr>
        <w:autoSpaceDE w:val="0"/>
        <w:autoSpaceDN w:val="0"/>
        <w:adjustRightInd w:val="0"/>
        <w:ind w:left="567"/>
        <w:jc w:val="both"/>
        <w:rPr>
          <w:rFonts w:ascii="Times New Roman" w:hAnsi="Times New Roman"/>
          <w:sz w:val="24"/>
          <w:lang w:eastAsia="en-GB"/>
        </w:rPr>
      </w:pPr>
      <w:r>
        <w:rPr>
          <w:rFonts w:ascii="Times New Roman" w:hAnsi="Times New Roman"/>
          <w:sz w:val="24"/>
          <w:lang w:eastAsia="en-GB"/>
        </w:rPr>
        <w:t xml:space="preserve">21. </w:t>
      </w:r>
      <w:bookmarkStart w:id="10" w:name="_Hlk203412558"/>
      <w:r>
        <w:rPr>
          <w:rFonts w:ascii="Times New Roman" w:hAnsi="Times New Roman"/>
          <w:sz w:val="24"/>
          <w:lang w:eastAsia="en-GB"/>
        </w:rPr>
        <w:t>To confirm that</w:t>
      </w:r>
      <w:r w:rsidRPr="00BC74CB">
        <w:rPr>
          <w:rFonts w:ascii="Times New Roman" w:hAnsi="Times New Roman"/>
          <w:sz w:val="24"/>
          <w:lang w:eastAsia="en-GB"/>
        </w:rPr>
        <w:t>, as provided for by the Articles of Association of the Company,</w:t>
      </w:r>
      <w:r>
        <w:rPr>
          <w:rFonts w:ascii="Times New Roman" w:hAnsi="Times New Roman"/>
          <w:sz w:val="24"/>
          <w:lang w:eastAsia="en-GB"/>
        </w:rPr>
        <w:t xml:space="preserve"> the Board of Directors shall have </w:t>
      </w:r>
      <w:bookmarkStart w:id="11" w:name="_Hlk203415540"/>
      <w:r>
        <w:rPr>
          <w:rFonts w:ascii="Times New Roman" w:hAnsi="Times New Roman"/>
          <w:sz w:val="24"/>
          <w:lang w:eastAsia="en-GB"/>
        </w:rPr>
        <w:t xml:space="preserve">full power to issue ordinary shares on a non-pre-emptive basis in respect of the issue for cash of shares representing </w:t>
      </w:r>
      <w:r w:rsidRPr="00BC74CB">
        <w:rPr>
          <w:rFonts w:ascii="Times New Roman" w:hAnsi="Times New Roman"/>
          <w:sz w:val="24"/>
          <w:lang w:eastAsia="en-GB"/>
        </w:rPr>
        <w:t xml:space="preserve">up to </w:t>
      </w:r>
      <w:r w:rsidR="000F6076">
        <w:rPr>
          <w:rFonts w:ascii="Times New Roman" w:hAnsi="Times New Roman"/>
          <w:sz w:val="24"/>
          <w:lang w:eastAsia="en-GB"/>
        </w:rPr>
        <w:t>10</w:t>
      </w:r>
      <w:r>
        <w:rPr>
          <w:rFonts w:ascii="Times New Roman" w:hAnsi="Times New Roman"/>
          <w:sz w:val="24"/>
          <w:lang w:eastAsia="en-GB"/>
        </w:rPr>
        <w:t>% (</w:t>
      </w:r>
      <w:r w:rsidR="000F6076">
        <w:rPr>
          <w:rFonts w:ascii="Times New Roman" w:hAnsi="Times New Roman"/>
          <w:sz w:val="24"/>
          <w:lang w:eastAsia="en-GB"/>
        </w:rPr>
        <w:t>ten</w:t>
      </w:r>
      <w:r>
        <w:rPr>
          <w:rFonts w:ascii="Times New Roman" w:hAnsi="Times New Roman"/>
          <w:sz w:val="24"/>
          <w:lang w:eastAsia="en-GB"/>
        </w:rPr>
        <w:t xml:space="preserve"> per cent) of the issued share capital of the Company</w:t>
      </w:r>
      <w:r w:rsidRPr="00BC74CB">
        <w:rPr>
          <w:rFonts w:ascii="Times New Roman" w:hAnsi="Times New Roman"/>
          <w:sz w:val="24"/>
          <w:lang w:eastAsia="en-GB"/>
        </w:rPr>
        <w:t xml:space="preserve"> </w:t>
      </w:r>
      <w:bookmarkEnd w:id="11"/>
      <w:r>
        <w:rPr>
          <w:rFonts w:ascii="Times New Roman" w:hAnsi="Times New Roman"/>
          <w:sz w:val="24"/>
          <w:lang w:eastAsia="en-GB"/>
        </w:rPr>
        <w:t>and to acknowledge the Directors’ intention to comply with the Statement of Principles on Dis-</w:t>
      </w:r>
      <w:r w:rsidRPr="00BC74CB">
        <w:rPr>
          <w:rFonts w:ascii="Times New Roman" w:hAnsi="Times New Roman"/>
          <w:sz w:val="24"/>
          <w:lang w:eastAsia="en-GB"/>
        </w:rPr>
        <w:t>a</w:t>
      </w:r>
      <w:r>
        <w:rPr>
          <w:rFonts w:ascii="Times New Roman" w:hAnsi="Times New Roman"/>
          <w:sz w:val="24"/>
          <w:lang w:eastAsia="en-GB"/>
        </w:rPr>
        <w:t>pplying Pre-Emption Rights most recently published by the Pre-Emption Group, to the extent practical for a Luxembourg company.</w:t>
      </w:r>
      <w:bookmarkEnd w:id="10"/>
    </w:p>
    <w:p w14:paraId="0EA14C60" w14:textId="6D2CB8D1" w:rsidR="00DD6EE9" w:rsidRDefault="00DD6EE9" w:rsidP="00DD6EE9">
      <w:pPr>
        <w:spacing w:after="0"/>
        <w:ind w:left="567"/>
        <w:jc w:val="both"/>
        <w:rPr>
          <w:rFonts w:ascii="Times New Roman" w:hAnsi="Times New Roman"/>
          <w:sz w:val="24"/>
        </w:rPr>
      </w:pPr>
      <w:r>
        <w:rPr>
          <w:rFonts w:ascii="Times New Roman" w:hAnsi="Times New Roman"/>
          <w:sz w:val="24"/>
        </w:rPr>
        <w:t xml:space="preserve">22. </w:t>
      </w:r>
      <w:bookmarkStart w:id="12" w:name="_Hlk203412576"/>
      <w:r>
        <w:rPr>
          <w:rFonts w:ascii="Times New Roman" w:hAnsi="Times New Roman"/>
          <w:sz w:val="24"/>
        </w:rPr>
        <w:t>To confirm that</w:t>
      </w:r>
      <w:r w:rsidRPr="00BC74CB">
        <w:rPr>
          <w:rFonts w:ascii="Times New Roman" w:hAnsi="Times New Roman"/>
          <w:sz w:val="24"/>
        </w:rPr>
        <w:t xml:space="preserve">, </w:t>
      </w:r>
      <w:r w:rsidRPr="00BC74CB">
        <w:rPr>
          <w:rFonts w:ascii="Times New Roman" w:hAnsi="Times New Roman"/>
          <w:sz w:val="24"/>
          <w:lang w:eastAsia="en-GB"/>
        </w:rPr>
        <w:t>as provided for by the Articles of Association of the Company,</w:t>
      </w:r>
      <w:r>
        <w:rPr>
          <w:rFonts w:ascii="Times New Roman" w:hAnsi="Times New Roman"/>
          <w:sz w:val="24"/>
        </w:rPr>
        <w:t xml:space="preserve"> the Directors shall have full power, in addition to any authority granted under resolution 2</w:t>
      </w:r>
      <w:r w:rsidR="000F6076">
        <w:rPr>
          <w:rFonts w:ascii="Times New Roman" w:hAnsi="Times New Roman"/>
          <w:sz w:val="24"/>
        </w:rPr>
        <w:t>1</w:t>
      </w:r>
      <w:r>
        <w:rPr>
          <w:rFonts w:ascii="Times New Roman" w:hAnsi="Times New Roman"/>
          <w:sz w:val="24"/>
        </w:rPr>
        <w:t xml:space="preserve">, to issue ordinary shares on a non-pre-emptive basis in respect of the issue for cash of shares representing </w:t>
      </w:r>
      <w:r w:rsidRPr="00BC74CB">
        <w:rPr>
          <w:rFonts w:ascii="Times New Roman" w:hAnsi="Times New Roman"/>
          <w:sz w:val="24"/>
        </w:rPr>
        <w:t xml:space="preserve">up to </w:t>
      </w:r>
      <w:r>
        <w:rPr>
          <w:rFonts w:ascii="Times New Roman" w:hAnsi="Times New Roman"/>
          <w:sz w:val="24"/>
        </w:rPr>
        <w:t xml:space="preserve">a further </w:t>
      </w:r>
      <w:r w:rsidR="000F6076">
        <w:rPr>
          <w:rFonts w:ascii="Times New Roman" w:hAnsi="Times New Roman"/>
          <w:sz w:val="24"/>
        </w:rPr>
        <w:t>10</w:t>
      </w:r>
      <w:r>
        <w:rPr>
          <w:rFonts w:ascii="Times New Roman" w:hAnsi="Times New Roman"/>
          <w:sz w:val="24"/>
        </w:rPr>
        <w:t>% (</w:t>
      </w:r>
      <w:r w:rsidR="000F6076">
        <w:rPr>
          <w:rFonts w:ascii="Times New Roman" w:hAnsi="Times New Roman"/>
          <w:sz w:val="24"/>
        </w:rPr>
        <w:t>ten</w:t>
      </w:r>
      <w:r>
        <w:rPr>
          <w:rFonts w:ascii="Times New Roman" w:hAnsi="Times New Roman"/>
          <w:sz w:val="24"/>
        </w:rPr>
        <w:t xml:space="preserve"> per cent) of the issued share capital of the Company to be used for the purposes of financing a transaction (or refinancing such a transaction within </w:t>
      </w:r>
      <w:r w:rsidR="000F6076">
        <w:rPr>
          <w:rFonts w:ascii="Times New Roman" w:hAnsi="Times New Roman"/>
          <w:sz w:val="24"/>
        </w:rPr>
        <w:t>twelve</w:t>
      </w:r>
      <w:r>
        <w:rPr>
          <w:rFonts w:ascii="Times New Roman" w:hAnsi="Times New Roman"/>
          <w:sz w:val="24"/>
        </w:rPr>
        <w:t xml:space="preserve"> months of the original transaction) which the Directors determine to be an acquisition or other capital investment of a kind contemplated by the Statement of Principles on Dis-</w:t>
      </w:r>
      <w:r w:rsidRPr="00BC74CB">
        <w:rPr>
          <w:rFonts w:ascii="Times New Roman" w:hAnsi="Times New Roman"/>
          <w:sz w:val="24"/>
        </w:rPr>
        <w:t>a</w:t>
      </w:r>
      <w:r>
        <w:rPr>
          <w:rFonts w:ascii="Times New Roman" w:hAnsi="Times New Roman"/>
          <w:sz w:val="24"/>
        </w:rPr>
        <w:t>pplying Pre-Emption Rights most recently published by the Pre-Emption Group</w:t>
      </w:r>
      <w:bookmarkEnd w:id="12"/>
      <w:r>
        <w:rPr>
          <w:rFonts w:ascii="Times New Roman" w:hAnsi="Times New Roman"/>
          <w:sz w:val="24"/>
        </w:rPr>
        <w:t>.</w:t>
      </w:r>
    </w:p>
    <w:p w14:paraId="11F13474" w14:textId="77777777" w:rsidR="002A0352" w:rsidRDefault="002A0352" w:rsidP="00156C73">
      <w:pPr>
        <w:autoSpaceDE w:val="0"/>
        <w:autoSpaceDN w:val="0"/>
        <w:adjustRightInd w:val="0"/>
        <w:spacing w:after="0"/>
        <w:ind w:left="567"/>
        <w:jc w:val="both"/>
        <w:rPr>
          <w:rFonts w:ascii="Times New Roman" w:hAnsi="Times New Roman"/>
          <w:sz w:val="24"/>
          <w:lang w:eastAsia="en-GB"/>
        </w:rPr>
      </w:pPr>
    </w:p>
    <w:p w14:paraId="0D3E7FEF" w14:textId="77777777" w:rsidR="000F6076" w:rsidRDefault="000F6076" w:rsidP="00156C73">
      <w:pPr>
        <w:autoSpaceDE w:val="0"/>
        <w:autoSpaceDN w:val="0"/>
        <w:adjustRightInd w:val="0"/>
        <w:spacing w:after="0"/>
        <w:ind w:left="567"/>
        <w:jc w:val="both"/>
        <w:rPr>
          <w:rFonts w:ascii="Times New Roman" w:hAnsi="Times New Roman"/>
          <w:sz w:val="24"/>
          <w:lang w:eastAsia="en-GB"/>
        </w:rPr>
      </w:pPr>
    </w:p>
    <w:p w14:paraId="7D1344E3" w14:textId="77777777" w:rsidR="000F6076" w:rsidRDefault="000F6076" w:rsidP="00156C73">
      <w:pPr>
        <w:autoSpaceDE w:val="0"/>
        <w:autoSpaceDN w:val="0"/>
        <w:adjustRightInd w:val="0"/>
        <w:spacing w:after="0"/>
        <w:ind w:left="567"/>
        <w:jc w:val="both"/>
        <w:rPr>
          <w:rFonts w:ascii="Times New Roman" w:hAnsi="Times New Roman"/>
          <w:sz w:val="24"/>
          <w:lang w:eastAsia="en-GB"/>
        </w:rPr>
      </w:pPr>
    </w:p>
    <w:p w14:paraId="6D75FDF6" w14:textId="77777777" w:rsidR="002A0352" w:rsidRDefault="002A0352" w:rsidP="00156C73">
      <w:pPr>
        <w:autoSpaceDE w:val="0"/>
        <w:autoSpaceDN w:val="0"/>
        <w:adjustRightInd w:val="0"/>
        <w:spacing w:after="0"/>
        <w:ind w:left="567"/>
        <w:jc w:val="both"/>
        <w:rPr>
          <w:rFonts w:ascii="Times New Roman" w:hAnsi="Times New Roman"/>
          <w:sz w:val="24"/>
          <w:lang w:eastAsia="en-GB"/>
        </w:rPr>
      </w:pPr>
    </w:p>
    <w:p w14:paraId="629CAC91" w14:textId="77777777" w:rsidR="002A0352" w:rsidRDefault="004A6A1D" w:rsidP="00156C73">
      <w:pPr>
        <w:autoSpaceDE w:val="0"/>
        <w:autoSpaceDN w:val="0"/>
        <w:adjustRightInd w:val="0"/>
        <w:spacing w:after="0"/>
        <w:ind w:left="567"/>
        <w:jc w:val="both"/>
        <w:rPr>
          <w:rFonts w:ascii="Times New Roman" w:hAnsi="Times New Roman"/>
          <w:sz w:val="24"/>
          <w:lang w:eastAsia="en-GB"/>
        </w:rPr>
      </w:pPr>
      <w:r>
        <w:rPr>
          <w:rFonts w:ascii="Times New Roman" w:hAnsi="Times New Roman"/>
          <w:sz w:val="24"/>
          <w:lang w:eastAsia="en-GB"/>
        </w:rPr>
        <w:t>……………………………………..</w:t>
      </w:r>
    </w:p>
    <w:p w14:paraId="2F952D97" w14:textId="77777777" w:rsidR="002A0352" w:rsidRDefault="004A6A1D" w:rsidP="00156C73">
      <w:pPr>
        <w:autoSpaceDE w:val="0"/>
        <w:autoSpaceDN w:val="0"/>
        <w:adjustRightInd w:val="0"/>
        <w:spacing w:after="0"/>
        <w:ind w:left="567"/>
        <w:jc w:val="both"/>
        <w:rPr>
          <w:rFonts w:ascii="Times New Roman" w:hAnsi="Times New Roman"/>
          <w:sz w:val="24"/>
          <w:lang w:eastAsia="en-GB"/>
        </w:rPr>
      </w:pPr>
      <w:r>
        <w:rPr>
          <w:rFonts w:ascii="Times New Roman" w:hAnsi="Times New Roman"/>
          <w:sz w:val="24"/>
          <w:lang w:eastAsia="en-GB"/>
        </w:rPr>
        <w:t>Chairman</w:t>
      </w:r>
    </w:p>
    <w:p w14:paraId="0902B773" w14:textId="77777777" w:rsidR="002A0352" w:rsidRDefault="004A6A1D" w:rsidP="00156C73">
      <w:pPr>
        <w:ind w:left="567"/>
        <w:rPr>
          <w:rFonts w:ascii="Times New Roman" w:hAnsi="Times New Roman"/>
          <w:sz w:val="24"/>
        </w:rPr>
      </w:pPr>
      <w:r>
        <w:rPr>
          <w:rFonts w:ascii="Times New Roman" w:hAnsi="Times New Roman"/>
          <w:sz w:val="24"/>
        </w:rPr>
        <w:t xml:space="preserve">  </w:t>
      </w:r>
    </w:p>
    <w:sectPr w:rsidR="002A0352">
      <w:footerReference w:type="even" r:id="rId9"/>
      <w:footerReference w:type="default" r:id="rId10"/>
      <w:pgSz w:w="11906" w:h="16838"/>
      <w:pgMar w:top="720" w:right="991" w:bottom="720" w:left="709"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CF7D" w14:textId="77777777" w:rsidR="00A00CCF" w:rsidRDefault="00A00CCF"/>
  </w:endnote>
  <w:endnote w:type="continuationSeparator" w:id="0">
    <w:p w14:paraId="6A80DDFF" w14:textId="77777777" w:rsidR="00A00CCF" w:rsidRDefault="00A0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233A" w14:textId="77777777" w:rsidR="002A0352" w:rsidRDefault="004A6A1D">
    <w:pPr>
      <w:pStyle w:val="Footer"/>
      <w:framePr w:wrap="around" w:vAnchor="text" w:hAnchor="margin" w:xAlign="right" w:y="1"/>
    </w:pPr>
    <w:r>
      <w:fldChar w:fldCharType="begin"/>
    </w:r>
    <w:r>
      <w:instrText xml:space="preserve">PAGE  </w:instrText>
    </w:r>
    <w:r>
      <w:fldChar w:fldCharType="end"/>
    </w:r>
  </w:p>
  <w:p w14:paraId="61166B6B" w14:textId="77777777" w:rsidR="002A0352" w:rsidRDefault="002A0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591D" w14:textId="77777777" w:rsidR="002A0352" w:rsidRDefault="002A0352">
    <w:pPr>
      <w:pStyle w:val="Footer"/>
      <w:framePr w:w="851" w:wrap="around" w:vAnchor="text" w:hAnchor="margin" w:xAlign="right" w:y="1" w:anchorLock="1"/>
      <w:shd w:val="clear" w:color="FFFFFF" w:fill="auto"/>
      <w:jc w:val="right"/>
    </w:pPr>
  </w:p>
  <w:p w14:paraId="6F91875F" w14:textId="77777777" w:rsidR="002A0352" w:rsidRDefault="002A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66FE" w14:textId="77777777" w:rsidR="00A00CCF" w:rsidRDefault="00A00CCF">
      <w:pPr>
        <w:spacing w:after="0"/>
      </w:pPr>
    </w:p>
  </w:footnote>
  <w:footnote w:type="continuationSeparator" w:id="0">
    <w:p w14:paraId="3AA68787" w14:textId="77777777" w:rsidR="00A00CCF" w:rsidRDefault="00A00C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6F37"/>
    <w:multiLevelType w:val="multilevel"/>
    <w:tmpl w:val="09396F37"/>
    <w:lvl w:ilvl="0">
      <w:start w:val="1"/>
      <w:numFmt w:val="upperLetter"/>
      <w:pStyle w:val="AppendixTitle"/>
      <w:lvlText w:val="%1"/>
      <w:lvlJc w:val="left"/>
      <w:pPr>
        <w:tabs>
          <w:tab w:val="left" w:pos="454"/>
        </w:tabs>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CC95F0D"/>
    <w:multiLevelType w:val="multilevel"/>
    <w:tmpl w:val="2CC95F0D"/>
    <w:lvl w:ilvl="0">
      <w:start w:val="1"/>
      <w:numFmt w:val="bullet"/>
      <w:pStyle w:val="TableBullet"/>
      <w:lvlText w:val=""/>
      <w:lvlJc w:val="left"/>
      <w:pPr>
        <w:tabs>
          <w:tab w:val="left" w:pos="227"/>
        </w:tabs>
        <w:ind w:left="227" w:hanging="227"/>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4541EF"/>
    <w:multiLevelType w:val="multilevel"/>
    <w:tmpl w:val="414541EF"/>
    <w:lvl w:ilvl="0">
      <w:start w:val="1"/>
      <w:numFmt w:val="decimal"/>
      <w:pStyle w:val="NumHead"/>
      <w:lvlText w:val="%1"/>
      <w:lvlJc w:val="left"/>
      <w:pPr>
        <w:tabs>
          <w:tab w:val="left" w:pos="0"/>
        </w:tabs>
        <w:ind w:left="0" w:hanging="567"/>
      </w:pPr>
      <w:rPr>
        <w:rFonts w:hint="default"/>
      </w:rPr>
    </w:lvl>
    <w:lvl w:ilvl="1">
      <w:start w:val="1"/>
      <w:numFmt w:val="decimal"/>
      <w:pStyle w:val="NumText"/>
      <w:lvlText w:val="%1.%2."/>
      <w:lvlJc w:val="left"/>
      <w:pPr>
        <w:tabs>
          <w:tab w:val="left" w:pos="0"/>
        </w:tabs>
        <w:ind w:left="0" w:hanging="567"/>
      </w:pPr>
      <w:rPr>
        <w:rFonts w:hint="default"/>
      </w:rPr>
    </w:lvl>
    <w:lvl w:ilvl="2">
      <w:start w:val="1"/>
      <w:numFmt w:val="decimal"/>
      <w:lvlText w:val="%1.%2.%3."/>
      <w:lvlJc w:val="left"/>
      <w:pPr>
        <w:tabs>
          <w:tab w:val="left" w:pos="2880"/>
        </w:tabs>
        <w:ind w:left="1224" w:hanging="504"/>
      </w:pPr>
      <w:rPr>
        <w:rFonts w:hint="default"/>
      </w:rPr>
    </w:lvl>
    <w:lvl w:ilvl="3">
      <w:start w:val="1"/>
      <w:numFmt w:val="decimal"/>
      <w:lvlText w:val="%1.%2.%3.%4."/>
      <w:lvlJc w:val="left"/>
      <w:pPr>
        <w:tabs>
          <w:tab w:val="left" w:pos="3960"/>
        </w:tabs>
        <w:ind w:left="1728" w:hanging="648"/>
      </w:pPr>
      <w:rPr>
        <w:rFonts w:hint="default"/>
      </w:rPr>
    </w:lvl>
    <w:lvl w:ilvl="4">
      <w:start w:val="1"/>
      <w:numFmt w:val="decimal"/>
      <w:lvlText w:val="%1.%2.%3.%4.%5."/>
      <w:lvlJc w:val="left"/>
      <w:pPr>
        <w:tabs>
          <w:tab w:val="left" w:pos="5040"/>
        </w:tabs>
        <w:ind w:left="2232" w:hanging="792"/>
      </w:pPr>
      <w:rPr>
        <w:rFonts w:hint="default"/>
      </w:rPr>
    </w:lvl>
    <w:lvl w:ilvl="5">
      <w:start w:val="1"/>
      <w:numFmt w:val="decimal"/>
      <w:lvlText w:val="%1.%2.%3.%4.%5.%6."/>
      <w:lvlJc w:val="left"/>
      <w:pPr>
        <w:tabs>
          <w:tab w:val="left" w:pos="6120"/>
        </w:tabs>
        <w:ind w:left="2736" w:hanging="936"/>
      </w:pPr>
      <w:rPr>
        <w:rFonts w:hint="default"/>
      </w:rPr>
    </w:lvl>
    <w:lvl w:ilvl="6">
      <w:start w:val="1"/>
      <w:numFmt w:val="decimal"/>
      <w:lvlText w:val="%1.%2.%3.%4.%5.%6.%7."/>
      <w:lvlJc w:val="left"/>
      <w:pPr>
        <w:tabs>
          <w:tab w:val="left" w:pos="7200"/>
        </w:tabs>
        <w:ind w:left="3240" w:hanging="1080"/>
      </w:pPr>
      <w:rPr>
        <w:rFonts w:hint="default"/>
      </w:rPr>
    </w:lvl>
    <w:lvl w:ilvl="7">
      <w:start w:val="1"/>
      <w:numFmt w:val="decimal"/>
      <w:lvlText w:val="%1.%2.%3.%4.%5.%6.%7.%8."/>
      <w:lvlJc w:val="left"/>
      <w:pPr>
        <w:tabs>
          <w:tab w:val="left" w:pos="8280"/>
        </w:tabs>
        <w:ind w:left="3744" w:hanging="1224"/>
      </w:pPr>
      <w:rPr>
        <w:rFonts w:hint="default"/>
      </w:rPr>
    </w:lvl>
    <w:lvl w:ilvl="8">
      <w:start w:val="1"/>
      <w:numFmt w:val="decimal"/>
      <w:lvlText w:val="%1.%2.%3.%4.%5.%6.%7.%8.%9."/>
      <w:lvlJc w:val="left"/>
      <w:pPr>
        <w:tabs>
          <w:tab w:val="left" w:pos="9360"/>
        </w:tabs>
        <w:ind w:left="4320" w:hanging="1440"/>
      </w:pPr>
      <w:rPr>
        <w:rFonts w:hint="default"/>
      </w:rPr>
    </w:lvl>
  </w:abstractNum>
  <w:abstractNum w:abstractNumId="3" w15:restartNumberingAfterBreak="0">
    <w:nsid w:val="42D47FA4"/>
    <w:multiLevelType w:val="multilevel"/>
    <w:tmpl w:val="42D47FA4"/>
    <w:lvl w:ilvl="0">
      <w:start w:val="1"/>
      <w:numFmt w:val="decimal"/>
      <w:pStyle w:val="NumSection"/>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ascii="Garamond" w:hAnsi="Garamond" w:hint="default"/>
        <w:b w:val="0"/>
        <w:i w:val="0"/>
        <w:sz w:val="22"/>
      </w:rPr>
    </w:lvl>
    <w:lvl w:ilvl="2">
      <w:start w:val="1"/>
      <w:numFmt w:val="lowerLetter"/>
      <w:lvlText w:val="(%3)"/>
      <w:lvlJc w:val="left"/>
      <w:pPr>
        <w:tabs>
          <w:tab w:val="left" w:pos="1440"/>
        </w:tabs>
        <w:ind w:left="1440" w:hanging="720"/>
      </w:pPr>
      <w:rPr>
        <w:rFonts w:hint="default"/>
        <w:i w:val="0"/>
      </w:rPr>
    </w:lvl>
    <w:lvl w:ilvl="3">
      <w:start w:val="1"/>
      <w:numFmt w:val="lowerRoman"/>
      <w:lvlText w:val="(%4)"/>
      <w:lvlJc w:val="left"/>
      <w:pPr>
        <w:tabs>
          <w:tab w:val="left" w:pos="2520"/>
        </w:tabs>
        <w:ind w:left="1803" w:hanging="363"/>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434325A2"/>
    <w:multiLevelType w:val="multilevel"/>
    <w:tmpl w:val="434325A2"/>
    <w:lvl w:ilvl="0">
      <w:start w:val="1"/>
      <w:numFmt w:val="decimal"/>
      <w:pStyle w:val="TableNumberBullet"/>
      <w:lvlText w:val="%1"/>
      <w:lvlJc w:val="left"/>
      <w:pPr>
        <w:tabs>
          <w:tab w:val="left" w:pos="227"/>
        </w:tabs>
        <w:ind w:left="227" w:hanging="227"/>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5" w15:restartNumberingAfterBreak="0">
    <w:nsid w:val="44EA08AA"/>
    <w:multiLevelType w:val="multilevel"/>
    <w:tmpl w:val="44EA08AA"/>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5FC78EC"/>
    <w:multiLevelType w:val="multilevel"/>
    <w:tmpl w:val="55FC78EC"/>
    <w:lvl w:ilvl="0">
      <w:start w:val="1"/>
      <w:numFmt w:val="bullet"/>
      <w:pStyle w:val="BulletOne"/>
      <w:lvlText w:val=""/>
      <w:lvlJc w:val="left"/>
      <w:pPr>
        <w:tabs>
          <w:tab w:val="left" w:pos="1020"/>
        </w:tabs>
        <w:ind w:left="1020" w:hanging="340"/>
      </w:pPr>
      <w:rPr>
        <w:rFonts w:ascii="Symbol" w:hAnsi="Symbol" w:hint="default"/>
      </w:rPr>
    </w:lvl>
    <w:lvl w:ilvl="1">
      <w:start w:val="1"/>
      <w:numFmt w:val="bullet"/>
      <w:lvlText w:val="o"/>
      <w:lvlJc w:val="left"/>
      <w:pPr>
        <w:tabs>
          <w:tab w:val="left" w:pos="2120"/>
        </w:tabs>
        <w:ind w:left="2120" w:hanging="360"/>
      </w:pPr>
      <w:rPr>
        <w:rFonts w:ascii="Courier New" w:hAnsi="Courier New" w:cs="Courier New" w:hint="default"/>
      </w:rPr>
    </w:lvl>
    <w:lvl w:ilvl="2">
      <w:start w:val="1"/>
      <w:numFmt w:val="bullet"/>
      <w:lvlText w:val=""/>
      <w:lvlJc w:val="left"/>
      <w:pPr>
        <w:tabs>
          <w:tab w:val="left" w:pos="2840"/>
        </w:tabs>
        <w:ind w:left="2840" w:hanging="360"/>
      </w:pPr>
      <w:rPr>
        <w:rFonts w:ascii="Wingdings" w:hAnsi="Wingdings" w:hint="default"/>
      </w:rPr>
    </w:lvl>
    <w:lvl w:ilvl="3">
      <w:start w:val="1"/>
      <w:numFmt w:val="bullet"/>
      <w:lvlText w:val=""/>
      <w:lvlJc w:val="left"/>
      <w:pPr>
        <w:tabs>
          <w:tab w:val="left" w:pos="3560"/>
        </w:tabs>
        <w:ind w:left="3560" w:hanging="360"/>
      </w:pPr>
      <w:rPr>
        <w:rFonts w:ascii="Symbol" w:hAnsi="Symbol" w:hint="default"/>
      </w:rPr>
    </w:lvl>
    <w:lvl w:ilvl="4">
      <w:start w:val="1"/>
      <w:numFmt w:val="bullet"/>
      <w:lvlText w:val="o"/>
      <w:lvlJc w:val="left"/>
      <w:pPr>
        <w:tabs>
          <w:tab w:val="left" w:pos="4280"/>
        </w:tabs>
        <w:ind w:left="4280" w:hanging="360"/>
      </w:pPr>
      <w:rPr>
        <w:rFonts w:ascii="Courier New" w:hAnsi="Courier New" w:cs="Courier New" w:hint="default"/>
      </w:rPr>
    </w:lvl>
    <w:lvl w:ilvl="5">
      <w:start w:val="1"/>
      <w:numFmt w:val="bullet"/>
      <w:lvlText w:val=""/>
      <w:lvlJc w:val="left"/>
      <w:pPr>
        <w:tabs>
          <w:tab w:val="left" w:pos="5000"/>
        </w:tabs>
        <w:ind w:left="5000" w:hanging="360"/>
      </w:pPr>
      <w:rPr>
        <w:rFonts w:ascii="Wingdings" w:hAnsi="Wingdings" w:hint="default"/>
      </w:rPr>
    </w:lvl>
    <w:lvl w:ilvl="6">
      <w:start w:val="1"/>
      <w:numFmt w:val="bullet"/>
      <w:lvlText w:val=""/>
      <w:lvlJc w:val="left"/>
      <w:pPr>
        <w:tabs>
          <w:tab w:val="left" w:pos="5720"/>
        </w:tabs>
        <w:ind w:left="5720" w:hanging="360"/>
      </w:pPr>
      <w:rPr>
        <w:rFonts w:ascii="Symbol" w:hAnsi="Symbol" w:hint="default"/>
      </w:rPr>
    </w:lvl>
    <w:lvl w:ilvl="7">
      <w:start w:val="1"/>
      <w:numFmt w:val="bullet"/>
      <w:lvlText w:val="o"/>
      <w:lvlJc w:val="left"/>
      <w:pPr>
        <w:tabs>
          <w:tab w:val="left" w:pos="6440"/>
        </w:tabs>
        <w:ind w:left="6440" w:hanging="360"/>
      </w:pPr>
      <w:rPr>
        <w:rFonts w:ascii="Courier New" w:hAnsi="Courier New" w:cs="Courier New" w:hint="default"/>
      </w:rPr>
    </w:lvl>
    <w:lvl w:ilvl="8">
      <w:start w:val="1"/>
      <w:numFmt w:val="bullet"/>
      <w:lvlText w:val=""/>
      <w:lvlJc w:val="left"/>
      <w:pPr>
        <w:tabs>
          <w:tab w:val="left" w:pos="7160"/>
        </w:tabs>
        <w:ind w:left="7160" w:hanging="360"/>
      </w:pPr>
      <w:rPr>
        <w:rFonts w:ascii="Wingdings" w:hAnsi="Wingdings" w:hint="default"/>
      </w:rPr>
    </w:lvl>
  </w:abstractNum>
  <w:abstractNum w:abstractNumId="7" w15:restartNumberingAfterBreak="0">
    <w:nsid w:val="5F836AF2"/>
    <w:multiLevelType w:val="multilevel"/>
    <w:tmpl w:val="5F836AF2"/>
    <w:lvl w:ilvl="0">
      <w:start w:val="1"/>
      <w:numFmt w:val="bullet"/>
      <w:pStyle w:val="BulletTwo"/>
      <w:lvlText w:val=""/>
      <w:lvlJc w:val="left"/>
      <w:pPr>
        <w:tabs>
          <w:tab w:val="left" w:pos="1031"/>
        </w:tabs>
        <w:ind w:left="1031" w:hanging="340"/>
      </w:pPr>
      <w:rPr>
        <w:rFonts w:ascii="Symbol" w:hAnsi="Symbol" w:hint="default"/>
      </w:rPr>
    </w:lvl>
    <w:lvl w:ilvl="1">
      <w:start w:val="1"/>
      <w:numFmt w:val="bullet"/>
      <w:lvlText w:val="o"/>
      <w:lvlJc w:val="left"/>
      <w:pPr>
        <w:tabs>
          <w:tab w:val="left" w:pos="1791"/>
        </w:tabs>
        <w:ind w:left="1791" w:hanging="360"/>
      </w:pPr>
      <w:rPr>
        <w:rFonts w:ascii="Courier New" w:hAnsi="Courier New" w:cs="Courier New" w:hint="default"/>
      </w:rPr>
    </w:lvl>
    <w:lvl w:ilvl="2">
      <w:start w:val="1"/>
      <w:numFmt w:val="bullet"/>
      <w:lvlText w:val=""/>
      <w:lvlJc w:val="left"/>
      <w:pPr>
        <w:tabs>
          <w:tab w:val="left" w:pos="2511"/>
        </w:tabs>
        <w:ind w:left="2511" w:hanging="360"/>
      </w:pPr>
      <w:rPr>
        <w:rFonts w:ascii="Wingdings" w:hAnsi="Wingdings" w:hint="default"/>
      </w:rPr>
    </w:lvl>
    <w:lvl w:ilvl="3">
      <w:start w:val="1"/>
      <w:numFmt w:val="bullet"/>
      <w:lvlText w:val=""/>
      <w:lvlJc w:val="left"/>
      <w:pPr>
        <w:tabs>
          <w:tab w:val="left" w:pos="3231"/>
        </w:tabs>
        <w:ind w:left="3231" w:hanging="360"/>
      </w:pPr>
      <w:rPr>
        <w:rFonts w:ascii="Symbol" w:hAnsi="Symbol" w:hint="default"/>
      </w:rPr>
    </w:lvl>
    <w:lvl w:ilvl="4">
      <w:start w:val="1"/>
      <w:numFmt w:val="bullet"/>
      <w:lvlText w:val="o"/>
      <w:lvlJc w:val="left"/>
      <w:pPr>
        <w:tabs>
          <w:tab w:val="left" w:pos="3951"/>
        </w:tabs>
        <w:ind w:left="3951" w:hanging="360"/>
      </w:pPr>
      <w:rPr>
        <w:rFonts w:ascii="Courier New" w:hAnsi="Courier New" w:cs="Courier New" w:hint="default"/>
      </w:rPr>
    </w:lvl>
    <w:lvl w:ilvl="5">
      <w:start w:val="1"/>
      <w:numFmt w:val="bullet"/>
      <w:lvlText w:val=""/>
      <w:lvlJc w:val="left"/>
      <w:pPr>
        <w:tabs>
          <w:tab w:val="left" w:pos="4671"/>
        </w:tabs>
        <w:ind w:left="4671" w:hanging="360"/>
      </w:pPr>
      <w:rPr>
        <w:rFonts w:ascii="Wingdings" w:hAnsi="Wingdings" w:hint="default"/>
      </w:rPr>
    </w:lvl>
    <w:lvl w:ilvl="6">
      <w:start w:val="1"/>
      <w:numFmt w:val="bullet"/>
      <w:lvlText w:val=""/>
      <w:lvlJc w:val="left"/>
      <w:pPr>
        <w:tabs>
          <w:tab w:val="left" w:pos="5391"/>
        </w:tabs>
        <w:ind w:left="5391" w:hanging="360"/>
      </w:pPr>
      <w:rPr>
        <w:rFonts w:ascii="Symbol" w:hAnsi="Symbol" w:hint="default"/>
      </w:rPr>
    </w:lvl>
    <w:lvl w:ilvl="7">
      <w:start w:val="1"/>
      <w:numFmt w:val="bullet"/>
      <w:lvlText w:val="o"/>
      <w:lvlJc w:val="left"/>
      <w:pPr>
        <w:tabs>
          <w:tab w:val="left" w:pos="6111"/>
        </w:tabs>
        <w:ind w:left="6111" w:hanging="360"/>
      </w:pPr>
      <w:rPr>
        <w:rFonts w:ascii="Courier New" w:hAnsi="Courier New" w:cs="Courier New" w:hint="default"/>
      </w:rPr>
    </w:lvl>
    <w:lvl w:ilvl="8">
      <w:start w:val="1"/>
      <w:numFmt w:val="bullet"/>
      <w:lvlText w:val=""/>
      <w:lvlJc w:val="left"/>
      <w:pPr>
        <w:tabs>
          <w:tab w:val="left" w:pos="6831"/>
        </w:tabs>
        <w:ind w:left="6831" w:hanging="360"/>
      </w:pPr>
      <w:rPr>
        <w:rFonts w:ascii="Wingdings" w:hAnsi="Wingdings" w:hint="default"/>
      </w:rPr>
    </w:lvl>
  </w:abstractNum>
  <w:abstractNum w:abstractNumId="8" w15:restartNumberingAfterBreak="0">
    <w:nsid w:val="73374AC7"/>
    <w:multiLevelType w:val="multilevel"/>
    <w:tmpl w:val="73374AC7"/>
    <w:lvl w:ilvl="0">
      <w:start w:val="1"/>
      <w:numFmt w:val="decimal"/>
      <w:pStyle w:val="NumBulletOne"/>
      <w:lvlText w:val="%1"/>
      <w:lvlJc w:val="left"/>
      <w:pPr>
        <w:tabs>
          <w:tab w:val="left" w:pos="340"/>
        </w:tabs>
        <w:ind w:left="340" w:hanging="340"/>
      </w:pPr>
      <w:rPr>
        <w:rFonts w:hint="default"/>
      </w:rPr>
    </w:lvl>
    <w:lvl w:ilvl="1">
      <w:start w:val="1"/>
      <w:numFmt w:val="lowerLetter"/>
      <w:pStyle w:val="NumBulletTwo"/>
      <w:lvlText w:val="(%2)"/>
      <w:lvlJc w:val="left"/>
      <w:pPr>
        <w:tabs>
          <w:tab w:val="left" w:pos="680"/>
        </w:tabs>
        <w:ind w:left="680" w:hanging="340"/>
      </w:pPr>
      <w:rPr>
        <w:rFonts w:hint="default"/>
      </w:rPr>
    </w:lvl>
    <w:lvl w:ilvl="2">
      <w:start w:val="1"/>
      <w:numFmt w:val="lowerRoman"/>
      <w:pStyle w:val="NumBulletThree"/>
      <w:lvlText w:val="%3"/>
      <w:lvlJc w:val="left"/>
      <w:pPr>
        <w:tabs>
          <w:tab w:val="left"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081870635">
    <w:abstractNumId w:val="8"/>
  </w:num>
  <w:num w:numId="2" w16cid:durableId="210655380">
    <w:abstractNumId w:val="5"/>
  </w:num>
  <w:num w:numId="3" w16cid:durableId="830368511">
    <w:abstractNumId w:val="2"/>
  </w:num>
  <w:num w:numId="4" w16cid:durableId="712578810">
    <w:abstractNumId w:val="1"/>
  </w:num>
  <w:num w:numId="5" w16cid:durableId="580870612">
    <w:abstractNumId w:val="4"/>
  </w:num>
  <w:num w:numId="6" w16cid:durableId="242761256">
    <w:abstractNumId w:val="0"/>
  </w:num>
  <w:num w:numId="7" w16cid:durableId="1882286729">
    <w:abstractNumId w:val="6"/>
  </w:num>
  <w:num w:numId="8" w16cid:durableId="1797094369">
    <w:abstractNumId w:val="7"/>
  </w:num>
  <w:num w:numId="9" w16cid:durableId="2033726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hyphenationZone w:val="425"/>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69"/>
    <w:rsid w:val="00001DC6"/>
    <w:rsid w:val="000029F9"/>
    <w:rsid w:val="000033BF"/>
    <w:rsid w:val="00003544"/>
    <w:rsid w:val="00013053"/>
    <w:rsid w:val="00014734"/>
    <w:rsid w:val="00014B28"/>
    <w:rsid w:val="00025473"/>
    <w:rsid w:val="00027571"/>
    <w:rsid w:val="0003454C"/>
    <w:rsid w:val="0003767F"/>
    <w:rsid w:val="0004229C"/>
    <w:rsid w:val="00044B72"/>
    <w:rsid w:val="00047124"/>
    <w:rsid w:val="0005420B"/>
    <w:rsid w:val="00054C97"/>
    <w:rsid w:val="00056088"/>
    <w:rsid w:val="000654F1"/>
    <w:rsid w:val="000723A9"/>
    <w:rsid w:val="000750BF"/>
    <w:rsid w:val="00084C3A"/>
    <w:rsid w:val="00084FA7"/>
    <w:rsid w:val="000955EB"/>
    <w:rsid w:val="0009695F"/>
    <w:rsid w:val="000A0BA8"/>
    <w:rsid w:val="000B0EE4"/>
    <w:rsid w:val="000C0164"/>
    <w:rsid w:val="000C45E8"/>
    <w:rsid w:val="000E24F7"/>
    <w:rsid w:val="000E4124"/>
    <w:rsid w:val="000E635D"/>
    <w:rsid w:val="000E7E4A"/>
    <w:rsid w:val="000F5D0E"/>
    <w:rsid w:val="000F6076"/>
    <w:rsid w:val="000F6DDD"/>
    <w:rsid w:val="00100243"/>
    <w:rsid w:val="0010240C"/>
    <w:rsid w:val="001231D2"/>
    <w:rsid w:val="00131497"/>
    <w:rsid w:val="0013245C"/>
    <w:rsid w:val="001362FC"/>
    <w:rsid w:val="00137C12"/>
    <w:rsid w:val="00140215"/>
    <w:rsid w:val="001420C1"/>
    <w:rsid w:val="001459E5"/>
    <w:rsid w:val="00146E37"/>
    <w:rsid w:val="00147C64"/>
    <w:rsid w:val="00150258"/>
    <w:rsid w:val="00156C73"/>
    <w:rsid w:val="001625B4"/>
    <w:rsid w:val="00177AA6"/>
    <w:rsid w:val="00177D35"/>
    <w:rsid w:val="00177D9D"/>
    <w:rsid w:val="00195AB5"/>
    <w:rsid w:val="001A2EC7"/>
    <w:rsid w:val="001A4DC2"/>
    <w:rsid w:val="001A752E"/>
    <w:rsid w:val="001B30DA"/>
    <w:rsid w:val="001B6135"/>
    <w:rsid w:val="001C15B9"/>
    <w:rsid w:val="001C7618"/>
    <w:rsid w:val="001D1EF5"/>
    <w:rsid w:val="001D3D9C"/>
    <w:rsid w:val="001D6CED"/>
    <w:rsid w:val="001E2129"/>
    <w:rsid w:val="001E37CC"/>
    <w:rsid w:val="001F2639"/>
    <w:rsid w:val="001F63D4"/>
    <w:rsid w:val="0020456F"/>
    <w:rsid w:val="002103B2"/>
    <w:rsid w:val="0021649E"/>
    <w:rsid w:val="002248F7"/>
    <w:rsid w:val="002258D2"/>
    <w:rsid w:val="002566CA"/>
    <w:rsid w:val="002617D1"/>
    <w:rsid w:val="00263306"/>
    <w:rsid w:val="00265AD8"/>
    <w:rsid w:val="002851B1"/>
    <w:rsid w:val="00286DAB"/>
    <w:rsid w:val="002930B2"/>
    <w:rsid w:val="00294445"/>
    <w:rsid w:val="00294CE5"/>
    <w:rsid w:val="002A0352"/>
    <w:rsid w:val="002A1191"/>
    <w:rsid w:val="002C4C9C"/>
    <w:rsid w:val="002C6CDC"/>
    <w:rsid w:val="002D010A"/>
    <w:rsid w:val="002D0AB9"/>
    <w:rsid w:val="002D0CD7"/>
    <w:rsid w:val="002D3693"/>
    <w:rsid w:val="002D4271"/>
    <w:rsid w:val="002D51CF"/>
    <w:rsid w:val="002E5038"/>
    <w:rsid w:val="002F500E"/>
    <w:rsid w:val="00320569"/>
    <w:rsid w:val="003213A3"/>
    <w:rsid w:val="00324F60"/>
    <w:rsid w:val="00340A85"/>
    <w:rsid w:val="00340F92"/>
    <w:rsid w:val="00345B41"/>
    <w:rsid w:val="0034751B"/>
    <w:rsid w:val="003479E8"/>
    <w:rsid w:val="003507F4"/>
    <w:rsid w:val="003603BA"/>
    <w:rsid w:val="003733C7"/>
    <w:rsid w:val="00380B47"/>
    <w:rsid w:val="003813A3"/>
    <w:rsid w:val="00394824"/>
    <w:rsid w:val="00395DA3"/>
    <w:rsid w:val="003A29F4"/>
    <w:rsid w:val="003A3019"/>
    <w:rsid w:val="003A3297"/>
    <w:rsid w:val="003A6794"/>
    <w:rsid w:val="003B7447"/>
    <w:rsid w:val="003E5E31"/>
    <w:rsid w:val="003F70AB"/>
    <w:rsid w:val="003F717E"/>
    <w:rsid w:val="004060D9"/>
    <w:rsid w:val="00415B15"/>
    <w:rsid w:val="00420328"/>
    <w:rsid w:val="0042243F"/>
    <w:rsid w:val="00427FE2"/>
    <w:rsid w:val="00443AC9"/>
    <w:rsid w:val="004467BA"/>
    <w:rsid w:val="0044753F"/>
    <w:rsid w:val="0045318F"/>
    <w:rsid w:val="004536A7"/>
    <w:rsid w:val="004567B9"/>
    <w:rsid w:val="0046001E"/>
    <w:rsid w:val="00462471"/>
    <w:rsid w:val="00476A58"/>
    <w:rsid w:val="00477E3C"/>
    <w:rsid w:val="00480455"/>
    <w:rsid w:val="00482FB4"/>
    <w:rsid w:val="00483BFA"/>
    <w:rsid w:val="00483EAA"/>
    <w:rsid w:val="004952F9"/>
    <w:rsid w:val="00495345"/>
    <w:rsid w:val="004A39A3"/>
    <w:rsid w:val="004A6A1D"/>
    <w:rsid w:val="004A6A42"/>
    <w:rsid w:val="004B0989"/>
    <w:rsid w:val="004C3DFC"/>
    <w:rsid w:val="004D0F49"/>
    <w:rsid w:val="004E1C0D"/>
    <w:rsid w:val="004E20A6"/>
    <w:rsid w:val="004E4EE7"/>
    <w:rsid w:val="004E56CE"/>
    <w:rsid w:val="004F1469"/>
    <w:rsid w:val="00511BD6"/>
    <w:rsid w:val="0052080F"/>
    <w:rsid w:val="00521D06"/>
    <w:rsid w:val="00522624"/>
    <w:rsid w:val="00533B01"/>
    <w:rsid w:val="00540B94"/>
    <w:rsid w:val="005502DD"/>
    <w:rsid w:val="005578FC"/>
    <w:rsid w:val="005637CA"/>
    <w:rsid w:val="00576E2D"/>
    <w:rsid w:val="005836AB"/>
    <w:rsid w:val="0059283E"/>
    <w:rsid w:val="005944F3"/>
    <w:rsid w:val="00594862"/>
    <w:rsid w:val="00596E69"/>
    <w:rsid w:val="005A2CC6"/>
    <w:rsid w:val="005D07AF"/>
    <w:rsid w:val="005D432D"/>
    <w:rsid w:val="005D5474"/>
    <w:rsid w:val="005D69E1"/>
    <w:rsid w:val="005D7185"/>
    <w:rsid w:val="005E4A01"/>
    <w:rsid w:val="005F1BFD"/>
    <w:rsid w:val="005F5A53"/>
    <w:rsid w:val="00603B94"/>
    <w:rsid w:val="006103D1"/>
    <w:rsid w:val="0061125B"/>
    <w:rsid w:val="006255F0"/>
    <w:rsid w:val="00627E12"/>
    <w:rsid w:val="00632C0E"/>
    <w:rsid w:val="00643327"/>
    <w:rsid w:val="00651D00"/>
    <w:rsid w:val="0065217D"/>
    <w:rsid w:val="00654508"/>
    <w:rsid w:val="0066354F"/>
    <w:rsid w:val="00663A54"/>
    <w:rsid w:val="00666630"/>
    <w:rsid w:val="00675CF3"/>
    <w:rsid w:val="00676AC1"/>
    <w:rsid w:val="006828C2"/>
    <w:rsid w:val="00685B7F"/>
    <w:rsid w:val="00685FDA"/>
    <w:rsid w:val="006863BF"/>
    <w:rsid w:val="006866B5"/>
    <w:rsid w:val="00690F96"/>
    <w:rsid w:val="006934C8"/>
    <w:rsid w:val="006947B9"/>
    <w:rsid w:val="006A1A04"/>
    <w:rsid w:val="006A3B5A"/>
    <w:rsid w:val="006C111A"/>
    <w:rsid w:val="006C3E59"/>
    <w:rsid w:val="006D06F8"/>
    <w:rsid w:val="006D320D"/>
    <w:rsid w:val="006D5F1A"/>
    <w:rsid w:val="006E008D"/>
    <w:rsid w:val="006E340B"/>
    <w:rsid w:val="006E5D65"/>
    <w:rsid w:val="006E6B61"/>
    <w:rsid w:val="006E79D8"/>
    <w:rsid w:val="006F219B"/>
    <w:rsid w:val="006F3151"/>
    <w:rsid w:val="00700521"/>
    <w:rsid w:val="00701910"/>
    <w:rsid w:val="00701C90"/>
    <w:rsid w:val="007069E8"/>
    <w:rsid w:val="00707CC6"/>
    <w:rsid w:val="00715C60"/>
    <w:rsid w:val="007353A7"/>
    <w:rsid w:val="007375E3"/>
    <w:rsid w:val="00737BE4"/>
    <w:rsid w:val="00744D39"/>
    <w:rsid w:val="007506E2"/>
    <w:rsid w:val="007509BD"/>
    <w:rsid w:val="00753FC8"/>
    <w:rsid w:val="00754CB2"/>
    <w:rsid w:val="00755C64"/>
    <w:rsid w:val="00763981"/>
    <w:rsid w:val="0076520A"/>
    <w:rsid w:val="0076565F"/>
    <w:rsid w:val="00770B0A"/>
    <w:rsid w:val="00771A0B"/>
    <w:rsid w:val="00774176"/>
    <w:rsid w:val="007848BF"/>
    <w:rsid w:val="00787A7C"/>
    <w:rsid w:val="007957CF"/>
    <w:rsid w:val="00795B4A"/>
    <w:rsid w:val="007A13C9"/>
    <w:rsid w:val="007A53EF"/>
    <w:rsid w:val="007B154A"/>
    <w:rsid w:val="007B1E07"/>
    <w:rsid w:val="007B3383"/>
    <w:rsid w:val="007D1807"/>
    <w:rsid w:val="007E531A"/>
    <w:rsid w:val="007E58E3"/>
    <w:rsid w:val="007E596A"/>
    <w:rsid w:val="007E5B71"/>
    <w:rsid w:val="007F325F"/>
    <w:rsid w:val="007F3B8E"/>
    <w:rsid w:val="00802004"/>
    <w:rsid w:val="00806403"/>
    <w:rsid w:val="008139ED"/>
    <w:rsid w:val="00822D79"/>
    <w:rsid w:val="00825E9C"/>
    <w:rsid w:val="00834175"/>
    <w:rsid w:val="00850003"/>
    <w:rsid w:val="0086459C"/>
    <w:rsid w:val="008715A2"/>
    <w:rsid w:val="008738AD"/>
    <w:rsid w:val="008742CB"/>
    <w:rsid w:val="00887B01"/>
    <w:rsid w:val="0089489C"/>
    <w:rsid w:val="00896B58"/>
    <w:rsid w:val="008A4948"/>
    <w:rsid w:val="008A4FDE"/>
    <w:rsid w:val="008B6CCD"/>
    <w:rsid w:val="008B7FDD"/>
    <w:rsid w:val="008C3A66"/>
    <w:rsid w:val="008E0450"/>
    <w:rsid w:val="008E1BB5"/>
    <w:rsid w:val="008E7E47"/>
    <w:rsid w:val="008F4691"/>
    <w:rsid w:val="00902066"/>
    <w:rsid w:val="0090216F"/>
    <w:rsid w:val="00907E60"/>
    <w:rsid w:val="00917342"/>
    <w:rsid w:val="00942916"/>
    <w:rsid w:val="00945BC0"/>
    <w:rsid w:val="009516AF"/>
    <w:rsid w:val="00963830"/>
    <w:rsid w:val="00963CF7"/>
    <w:rsid w:val="009664DC"/>
    <w:rsid w:val="00976821"/>
    <w:rsid w:val="00985E5F"/>
    <w:rsid w:val="00995F81"/>
    <w:rsid w:val="009A0C8F"/>
    <w:rsid w:val="009A287C"/>
    <w:rsid w:val="009A563B"/>
    <w:rsid w:val="009B0BE0"/>
    <w:rsid w:val="009B2109"/>
    <w:rsid w:val="009B609C"/>
    <w:rsid w:val="009B619E"/>
    <w:rsid w:val="009B6D4C"/>
    <w:rsid w:val="009C136F"/>
    <w:rsid w:val="009C1AE1"/>
    <w:rsid w:val="009C53EC"/>
    <w:rsid w:val="009C6FF5"/>
    <w:rsid w:val="009D1495"/>
    <w:rsid w:val="009F6522"/>
    <w:rsid w:val="00A00CCF"/>
    <w:rsid w:val="00A02069"/>
    <w:rsid w:val="00A0350A"/>
    <w:rsid w:val="00A06F5C"/>
    <w:rsid w:val="00A23921"/>
    <w:rsid w:val="00A26A18"/>
    <w:rsid w:val="00A33BA6"/>
    <w:rsid w:val="00A36CA1"/>
    <w:rsid w:val="00A4003D"/>
    <w:rsid w:val="00A43FC9"/>
    <w:rsid w:val="00A44934"/>
    <w:rsid w:val="00A44F91"/>
    <w:rsid w:val="00A46622"/>
    <w:rsid w:val="00A541BB"/>
    <w:rsid w:val="00A622DE"/>
    <w:rsid w:val="00A62DBF"/>
    <w:rsid w:val="00A63AD5"/>
    <w:rsid w:val="00A63C76"/>
    <w:rsid w:val="00A66FEA"/>
    <w:rsid w:val="00A727A1"/>
    <w:rsid w:val="00A72BD1"/>
    <w:rsid w:val="00A733C0"/>
    <w:rsid w:val="00A75FAA"/>
    <w:rsid w:val="00A76A65"/>
    <w:rsid w:val="00A779F3"/>
    <w:rsid w:val="00A805E2"/>
    <w:rsid w:val="00AA29DD"/>
    <w:rsid w:val="00AA44FB"/>
    <w:rsid w:val="00AA6AC8"/>
    <w:rsid w:val="00AC1E1D"/>
    <w:rsid w:val="00AC3546"/>
    <w:rsid w:val="00AC4957"/>
    <w:rsid w:val="00AC602A"/>
    <w:rsid w:val="00AC6DD0"/>
    <w:rsid w:val="00AC767A"/>
    <w:rsid w:val="00AC7989"/>
    <w:rsid w:val="00AD17B1"/>
    <w:rsid w:val="00AD1908"/>
    <w:rsid w:val="00AD21DB"/>
    <w:rsid w:val="00AD6768"/>
    <w:rsid w:val="00AE4A6D"/>
    <w:rsid w:val="00AE747C"/>
    <w:rsid w:val="00AF34C3"/>
    <w:rsid w:val="00AF6144"/>
    <w:rsid w:val="00B00D73"/>
    <w:rsid w:val="00B07A0E"/>
    <w:rsid w:val="00B125C3"/>
    <w:rsid w:val="00B14426"/>
    <w:rsid w:val="00B15BED"/>
    <w:rsid w:val="00B17C97"/>
    <w:rsid w:val="00B25355"/>
    <w:rsid w:val="00B30889"/>
    <w:rsid w:val="00B33630"/>
    <w:rsid w:val="00B34751"/>
    <w:rsid w:val="00B35D14"/>
    <w:rsid w:val="00B467F3"/>
    <w:rsid w:val="00B552BA"/>
    <w:rsid w:val="00B55ECD"/>
    <w:rsid w:val="00B63922"/>
    <w:rsid w:val="00B6483B"/>
    <w:rsid w:val="00B737F2"/>
    <w:rsid w:val="00B74302"/>
    <w:rsid w:val="00B80636"/>
    <w:rsid w:val="00B8115D"/>
    <w:rsid w:val="00B864F1"/>
    <w:rsid w:val="00B86CBA"/>
    <w:rsid w:val="00B973C5"/>
    <w:rsid w:val="00B97FFD"/>
    <w:rsid w:val="00BA0AEA"/>
    <w:rsid w:val="00BA522C"/>
    <w:rsid w:val="00BA605A"/>
    <w:rsid w:val="00BB2420"/>
    <w:rsid w:val="00BB2FAB"/>
    <w:rsid w:val="00BC74CB"/>
    <w:rsid w:val="00BD5A92"/>
    <w:rsid w:val="00BE20C5"/>
    <w:rsid w:val="00BE6840"/>
    <w:rsid w:val="00BE73B5"/>
    <w:rsid w:val="00BF0DA3"/>
    <w:rsid w:val="00BF529E"/>
    <w:rsid w:val="00BF75D6"/>
    <w:rsid w:val="00C051F4"/>
    <w:rsid w:val="00C05D2B"/>
    <w:rsid w:val="00C1537E"/>
    <w:rsid w:val="00C3406A"/>
    <w:rsid w:val="00C37933"/>
    <w:rsid w:val="00C435A2"/>
    <w:rsid w:val="00C51686"/>
    <w:rsid w:val="00C53181"/>
    <w:rsid w:val="00C63679"/>
    <w:rsid w:val="00C714C4"/>
    <w:rsid w:val="00C81327"/>
    <w:rsid w:val="00C8159C"/>
    <w:rsid w:val="00C93D44"/>
    <w:rsid w:val="00C96EBB"/>
    <w:rsid w:val="00C97B28"/>
    <w:rsid w:val="00C97BF2"/>
    <w:rsid w:val="00CA2FAB"/>
    <w:rsid w:val="00CB15BE"/>
    <w:rsid w:val="00CB5218"/>
    <w:rsid w:val="00CB7C2F"/>
    <w:rsid w:val="00CC3A80"/>
    <w:rsid w:val="00CC5251"/>
    <w:rsid w:val="00CC7192"/>
    <w:rsid w:val="00CD01A9"/>
    <w:rsid w:val="00CE1BE2"/>
    <w:rsid w:val="00CE599B"/>
    <w:rsid w:val="00CF0BFE"/>
    <w:rsid w:val="00CF236A"/>
    <w:rsid w:val="00CF51E7"/>
    <w:rsid w:val="00CF7A90"/>
    <w:rsid w:val="00D04FDD"/>
    <w:rsid w:val="00D16798"/>
    <w:rsid w:val="00D2128D"/>
    <w:rsid w:val="00D23689"/>
    <w:rsid w:val="00D24B01"/>
    <w:rsid w:val="00D30711"/>
    <w:rsid w:val="00D30831"/>
    <w:rsid w:val="00D3174B"/>
    <w:rsid w:val="00D345CD"/>
    <w:rsid w:val="00D36100"/>
    <w:rsid w:val="00D37503"/>
    <w:rsid w:val="00D43517"/>
    <w:rsid w:val="00D448AF"/>
    <w:rsid w:val="00D465AE"/>
    <w:rsid w:val="00D54DBF"/>
    <w:rsid w:val="00D56DF1"/>
    <w:rsid w:val="00D576E2"/>
    <w:rsid w:val="00D64043"/>
    <w:rsid w:val="00D654C6"/>
    <w:rsid w:val="00D71772"/>
    <w:rsid w:val="00D751D3"/>
    <w:rsid w:val="00D7572F"/>
    <w:rsid w:val="00D80FCF"/>
    <w:rsid w:val="00D87037"/>
    <w:rsid w:val="00D93341"/>
    <w:rsid w:val="00DA4AF3"/>
    <w:rsid w:val="00DA60B0"/>
    <w:rsid w:val="00DB0E8D"/>
    <w:rsid w:val="00DB4339"/>
    <w:rsid w:val="00DC1B7A"/>
    <w:rsid w:val="00DC2BDE"/>
    <w:rsid w:val="00DC45C0"/>
    <w:rsid w:val="00DC7324"/>
    <w:rsid w:val="00DD0A34"/>
    <w:rsid w:val="00DD18C6"/>
    <w:rsid w:val="00DD6EE9"/>
    <w:rsid w:val="00DD78AD"/>
    <w:rsid w:val="00DE0548"/>
    <w:rsid w:val="00DE3018"/>
    <w:rsid w:val="00DE45E8"/>
    <w:rsid w:val="00DE70A0"/>
    <w:rsid w:val="00DF4AD0"/>
    <w:rsid w:val="00DF7741"/>
    <w:rsid w:val="00E004E6"/>
    <w:rsid w:val="00E03F99"/>
    <w:rsid w:val="00E055D1"/>
    <w:rsid w:val="00E0766C"/>
    <w:rsid w:val="00E14448"/>
    <w:rsid w:val="00E155C2"/>
    <w:rsid w:val="00E15694"/>
    <w:rsid w:val="00E22CC3"/>
    <w:rsid w:val="00E2472D"/>
    <w:rsid w:val="00E311F0"/>
    <w:rsid w:val="00E32D51"/>
    <w:rsid w:val="00E36C7D"/>
    <w:rsid w:val="00E46691"/>
    <w:rsid w:val="00E53736"/>
    <w:rsid w:val="00E57E04"/>
    <w:rsid w:val="00E63012"/>
    <w:rsid w:val="00E71FF3"/>
    <w:rsid w:val="00E733F7"/>
    <w:rsid w:val="00E75EFC"/>
    <w:rsid w:val="00E84CBD"/>
    <w:rsid w:val="00E87A60"/>
    <w:rsid w:val="00E9241E"/>
    <w:rsid w:val="00E9507A"/>
    <w:rsid w:val="00EA0DD3"/>
    <w:rsid w:val="00EA306B"/>
    <w:rsid w:val="00EB601B"/>
    <w:rsid w:val="00EC09A3"/>
    <w:rsid w:val="00EE23B2"/>
    <w:rsid w:val="00EF5E0F"/>
    <w:rsid w:val="00F05FB5"/>
    <w:rsid w:val="00F131B5"/>
    <w:rsid w:val="00F17562"/>
    <w:rsid w:val="00F24785"/>
    <w:rsid w:val="00F27FC4"/>
    <w:rsid w:val="00F35709"/>
    <w:rsid w:val="00F4296C"/>
    <w:rsid w:val="00F44B93"/>
    <w:rsid w:val="00F545BA"/>
    <w:rsid w:val="00F56DDF"/>
    <w:rsid w:val="00F619B4"/>
    <w:rsid w:val="00F621DE"/>
    <w:rsid w:val="00F63F4F"/>
    <w:rsid w:val="00F64BCB"/>
    <w:rsid w:val="00F7052B"/>
    <w:rsid w:val="00F705F9"/>
    <w:rsid w:val="00F725BC"/>
    <w:rsid w:val="00F90972"/>
    <w:rsid w:val="00F92FA7"/>
    <w:rsid w:val="00F9755A"/>
    <w:rsid w:val="00FA0EED"/>
    <w:rsid w:val="00FA6A12"/>
    <w:rsid w:val="00FB4043"/>
    <w:rsid w:val="00FB5B93"/>
    <w:rsid w:val="00FB5F1E"/>
    <w:rsid w:val="00FB71E3"/>
    <w:rsid w:val="00FC2522"/>
    <w:rsid w:val="00FC26F5"/>
    <w:rsid w:val="00FC343F"/>
    <w:rsid w:val="00FC5821"/>
    <w:rsid w:val="00FE013B"/>
    <w:rsid w:val="00FE080A"/>
    <w:rsid w:val="00FE179E"/>
    <w:rsid w:val="00FE71E3"/>
    <w:rsid w:val="00FF6DAB"/>
    <w:rsid w:val="01537A6F"/>
    <w:rsid w:val="2DEB5827"/>
    <w:rsid w:val="431945F5"/>
    <w:rsid w:val="62AA315A"/>
  </w:rsids>
  <m:mathPr>
    <m:mathFont m:val="Cambria Math"/>
    <m:brkBin m:val="before"/>
    <m:brkBinSub m:val="--"/>
    <m:smallFrac m:val="0"/>
    <m:dispDef/>
    <m:lMargin m:val="0"/>
    <m:rMargin m:val="0"/>
    <m:defJc m:val="centerGroup"/>
    <m:wrapIndent m:val="1440"/>
    <m:intLim m:val="subSup"/>
    <m:naryLim m:val="undOvr"/>
  </m:mathPr>
  <w:themeFontLang w:val="fr-L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847DB"/>
  <w15:docId w15:val="{587740FE-2315-42CF-9A36-47C0D23A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uiPriority="0" w:qFormat="1"/>
    <w:lsdException w:name="annotation text" w:semiHidden="1" w:uiPriority="0" w:unhideWhenUsed="1"/>
    <w:lsdException w:name="header" w:uiPriority="0" w:qFormat="1"/>
    <w:lsdException w:name="footer" w:uiPriority="0"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uiPriority="0"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pPr>
    <w:rPr>
      <w:rFonts w:ascii="Garamond" w:hAnsi="Garamond"/>
      <w:sz w:val="22"/>
      <w:szCs w:val="24"/>
      <w:lang w:eastAsia="en-US"/>
    </w:rPr>
  </w:style>
  <w:style w:type="paragraph" w:styleId="Heading1">
    <w:name w:val="heading 1"/>
    <w:basedOn w:val="Normal"/>
    <w:next w:val="Normal"/>
    <w:qFormat/>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qFormat/>
    <w:pPr>
      <w:outlineLvl w:val="1"/>
    </w:pPr>
    <w:rPr>
      <w:bCs w:val="0"/>
      <w:iCs/>
      <w:sz w:val="19"/>
      <w:szCs w:val="19"/>
    </w:rPr>
  </w:style>
  <w:style w:type="paragraph" w:styleId="Heading3">
    <w:name w:val="heading 3"/>
    <w:basedOn w:val="Heading2"/>
    <w:next w:val="Normal"/>
    <w:qFormat/>
    <w:pPr>
      <w:outlineLvl w:val="2"/>
    </w:pPr>
    <w:rPr>
      <w:rFonts w:ascii="Arial" w:hAnsi="Arial"/>
      <w:b/>
      <w:bCs/>
    </w:rPr>
  </w:style>
  <w:style w:type="paragraph" w:styleId="Heading4">
    <w:name w:val="heading 4"/>
    <w:basedOn w:val="Heading3"/>
    <w:next w:val="Normal"/>
    <w:qFormat/>
    <w:pPr>
      <w:outlineLvl w:val="3"/>
    </w:pPr>
    <w:rPr>
      <w:b w:val="0"/>
      <w:bCs w:val="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BalloonText">
    <w:name w:val="Balloon Text"/>
    <w:basedOn w:val="Normal"/>
    <w:link w:val="BalloonTextChar"/>
    <w:pPr>
      <w:spacing w:after="0"/>
    </w:pPr>
    <w:rPr>
      <w:rFonts w:ascii="Tahoma" w:hAnsi="Tahoma" w:cs="Tahoma"/>
      <w:sz w:val="16"/>
      <w:szCs w:val="16"/>
    </w:rPr>
  </w:style>
  <w:style w:type="paragraph" w:styleId="Footer">
    <w:name w:val="footer"/>
    <w:basedOn w:val="Normal"/>
    <w:qFormat/>
    <w:pPr>
      <w:tabs>
        <w:tab w:val="center" w:pos="4153"/>
        <w:tab w:val="right" w:pos="8306"/>
      </w:tabs>
      <w:spacing w:after="0"/>
    </w:pPr>
    <w:rPr>
      <w:rFonts w:ascii="Arial" w:hAnsi="Arial"/>
      <w:b/>
      <w:color w:val="808080"/>
      <w:sz w:val="16"/>
    </w:rPr>
  </w:style>
  <w:style w:type="paragraph" w:styleId="Header">
    <w:name w:val="header"/>
    <w:basedOn w:val="Normal"/>
    <w:qFormat/>
    <w:pPr>
      <w:tabs>
        <w:tab w:val="center" w:pos="4150"/>
        <w:tab w:val="right" w:pos="8307"/>
      </w:tabs>
      <w:spacing w:after="0"/>
    </w:pPr>
    <w:rPr>
      <w:rFonts w:ascii="Arial" w:hAnsi="Arial"/>
      <w:b/>
      <w:color w:val="808080"/>
      <w:sz w:val="16"/>
    </w:rPr>
  </w:style>
  <w:style w:type="paragraph" w:styleId="Title">
    <w:name w:val="Title"/>
    <w:basedOn w:val="Normal"/>
    <w:next w:val="Heading1"/>
    <w:qFormat/>
    <w:pPr>
      <w:spacing w:before="400" w:after="400" w:line="580" w:lineRule="atLeast"/>
    </w:pPr>
    <w:rPr>
      <w:rFonts w:cs="Arial"/>
      <w:bCs/>
      <w:kern w:val="28"/>
      <w:sz w:val="40"/>
      <w:szCs w:val="32"/>
    </w:rPr>
  </w:style>
  <w:style w:type="paragraph" w:styleId="TOC1">
    <w:name w:val="toc 1"/>
    <w:basedOn w:val="Normal"/>
    <w:next w:val="Normal"/>
    <w:semiHidden/>
    <w:qFormat/>
    <w:pPr>
      <w:spacing w:before="240" w:after="120"/>
    </w:pPr>
    <w:rPr>
      <w:b/>
      <w:bCs/>
    </w:rPr>
  </w:style>
  <w:style w:type="paragraph" w:customStyle="1" w:styleId="Appendix">
    <w:name w:val="Appendix"/>
    <w:basedOn w:val="Normal"/>
    <w:pPr>
      <w:numPr>
        <w:numId w:val="2"/>
      </w:numPr>
      <w:spacing w:after="0"/>
      <w:jc w:val="right"/>
    </w:pPr>
    <w:rPr>
      <w:rFonts w:ascii="Arial" w:hAnsi="Arial"/>
      <w:b/>
      <w:color w:val="808080"/>
      <w:sz w:val="16"/>
    </w:rPr>
  </w:style>
  <w:style w:type="paragraph" w:customStyle="1" w:styleId="NumHead">
    <w:name w:val="NumHead"/>
    <w:basedOn w:val="Normal"/>
    <w:next w:val="NumText"/>
    <w:pPr>
      <w:keepNext/>
      <w:numPr>
        <w:numId w:val="3"/>
      </w:numPr>
      <w:spacing w:after="0" w:line="260" w:lineRule="atLeast"/>
    </w:pPr>
    <w:rPr>
      <w:rFonts w:ascii="Arial Black" w:hAnsi="Arial Black"/>
      <w:sz w:val="21"/>
      <w:szCs w:val="21"/>
    </w:rPr>
  </w:style>
  <w:style w:type="paragraph" w:customStyle="1" w:styleId="NumText">
    <w:name w:val="NumText"/>
    <w:basedOn w:val="Normal"/>
    <w:pPr>
      <w:numPr>
        <w:ilvl w:val="1"/>
        <w:numId w:val="3"/>
      </w:numPr>
      <w:spacing w:line="280" w:lineRule="exact"/>
    </w:pPr>
  </w:style>
  <w:style w:type="paragraph" w:customStyle="1" w:styleId="TableHeading">
    <w:name w:val="Table Heading"/>
    <w:basedOn w:val="TableText"/>
    <w:rPr>
      <w:b/>
      <w:bCs/>
      <w:kern w:val="28"/>
      <w:szCs w:val="24"/>
    </w:rPr>
  </w:style>
  <w:style w:type="paragraph" w:customStyle="1" w:styleId="TableText">
    <w:name w:val="Table Text"/>
    <w:basedOn w:val="Normal"/>
    <w:qFormat/>
    <w:pPr>
      <w:spacing w:after="0"/>
      <w:ind w:right="142"/>
    </w:pPr>
    <w:rPr>
      <w:szCs w:val="22"/>
    </w:rPr>
  </w:style>
  <w:style w:type="paragraph" w:customStyle="1" w:styleId="TableSubTot">
    <w:name w:val="Table SubTot"/>
    <w:basedOn w:val="TableFigures"/>
    <w:qFormat/>
    <w:pPr>
      <w:pBdr>
        <w:top w:val="single" w:sz="6" w:space="1" w:color="auto"/>
      </w:pBdr>
    </w:pPr>
    <w:rPr>
      <w:szCs w:val="24"/>
    </w:rPr>
  </w:style>
  <w:style w:type="paragraph" w:customStyle="1" w:styleId="TableFigures">
    <w:name w:val="Table Figures"/>
    <w:basedOn w:val="TableText"/>
    <w:qFormat/>
    <w:pPr>
      <w:spacing w:before="25"/>
    </w:pPr>
    <w:rPr>
      <w:rFonts w:ascii="Arial" w:hAnsi="Arial"/>
      <w:sz w:val="18"/>
    </w:rPr>
  </w:style>
  <w:style w:type="paragraph" w:customStyle="1" w:styleId="TableTotal">
    <w:name w:val="Table Total"/>
    <w:basedOn w:val="TableFigures"/>
    <w:pPr>
      <w:pBdr>
        <w:top w:val="single" w:sz="6" w:space="1" w:color="auto"/>
        <w:bottom w:val="double" w:sz="6" w:space="1" w:color="auto"/>
      </w:pBdr>
    </w:pPr>
  </w:style>
  <w:style w:type="paragraph" w:customStyle="1" w:styleId="TableDouble">
    <w:name w:val="Table Double"/>
    <w:basedOn w:val="TableFigures"/>
    <w:pPr>
      <w:pBdr>
        <w:bottom w:val="double" w:sz="6" w:space="1" w:color="auto"/>
      </w:pBdr>
    </w:pPr>
    <w:rPr>
      <w:sz w:val="16"/>
      <w:szCs w:val="24"/>
    </w:rPr>
  </w:style>
  <w:style w:type="paragraph" w:customStyle="1" w:styleId="TableSingle">
    <w:name w:val="Table Single"/>
    <w:basedOn w:val="TableFigures"/>
    <w:qFormat/>
    <w:pPr>
      <w:pBdr>
        <w:bottom w:val="single" w:sz="6" w:space="1" w:color="auto"/>
      </w:pBdr>
    </w:pPr>
    <w:rPr>
      <w:szCs w:val="24"/>
    </w:rPr>
  </w:style>
  <w:style w:type="paragraph" w:customStyle="1" w:styleId="TableBullet">
    <w:name w:val="Table Bullet"/>
    <w:basedOn w:val="TableText"/>
    <w:qFormat/>
    <w:pPr>
      <w:numPr>
        <w:numId w:val="4"/>
      </w:numPr>
    </w:pPr>
    <w:rPr>
      <w:szCs w:val="20"/>
    </w:rPr>
  </w:style>
  <w:style w:type="paragraph" w:customStyle="1" w:styleId="TableNumberBullet">
    <w:name w:val="Table Number Bullet"/>
    <w:basedOn w:val="TableText"/>
    <w:pPr>
      <w:numPr>
        <w:numId w:val="5"/>
      </w:numPr>
    </w:pPr>
    <w:rPr>
      <w:szCs w:val="24"/>
    </w:rPr>
  </w:style>
  <w:style w:type="paragraph" w:customStyle="1" w:styleId="AppendixTitle">
    <w:name w:val="Appendix Title"/>
    <w:basedOn w:val="Title"/>
    <w:next w:val="Normal"/>
    <w:qFormat/>
    <w:pPr>
      <w:numPr>
        <w:numId w:val="6"/>
      </w:numPr>
    </w:pPr>
  </w:style>
  <w:style w:type="paragraph" w:customStyle="1" w:styleId="SectionTitle">
    <w:name w:val="Section Title"/>
    <w:basedOn w:val="Normal"/>
    <w:next w:val="Normal"/>
    <w:pPr>
      <w:pageBreakBefore/>
      <w:spacing w:after="1400"/>
    </w:pPr>
    <w:rPr>
      <w:sz w:val="40"/>
    </w:rPr>
  </w:style>
  <w:style w:type="paragraph" w:customStyle="1" w:styleId="BulletOne">
    <w:name w:val="BulletOne"/>
    <w:basedOn w:val="Normal"/>
    <w:pPr>
      <w:numPr>
        <w:numId w:val="7"/>
      </w:numPr>
      <w:spacing w:after="0"/>
    </w:pPr>
  </w:style>
  <w:style w:type="paragraph" w:customStyle="1" w:styleId="BulletThree">
    <w:name w:val="BulletThree"/>
    <w:basedOn w:val="Normal"/>
    <w:qFormat/>
    <w:pPr>
      <w:spacing w:after="0"/>
    </w:pPr>
  </w:style>
  <w:style w:type="paragraph" w:customStyle="1" w:styleId="BulletTwo">
    <w:name w:val="BulletTwo"/>
    <w:basedOn w:val="Normal"/>
    <w:qFormat/>
    <w:pPr>
      <w:numPr>
        <w:numId w:val="8"/>
      </w:numPr>
      <w:spacing w:after="0"/>
    </w:pPr>
  </w:style>
  <w:style w:type="paragraph" w:customStyle="1" w:styleId="Indent1">
    <w:name w:val="Indent1"/>
    <w:basedOn w:val="Normal"/>
    <w:pPr>
      <w:tabs>
        <w:tab w:val="left" w:pos="567"/>
      </w:tabs>
      <w:ind w:left="567" w:hanging="567"/>
    </w:pPr>
  </w:style>
  <w:style w:type="paragraph" w:customStyle="1" w:styleId="Indent2">
    <w:name w:val="Indent2"/>
    <w:basedOn w:val="Normal"/>
    <w:pPr>
      <w:tabs>
        <w:tab w:val="left" w:pos="1134"/>
      </w:tabs>
      <w:ind w:left="1134" w:hanging="567"/>
    </w:pPr>
  </w:style>
  <w:style w:type="paragraph" w:customStyle="1" w:styleId="NumBulletOne">
    <w:name w:val="NumBulletOne"/>
    <w:basedOn w:val="Normal"/>
    <w:pPr>
      <w:numPr>
        <w:numId w:val="1"/>
      </w:numPr>
      <w:spacing w:after="0"/>
    </w:pPr>
  </w:style>
  <w:style w:type="paragraph" w:customStyle="1" w:styleId="NumBulletThree">
    <w:name w:val="NumBulletThree"/>
    <w:basedOn w:val="Normal"/>
    <w:qFormat/>
    <w:pPr>
      <w:numPr>
        <w:ilvl w:val="2"/>
        <w:numId w:val="1"/>
      </w:numPr>
      <w:spacing w:after="0"/>
    </w:pPr>
  </w:style>
  <w:style w:type="paragraph" w:customStyle="1" w:styleId="NumBulletTwo">
    <w:name w:val="NumBulletTwo"/>
    <w:basedOn w:val="Normal"/>
    <w:pPr>
      <w:numPr>
        <w:ilvl w:val="1"/>
        <w:numId w:val="1"/>
      </w:numPr>
      <w:spacing w:after="0"/>
    </w:pPr>
  </w:style>
  <w:style w:type="character" w:customStyle="1" w:styleId="FootnoteTextChar">
    <w:name w:val="Footnote Text Char"/>
    <w:basedOn w:val="DefaultParagraphFont"/>
    <w:link w:val="FootnoteText"/>
    <w:rPr>
      <w:rFonts w:ascii="Garamond" w:hAnsi="Garamond"/>
      <w:lang w:eastAsia="en-US"/>
    </w:rPr>
  </w:style>
  <w:style w:type="paragraph" w:customStyle="1" w:styleId="NumSection">
    <w:name w:val="NumSection"/>
    <w:basedOn w:val="SectionTitle"/>
    <w:next w:val="NumHead"/>
    <w:qFormat/>
    <w:pPr>
      <w:numPr>
        <w:numId w:val="9"/>
      </w:numPr>
    </w:p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MarginBullet">
    <w:name w:val="Margin Bullet"/>
    <w:basedOn w:val="Normal"/>
    <w:qFormat/>
    <w:pPr>
      <w:tabs>
        <w:tab w:val="left" w:pos="227"/>
        <w:tab w:val="left" w:pos="360"/>
      </w:tabs>
      <w:spacing w:after="0" w:line="280" w:lineRule="exact"/>
      <w:ind w:left="227" w:hanging="227"/>
    </w:pPr>
    <w:rPr>
      <w:rFonts w:ascii="Arial" w:hAnsi="Arial"/>
      <w:color w:val="FFFFFF"/>
      <w:sz w:val="16"/>
      <w:szCs w:val="22"/>
    </w:rPr>
  </w:style>
  <w:style w:type="paragraph" w:customStyle="1" w:styleId="Contents">
    <w:name w:val="Contents"/>
    <w:basedOn w:val="Title"/>
    <w:qFormat/>
    <w:rPr>
      <w:color w:val="4F2D7F"/>
    </w:rPr>
  </w:style>
  <w:style w:type="paragraph" w:styleId="ListParagraph">
    <w:name w:val="List Paragraph"/>
    <w:basedOn w:val="Normal"/>
    <w:uiPriority w:val="34"/>
    <w:qFormat/>
    <w:pPr>
      <w:ind w:left="720"/>
      <w:contextualSpacing/>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80A"/>
    <w:rPr>
      <w:rFonts w:ascii="Garamond" w:hAnsi="Garamond"/>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UK2008\GT%20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34E539DBB5E8429A849EB94DCEA943" ma:contentTypeVersion="15" ma:contentTypeDescription="Create a new document." ma:contentTypeScope="" ma:versionID="cf8849acf40b8723e2fe9c5d08858c54">
  <xsd:schema xmlns:xsd="http://www.w3.org/2001/XMLSchema" xmlns:xs="http://www.w3.org/2001/XMLSchema" xmlns:p="http://schemas.microsoft.com/office/2006/metadata/properties" xmlns:ns2="717ff1d2-f2fe-4adf-bee4-34e939d4fc98" xmlns:ns3="d3a2480b-f6a3-4576-9ce5-d8e952412034" targetNamespace="http://schemas.microsoft.com/office/2006/metadata/properties" ma:root="true" ma:fieldsID="3e6b20a66d536cdfcbe73282e38aaa43" ns2:_="" ns3:_="">
    <xsd:import namespace="717ff1d2-f2fe-4adf-bee4-34e939d4fc98"/>
    <xsd:import namespace="d3a2480b-f6a3-4576-9ce5-d8e9524120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ff1d2-f2fe-4adf-bee4-34e939d4f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8aa2b2-e154-4389-a2a0-a319db96415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2480b-f6a3-4576-9ce5-d8e9524120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abdef4-6552-4937-9e45-c51e25e20748}" ma:internalName="TaxCatchAll" ma:showField="CatchAllData" ma:web="d3a2480b-f6a3-4576-9ce5-d8e9524120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3a2480b-f6a3-4576-9ce5-d8e952412034" xsi:nil="true"/>
    <lcf76f155ced4ddcb4097134ff3c332f xmlns="717ff1d2-f2fe-4adf-bee4-34e939d4fc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A03F42-6C2A-439E-8210-6FA27BB1320E}">
  <ds:schemaRefs>
    <ds:schemaRef ds:uri="http://schemas.openxmlformats.org/officeDocument/2006/bibliography"/>
  </ds:schemaRefs>
</ds:datastoreItem>
</file>

<file path=customXml/itemProps2.xml><?xml version="1.0" encoding="utf-8"?>
<ds:datastoreItem xmlns:ds="http://schemas.openxmlformats.org/officeDocument/2006/customXml" ds:itemID="{E03195BC-7404-4456-8B3B-CECD45DEE002}">
  <ds:schemaRefs>
    <ds:schemaRef ds:uri="http://schemas.openxmlformats.org/officeDocument/2006/bibliography"/>
  </ds:schemaRefs>
</ds:datastoreItem>
</file>

<file path=customXml/itemProps3.xml><?xml version="1.0" encoding="utf-8"?>
<ds:datastoreItem xmlns:ds="http://schemas.openxmlformats.org/officeDocument/2006/customXml" ds:itemID="{EBC04734-BDDF-4206-86A7-E282E3F54171}"/>
</file>

<file path=customXml/itemProps4.xml><?xml version="1.0" encoding="utf-8"?>
<ds:datastoreItem xmlns:ds="http://schemas.openxmlformats.org/officeDocument/2006/customXml" ds:itemID="{A9C2E613-3BD6-45EA-8E3D-CD1A2396BAD7}"/>
</file>

<file path=customXml/itemProps5.xml><?xml version="1.0" encoding="utf-8"?>
<ds:datastoreItem xmlns:ds="http://schemas.openxmlformats.org/officeDocument/2006/customXml" ds:itemID="{314C5893-9C06-41F4-93D8-773529517167}"/>
</file>

<file path=docProps/app.xml><?xml version="1.0" encoding="utf-8"?>
<Properties xmlns="http://schemas.openxmlformats.org/officeDocument/2006/extended-properties" xmlns:vt="http://schemas.openxmlformats.org/officeDocument/2006/docPropsVTypes">
  <Template>GT Normal</Template>
  <TotalTime>7</TotalTime>
  <Pages>3</Pages>
  <Words>1300</Words>
  <Characters>7320</Characters>
  <Application>Microsoft Office Word</Application>
  <DocSecurity>0</DocSecurity>
  <Lines>215</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Grant Thornton UK LLP</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c:creator>
  <cp:lastModifiedBy>Hayet Elmecheri</cp:lastModifiedBy>
  <cp:revision>5</cp:revision>
  <cp:lastPrinted>2017-05-16T13:06:00Z</cp:lastPrinted>
  <dcterms:created xsi:type="dcterms:W3CDTF">2025-06-02T10:35:00Z</dcterms:created>
  <dcterms:modified xsi:type="dcterms:W3CDTF">2025-07-16T14:53:00Z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GT Normal R3.2 2003 22/12/08</vt:lpwstr>
  </property>
  <property fmtid="{D5CDD505-2E9C-101B-9397-08002B2CF9AE}" pid="3" name="GT Version">
    <vt:r8>3.3</vt:r8>
  </property>
  <property fmtid="{D5CDD505-2E9C-101B-9397-08002B2CF9AE}" pid="4" name="GT Date">
    <vt:filetime>2009-09-23T23:00:00Z</vt:filetime>
  </property>
  <property fmtid="{D5CDD505-2E9C-101B-9397-08002B2CF9AE}" pid="5" name="KSOProductBuildVer">
    <vt:lpwstr>1036-11.2.0.11156</vt:lpwstr>
  </property>
  <property fmtid="{D5CDD505-2E9C-101B-9397-08002B2CF9AE}" pid="6" name="ICV">
    <vt:lpwstr>73C88EC46E56483AB80E7E58D4C35D89</vt:lpwstr>
  </property>
  <property fmtid="{D5CDD505-2E9C-101B-9397-08002B2CF9AE}" pid="7" name="ContentTypeId">
    <vt:lpwstr>0x0101002F34E539DBB5E8429A849EB94DCEA943</vt:lpwstr>
  </property>
</Properties>
</file>