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ABD044" w14:textId="77777777" w:rsidR="00887A10" w:rsidRDefault="00887A10" w:rsidP="00887A10">
      <w:pPr>
        <w:jc w:val="center"/>
        <w:rPr>
          <w:lang w:val="en-US"/>
        </w:rPr>
      </w:pPr>
    </w:p>
    <w:p w14:paraId="6E61809D" w14:textId="77777777" w:rsidR="00887A10" w:rsidRDefault="00887A10" w:rsidP="00887A10">
      <w:pPr>
        <w:jc w:val="center"/>
        <w:rPr>
          <w:b/>
          <w:bCs/>
          <w:lang w:val="en-US"/>
        </w:rPr>
      </w:pPr>
      <w:r w:rsidRPr="00DB06CE">
        <w:rPr>
          <w:b/>
          <w:bCs/>
          <w:lang w:val="en-US"/>
        </w:rPr>
        <w:t>The Companies Act 2006</w:t>
      </w:r>
    </w:p>
    <w:p w14:paraId="2D9004EB" w14:textId="77777777" w:rsidR="00887A10" w:rsidRPr="00DB06CE" w:rsidRDefault="00887A10" w:rsidP="00887A10">
      <w:pPr>
        <w:jc w:val="center"/>
        <w:rPr>
          <w:b/>
          <w:bCs/>
          <w:lang w:val="en-US"/>
        </w:rPr>
      </w:pPr>
    </w:p>
    <w:p w14:paraId="091964D8" w14:textId="77777777" w:rsidR="00887A10" w:rsidRPr="00DB06CE" w:rsidRDefault="00887A10" w:rsidP="00887A10">
      <w:pPr>
        <w:jc w:val="center"/>
        <w:rPr>
          <w:b/>
          <w:bCs/>
          <w:lang w:val="en-US"/>
        </w:rPr>
      </w:pPr>
      <w:r w:rsidRPr="00DB06CE">
        <w:rPr>
          <w:b/>
          <w:bCs/>
          <w:lang w:val="en-US"/>
        </w:rPr>
        <w:t>Copy Resolution</w:t>
      </w:r>
    </w:p>
    <w:p w14:paraId="2E3E7229" w14:textId="77777777" w:rsidR="00887A10" w:rsidRPr="00DB06CE" w:rsidRDefault="00887A10" w:rsidP="00887A10">
      <w:pPr>
        <w:jc w:val="center"/>
        <w:rPr>
          <w:b/>
          <w:bCs/>
          <w:lang w:val="en-US"/>
        </w:rPr>
      </w:pPr>
    </w:p>
    <w:p w14:paraId="2CAE5182" w14:textId="0E86A891" w:rsidR="00887A10" w:rsidRDefault="00887A10" w:rsidP="00887A10">
      <w:pPr>
        <w:jc w:val="center"/>
        <w:rPr>
          <w:lang w:val="en-US"/>
        </w:rPr>
      </w:pPr>
      <w:r w:rsidRPr="00DB06CE">
        <w:rPr>
          <w:b/>
          <w:bCs/>
          <w:lang w:val="en-US"/>
        </w:rPr>
        <w:t xml:space="preserve">Passed on </w:t>
      </w:r>
      <w:r>
        <w:rPr>
          <w:b/>
          <w:bCs/>
          <w:lang w:val="en-US"/>
        </w:rPr>
        <w:t>1</w:t>
      </w:r>
      <w:r w:rsidR="003E0247">
        <w:rPr>
          <w:b/>
          <w:bCs/>
          <w:lang w:val="en-US"/>
        </w:rPr>
        <w:t>9</w:t>
      </w:r>
      <w:r>
        <w:rPr>
          <w:b/>
          <w:bCs/>
          <w:lang w:val="en-US"/>
        </w:rPr>
        <w:t xml:space="preserve"> June</w:t>
      </w:r>
      <w:r w:rsidRPr="00DB06CE">
        <w:rPr>
          <w:b/>
          <w:bCs/>
          <w:lang w:val="en-US"/>
        </w:rPr>
        <w:t xml:space="preserve"> 202</w:t>
      </w:r>
      <w:r w:rsidR="003E0247">
        <w:rPr>
          <w:b/>
          <w:bCs/>
          <w:lang w:val="en-US"/>
        </w:rPr>
        <w:t>4</w:t>
      </w:r>
    </w:p>
    <w:p w14:paraId="3679AE10" w14:textId="77777777" w:rsidR="00887A10" w:rsidRDefault="00887A10" w:rsidP="00887A10">
      <w:pPr>
        <w:rPr>
          <w:lang w:val="en-US"/>
        </w:rPr>
      </w:pPr>
    </w:p>
    <w:p w14:paraId="75175A60" w14:textId="2E55B6FD" w:rsidR="00887A10" w:rsidRPr="00A25AEA" w:rsidRDefault="00887A10" w:rsidP="00887A10">
      <w:pPr>
        <w:rPr>
          <w:lang w:val="en-US"/>
        </w:rPr>
      </w:pPr>
      <w:r w:rsidRPr="00A25AEA">
        <w:rPr>
          <w:lang w:val="en-US"/>
        </w:rPr>
        <w:t xml:space="preserve">Resolutions passed at the Annual General Meeting of </w:t>
      </w:r>
      <w:r w:rsidRPr="00FD4941">
        <w:rPr>
          <w:lang w:val="en-US"/>
        </w:rPr>
        <w:t xml:space="preserve">Octopus Renewables Infrastructure Trust plc </w:t>
      </w:r>
      <w:r w:rsidRPr="00A25AEA">
        <w:rPr>
          <w:lang w:val="en-US"/>
        </w:rPr>
        <w:t xml:space="preserve">(“the Company”) held </w:t>
      </w:r>
      <w:r>
        <w:rPr>
          <w:lang w:val="en-US"/>
        </w:rPr>
        <w:t>at</w:t>
      </w:r>
      <w:r w:rsidRPr="00FD4941">
        <w:rPr>
          <w:lang w:val="en-US"/>
        </w:rPr>
        <w:t xml:space="preserve"> 6th Floor, 125 London Wall, London</w:t>
      </w:r>
      <w:r>
        <w:rPr>
          <w:lang w:val="en-US"/>
        </w:rPr>
        <w:t>, EC2Y 5AS</w:t>
      </w:r>
      <w:r w:rsidRPr="00FD4941">
        <w:rPr>
          <w:lang w:val="en-US"/>
        </w:rPr>
        <w:t xml:space="preserve"> on 1</w:t>
      </w:r>
      <w:r w:rsidR="003E0247">
        <w:rPr>
          <w:lang w:val="en-US"/>
        </w:rPr>
        <w:t>9</w:t>
      </w:r>
      <w:r w:rsidRPr="00FD4941">
        <w:rPr>
          <w:lang w:val="en-US"/>
        </w:rPr>
        <w:t xml:space="preserve"> June 202</w:t>
      </w:r>
      <w:r w:rsidR="003E0247">
        <w:rPr>
          <w:lang w:val="en-US"/>
        </w:rPr>
        <w:t>4</w:t>
      </w:r>
      <w:r w:rsidRPr="00FD4941">
        <w:rPr>
          <w:lang w:val="en-US"/>
        </w:rPr>
        <w:t xml:space="preserve"> at </w:t>
      </w:r>
      <w:r>
        <w:rPr>
          <w:lang w:val="en-US"/>
        </w:rPr>
        <w:t>10.00 am.</w:t>
      </w:r>
    </w:p>
    <w:p w14:paraId="1BF3086B" w14:textId="77777777" w:rsidR="00887A10" w:rsidRPr="00A25AEA" w:rsidRDefault="00887A10" w:rsidP="00887A10">
      <w:pPr>
        <w:rPr>
          <w:lang w:val="en-US"/>
        </w:rPr>
      </w:pPr>
    </w:p>
    <w:p w14:paraId="5596A7F1" w14:textId="77777777" w:rsidR="00887A10" w:rsidRPr="00A25AEA" w:rsidRDefault="00887A10" w:rsidP="00887A10">
      <w:pPr>
        <w:rPr>
          <w:lang w:val="en-US"/>
        </w:rPr>
      </w:pPr>
    </w:p>
    <w:p w14:paraId="0FB5B5CD" w14:textId="77777777" w:rsidR="00887A10" w:rsidRPr="00A25AEA" w:rsidRDefault="00887A10" w:rsidP="00887A10">
      <w:pPr>
        <w:rPr>
          <w:b/>
          <w:bCs/>
          <w:lang w:val="en-US"/>
        </w:rPr>
      </w:pPr>
      <w:r w:rsidRPr="00A25AEA">
        <w:rPr>
          <w:b/>
          <w:bCs/>
          <w:lang w:val="en-US"/>
        </w:rPr>
        <w:t xml:space="preserve">Ordinary Resolution - Authority to Issue Shares </w:t>
      </w:r>
    </w:p>
    <w:p w14:paraId="490C2681" w14:textId="77777777" w:rsidR="00887A10" w:rsidRDefault="00887A10" w:rsidP="00887A10">
      <w:pPr>
        <w:jc w:val="both"/>
        <w:rPr>
          <w:lang w:val="en-US"/>
        </w:rPr>
      </w:pPr>
    </w:p>
    <w:p w14:paraId="6ED9D5F1" w14:textId="77777777" w:rsidR="0093725B" w:rsidRPr="00FD4941" w:rsidRDefault="0093725B" w:rsidP="0093725B">
      <w:pPr>
        <w:jc w:val="both"/>
        <w:rPr>
          <w:lang w:val="en-US"/>
        </w:rPr>
      </w:pPr>
      <w:r w:rsidRPr="00FD4941">
        <w:rPr>
          <w:lang w:val="en-US"/>
        </w:rPr>
        <w:t>Resolution 1</w:t>
      </w:r>
      <w:r>
        <w:rPr>
          <w:lang w:val="en-US"/>
        </w:rPr>
        <w:t>2</w:t>
      </w:r>
      <w:r w:rsidRPr="00FD4941">
        <w:rPr>
          <w:lang w:val="en-US"/>
        </w:rPr>
        <w:t>. That, in accordance with section 551 of the Companies Act 2006 (the “Companies Act”)</w:t>
      </w:r>
      <w:r>
        <w:rPr>
          <w:lang w:val="en-US"/>
        </w:rPr>
        <w:t xml:space="preserve">, </w:t>
      </w:r>
      <w:r w:rsidRPr="00FD4941">
        <w:rPr>
          <w:lang w:val="en-US"/>
        </w:rPr>
        <w:t>the Directors be and are hereby generally</w:t>
      </w:r>
      <w:r>
        <w:rPr>
          <w:lang w:val="en-US"/>
        </w:rPr>
        <w:t xml:space="preserve"> </w:t>
      </w:r>
      <w:r w:rsidRPr="00FD4941">
        <w:rPr>
          <w:lang w:val="en-US"/>
        </w:rPr>
        <w:t xml:space="preserve">and unconditionally </w:t>
      </w:r>
      <w:proofErr w:type="spellStart"/>
      <w:r w:rsidRPr="00FD4941">
        <w:rPr>
          <w:lang w:val="en-US"/>
        </w:rPr>
        <w:t>authorised</w:t>
      </w:r>
      <w:proofErr w:type="spellEnd"/>
      <w:r w:rsidRPr="00FD4941">
        <w:rPr>
          <w:lang w:val="en-US"/>
        </w:rPr>
        <w:t xml:space="preserve"> to exercise all</w:t>
      </w:r>
      <w:r>
        <w:rPr>
          <w:lang w:val="en-US"/>
        </w:rPr>
        <w:t xml:space="preserve"> </w:t>
      </w:r>
      <w:r w:rsidRPr="00FD4941">
        <w:rPr>
          <w:lang w:val="en-US"/>
        </w:rPr>
        <w:t>powers of the Company to allot ordinary shares</w:t>
      </w:r>
      <w:r>
        <w:rPr>
          <w:lang w:val="en-US"/>
        </w:rPr>
        <w:t xml:space="preserve"> </w:t>
      </w:r>
      <w:r w:rsidRPr="00FD4941">
        <w:rPr>
          <w:lang w:val="en-US"/>
        </w:rPr>
        <w:t>of 1 penny each in the Company (“Ordinary</w:t>
      </w:r>
      <w:r>
        <w:rPr>
          <w:lang w:val="en-US"/>
        </w:rPr>
        <w:t xml:space="preserve"> </w:t>
      </w:r>
      <w:r w:rsidRPr="00FD4941">
        <w:rPr>
          <w:lang w:val="en-US"/>
        </w:rPr>
        <w:t>Shares”) up to an aggregate nominal value of</w:t>
      </w:r>
      <w:r>
        <w:rPr>
          <w:lang w:val="en-US"/>
        </w:rPr>
        <w:t xml:space="preserve"> </w:t>
      </w:r>
      <w:r w:rsidRPr="00FD4941">
        <w:rPr>
          <w:lang w:val="en-US"/>
        </w:rPr>
        <w:t>£1,355,826.08 (equivalent to 24% of the issued</w:t>
      </w:r>
      <w:r>
        <w:rPr>
          <w:lang w:val="en-US"/>
        </w:rPr>
        <w:t xml:space="preserve"> </w:t>
      </w:r>
      <w:r w:rsidRPr="00FD4941">
        <w:rPr>
          <w:lang w:val="en-US"/>
        </w:rPr>
        <w:t>share capital of the Company as at the date of</w:t>
      </w:r>
      <w:r>
        <w:rPr>
          <w:lang w:val="en-US"/>
        </w:rPr>
        <w:t xml:space="preserve"> </w:t>
      </w:r>
      <w:r w:rsidRPr="00FD4941">
        <w:rPr>
          <w:lang w:val="en-US"/>
        </w:rPr>
        <w:t>this notice of this Annual General Meeting) and</w:t>
      </w:r>
      <w:r>
        <w:rPr>
          <w:lang w:val="en-US"/>
        </w:rPr>
        <w:t xml:space="preserve"> </w:t>
      </w:r>
      <w:r w:rsidRPr="00FD4941">
        <w:rPr>
          <w:lang w:val="en-US"/>
        </w:rPr>
        <w:t>that this authority shall expire (unless previously</w:t>
      </w:r>
      <w:r>
        <w:rPr>
          <w:lang w:val="en-US"/>
        </w:rPr>
        <w:t xml:space="preserve"> </w:t>
      </w:r>
      <w:r w:rsidRPr="00FD4941">
        <w:rPr>
          <w:lang w:val="en-US"/>
        </w:rPr>
        <w:t>varied, revoked or renewed by the Company</w:t>
      </w:r>
      <w:r>
        <w:rPr>
          <w:lang w:val="en-US"/>
        </w:rPr>
        <w:t xml:space="preserve"> </w:t>
      </w:r>
      <w:r w:rsidRPr="00FD4941">
        <w:rPr>
          <w:lang w:val="en-US"/>
        </w:rPr>
        <w:t>in General Meeting) at the conclusion of the</w:t>
      </w:r>
      <w:r>
        <w:rPr>
          <w:lang w:val="en-US"/>
        </w:rPr>
        <w:t xml:space="preserve"> </w:t>
      </w:r>
      <w:r w:rsidRPr="00FD4941">
        <w:rPr>
          <w:lang w:val="en-US"/>
        </w:rPr>
        <w:t>Annual General Meeting of the Company to</w:t>
      </w:r>
      <w:r>
        <w:rPr>
          <w:lang w:val="en-US"/>
        </w:rPr>
        <w:t xml:space="preserve"> </w:t>
      </w:r>
      <w:r w:rsidRPr="00FD4941">
        <w:rPr>
          <w:lang w:val="en-US"/>
        </w:rPr>
        <w:t>be held in 202</w:t>
      </w:r>
      <w:r>
        <w:rPr>
          <w:lang w:val="en-US"/>
        </w:rPr>
        <w:t>5</w:t>
      </w:r>
      <w:r w:rsidRPr="00FD4941">
        <w:rPr>
          <w:lang w:val="en-US"/>
        </w:rPr>
        <w:t xml:space="preserve"> or, if earlier, on the expiry of 15</w:t>
      </w:r>
      <w:r>
        <w:rPr>
          <w:lang w:val="en-US"/>
        </w:rPr>
        <w:t xml:space="preserve"> </w:t>
      </w:r>
      <w:r w:rsidRPr="00FD4941">
        <w:rPr>
          <w:lang w:val="en-US"/>
        </w:rPr>
        <w:t>months from the passing of this resolution, save</w:t>
      </w:r>
      <w:r>
        <w:rPr>
          <w:lang w:val="en-US"/>
        </w:rPr>
        <w:t xml:space="preserve"> </w:t>
      </w:r>
      <w:r w:rsidRPr="00FD4941">
        <w:rPr>
          <w:lang w:val="en-US"/>
        </w:rPr>
        <w:t>that the Company may, at any time prior to</w:t>
      </w:r>
      <w:r>
        <w:rPr>
          <w:lang w:val="en-US"/>
        </w:rPr>
        <w:t xml:space="preserve"> </w:t>
      </w:r>
      <w:r w:rsidRPr="00FD4941">
        <w:rPr>
          <w:lang w:val="en-US"/>
        </w:rPr>
        <w:t>the expiry of such authority, make an offer or</w:t>
      </w:r>
      <w:r>
        <w:rPr>
          <w:lang w:val="en-US"/>
        </w:rPr>
        <w:t xml:space="preserve"> </w:t>
      </w:r>
      <w:r w:rsidRPr="00FD4941">
        <w:rPr>
          <w:lang w:val="en-US"/>
        </w:rPr>
        <w:t>enter into an agreement which would or might</w:t>
      </w:r>
      <w:r>
        <w:rPr>
          <w:lang w:val="en-US"/>
        </w:rPr>
        <w:t xml:space="preserve"> </w:t>
      </w:r>
      <w:r w:rsidRPr="00FD4941">
        <w:rPr>
          <w:lang w:val="en-US"/>
        </w:rPr>
        <w:t>require the allotment of Ordinary Shares in</w:t>
      </w:r>
      <w:r>
        <w:rPr>
          <w:lang w:val="en-US"/>
        </w:rPr>
        <w:t xml:space="preserve"> </w:t>
      </w:r>
      <w:r w:rsidRPr="00FD4941">
        <w:rPr>
          <w:lang w:val="en-US"/>
        </w:rPr>
        <w:t>pursuance of such an offer or agreement as if</w:t>
      </w:r>
      <w:r>
        <w:rPr>
          <w:lang w:val="en-US"/>
        </w:rPr>
        <w:t xml:space="preserve"> </w:t>
      </w:r>
      <w:r w:rsidRPr="00FD4941">
        <w:rPr>
          <w:lang w:val="en-US"/>
        </w:rPr>
        <w:t>such authority had not expired.</w:t>
      </w:r>
    </w:p>
    <w:p w14:paraId="6A38AC11" w14:textId="77777777" w:rsidR="00887A10" w:rsidRPr="00A25AEA" w:rsidRDefault="00887A10" w:rsidP="00887A10">
      <w:pPr>
        <w:rPr>
          <w:lang w:val="en-US"/>
        </w:rPr>
      </w:pPr>
    </w:p>
    <w:p w14:paraId="1B2E02FC" w14:textId="77777777" w:rsidR="00887A10" w:rsidRPr="00A25AEA" w:rsidRDefault="00887A10" w:rsidP="00887A10">
      <w:pPr>
        <w:rPr>
          <w:b/>
          <w:bCs/>
          <w:lang w:val="en-US"/>
        </w:rPr>
      </w:pPr>
      <w:r w:rsidRPr="00A25AEA">
        <w:rPr>
          <w:b/>
          <w:bCs/>
          <w:lang w:val="en-US"/>
        </w:rPr>
        <w:t>Special Resolution – Disapplication of Pre-emption Rights</w:t>
      </w:r>
    </w:p>
    <w:p w14:paraId="4F354C39" w14:textId="77777777" w:rsidR="00887A10" w:rsidRPr="00A25AEA" w:rsidRDefault="00887A10" w:rsidP="00887A10">
      <w:pPr>
        <w:rPr>
          <w:lang w:val="en-US"/>
        </w:rPr>
      </w:pPr>
      <w:r>
        <w:rPr>
          <w:lang w:val="en-US"/>
        </w:rPr>
        <w:t xml:space="preserve"> </w:t>
      </w:r>
    </w:p>
    <w:p w14:paraId="50925A4E" w14:textId="77777777" w:rsidR="0093725B" w:rsidRPr="00960911" w:rsidRDefault="0093725B" w:rsidP="0093725B">
      <w:pPr>
        <w:jc w:val="both"/>
        <w:rPr>
          <w:lang w:val="en-US"/>
        </w:rPr>
      </w:pPr>
      <w:r w:rsidRPr="00A25AEA">
        <w:rPr>
          <w:lang w:val="en-US"/>
        </w:rPr>
        <w:t>Resolution 1</w:t>
      </w:r>
      <w:r>
        <w:rPr>
          <w:lang w:val="en-US"/>
        </w:rPr>
        <w:t>3</w:t>
      </w:r>
      <w:r w:rsidRPr="00A25AEA">
        <w:rPr>
          <w:lang w:val="en-US"/>
        </w:rPr>
        <w:t xml:space="preserve">. </w:t>
      </w:r>
      <w:r w:rsidRPr="00960911">
        <w:rPr>
          <w:lang w:val="en-US"/>
        </w:rPr>
        <w:t>That, subject to the passing of resolution 1</w:t>
      </w:r>
      <w:r>
        <w:rPr>
          <w:lang w:val="en-US"/>
        </w:rPr>
        <w:t>2</w:t>
      </w:r>
      <w:r w:rsidRPr="00960911">
        <w:rPr>
          <w:lang w:val="en-US"/>
        </w:rPr>
        <w:t>,</w:t>
      </w:r>
      <w:r>
        <w:rPr>
          <w:lang w:val="en-US"/>
        </w:rPr>
        <w:t xml:space="preserve"> </w:t>
      </w:r>
      <w:r w:rsidRPr="00960911">
        <w:rPr>
          <w:lang w:val="en-US"/>
        </w:rPr>
        <w:t>the Directors be and are hereby empowered,</w:t>
      </w:r>
      <w:r>
        <w:rPr>
          <w:lang w:val="en-US"/>
        </w:rPr>
        <w:t xml:space="preserve"> </w:t>
      </w:r>
      <w:r w:rsidRPr="00960911">
        <w:rPr>
          <w:lang w:val="en-US"/>
        </w:rPr>
        <w:t>pursuant to sections 570 and 573 of the</w:t>
      </w:r>
      <w:r>
        <w:rPr>
          <w:lang w:val="en-US"/>
        </w:rPr>
        <w:t xml:space="preserve"> </w:t>
      </w:r>
      <w:r w:rsidRPr="00960911">
        <w:rPr>
          <w:lang w:val="en-US"/>
        </w:rPr>
        <w:t>Companies Act, to allot Ordinary Shares for</w:t>
      </w:r>
      <w:r>
        <w:rPr>
          <w:lang w:val="en-US"/>
        </w:rPr>
        <w:t xml:space="preserve"> </w:t>
      </w:r>
      <w:r w:rsidRPr="00960911">
        <w:rPr>
          <w:lang w:val="en-US"/>
        </w:rPr>
        <w:t>cash pursuant to the authority conferred</w:t>
      </w:r>
      <w:r>
        <w:rPr>
          <w:lang w:val="en-US"/>
        </w:rPr>
        <w:t xml:space="preserve"> </w:t>
      </w:r>
      <w:r w:rsidRPr="00960911">
        <w:rPr>
          <w:lang w:val="en-US"/>
        </w:rPr>
        <w:t>by resolution 10 and/or sell Ordinary Shares</w:t>
      </w:r>
      <w:r>
        <w:rPr>
          <w:lang w:val="en-US"/>
        </w:rPr>
        <w:t xml:space="preserve"> </w:t>
      </w:r>
      <w:r w:rsidRPr="00960911">
        <w:rPr>
          <w:lang w:val="en-US"/>
        </w:rPr>
        <w:t>from treasury for cash as if section 561 of the</w:t>
      </w:r>
      <w:r>
        <w:rPr>
          <w:lang w:val="en-US"/>
        </w:rPr>
        <w:t xml:space="preserve"> </w:t>
      </w:r>
      <w:r w:rsidRPr="00960911">
        <w:rPr>
          <w:lang w:val="en-US"/>
        </w:rPr>
        <w:t>Companies Act did not apply to such allotment</w:t>
      </w:r>
      <w:r>
        <w:rPr>
          <w:lang w:val="en-US"/>
        </w:rPr>
        <w:t xml:space="preserve"> </w:t>
      </w:r>
      <w:r w:rsidRPr="00960911">
        <w:rPr>
          <w:lang w:val="en-US"/>
        </w:rPr>
        <w:t>or sale provided that such authority shall be</w:t>
      </w:r>
      <w:r>
        <w:rPr>
          <w:lang w:val="en-US"/>
        </w:rPr>
        <w:t xml:space="preserve"> </w:t>
      </w:r>
      <w:r w:rsidRPr="00960911">
        <w:rPr>
          <w:lang w:val="en-US"/>
        </w:rPr>
        <w:t>limited to:</w:t>
      </w:r>
    </w:p>
    <w:p w14:paraId="199F54E7" w14:textId="77777777" w:rsidR="0093725B" w:rsidRDefault="0093725B" w:rsidP="0093725B">
      <w:pPr>
        <w:jc w:val="both"/>
        <w:rPr>
          <w:lang w:val="en-US"/>
        </w:rPr>
      </w:pPr>
      <w:r w:rsidRPr="00960911">
        <w:rPr>
          <w:lang w:val="en-US"/>
        </w:rPr>
        <w:t>(a) the allotment of Ordinary Shares or sale</w:t>
      </w:r>
      <w:r>
        <w:rPr>
          <w:lang w:val="en-US"/>
        </w:rPr>
        <w:t xml:space="preserve"> </w:t>
      </w:r>
      <w:r w:rsidRPr="00960911">
        <w:rPr>
          <w:lang w:val="en-US"/>
        </w:rPr>
        <w:t>of Ordinary Shares from treasury to any</w:t>
      </w:r>
      <w:r>
        <w:rPr>
          <w:lang w:val="en-US"/>
        </w:rPr>
        <w:t xml:space="preserve"> </w:t>
      </w:r>
      <w:r w:rsidRPr="00960911">
        <w:rPr>
          <w:lang w:val="en-US"/>
        </w:rPr>
        <w:t>person up to an aggregate nominal</w:t>
      </w:r>
      <w:r>
        <w:rPr>
          <w:lang w:val="en-US"/>
        </w:rPr>
        <w:t xml:space="preserve"> </w:t>
      </w:r>
      <w:r w:rsidRPr="00960911">
        <w:rPr>
          <w:lang w:val="en-US"/>
        </w:rPr>
        <w:t>amount of £564,927.536 (equivalent to</w:t>
      </w:r>
      <w:r>
        <w:rPr>
          <w:lang w:val="en-US"/>
        </w:rPr>
        <w:t xml:space="preserve"> </w:t>
      </w:r>
      <w:r w:rsidRPr="00960911">
        <w:rPr>
          <w:lang w:val="en-US"/>
        </w:rPr>
        <w:t>10% of the issued share capital of the</w:t>
      </w:r>
      <w:r>
        <w:rPr>
          <w:lang w:val="en-US"/>
        </w:rPr>
        <w:t xml:space="preserve"> </w:t>
      </w:r>
      <w:r w:rsidRPr="00960911">
        <w:rPr>
          <w:lang w:val="en-US"/>
        </w:rPr>
        <w:t>Company as at the date of this notice of</w:t>
      </w:r>
      <w:r>
        <w:rPr>
          <w:lang w:val="en-US"/>
        </w:rPr>
        <w:t xml:space="preserve"> </w:t>
      </w:r>
      <w:r w:rsidRPr="00960911">
        <w:rPr>
          <w:lang w:val="en-US"/>
        </w:rPr>
        <w:t>this Annual General Meeting); and</w:t>
      </w:r>
      <w:r>
        <w:rPr>
          <w:lang w:val="en-US"/>
        </w:rPr>
        <w:t xml:space="preserve"> </w:t>
      </w:r>
    </w:p>
    <w:p w14:paraId="1088F158" w14:textId="77777777" w:rsidR="0093725B" w:rsidRDefault="0093725B" w:rsidP="0093725B">
      <w:pPr>
        <w:jc w:val="both"/>
        <w:rPr>
          <w:lang w:val="en-US"/>
        </w:rPr>
      </w:pPr>
      <w:r w:rsidRPr="00960911">
        <w:rPr>
          <w:lang w:val="en-US"/>
        </w:rPr>
        <w:t>(b) the allotment of Ordinary Shares or</w:t>
      </w:r>
      <w:r>
        <w:rPr>
          <w:lang w:val="en-US"/>
        </w:rPr>
        <w:t xml:space="preserve"> </w:t>
      </w:r>
      <w:r w:rsidRPr="00960911">
        <w:rPr>
          <w:lang w:val="en-US"/>
        </w:rPr>
        <w:t>sale of Ordinary Shares from treasury</w:t>
      </w:r>
      <w:r>
        <w:rPr>
          <w:lang w:val="en-US"/>
        </w:rPr>
        <w:t xml:space="preserve"> </w:t>
      </w:r>
      <w:r w:rsidRPr="00960911">
        <w:rPr>
          <w:lang w:val="en-US"/>
        </w:rPr>
        <w:t>(otherwise than pursuant to paragraph</w:t>
      </w:r>
      <w:r>
        <w:rPr>
          <w:lang w:val="en-US"/>
        </w:rPr>
        <w:t xml:space="preserve"> </w:t>
      </w:r>
      <w:r w:rsidRPr="00960911">
        <w:rPr>
          <w:lang w:val="en-US"/>
        </w:rPr>
        <w:t>(a) of this resolution) to any person up to</w:t>
      </w:r>
      <w:r>
        <w:rPr>
          <w:lang w:val="en-US"/>
        </w:rPr>
        <w:t xml:space="preserve"> </w:t>
      </w:r>
      <w:r w:rsidRPr="00960911">
        <w:rPr>
          <w:lang w:val="en-US"/>
        </w:rPr>
        <w:t>an aggregate nominal amount equal to</w:t>
      </w:r>
      <w:r>
        <w:rPr>
          <w:lang w:val="en-US"/>
        </w:rPr>
        <w:t xml:space="preserve"> </w:t>
      </w:r>
      <w:r w:rsidRPr="00960911">
        <w:rPr>
          <w:lang w:val="en-US"/>
        </w:rPr>
        <w:t>20% of any allotment of Ordinary Shares</w:t>
      </w:r>
      <w:r>
        <w:rPr>
          <w:lang w:val="en-US"/>
        </w:rPr>
        <w:t xml:space="preserve"> </w:t>
      </w:r>
      <w:r w:rsidRPr="00960911">
        <w:rPr>
          <w:lang w:val="en-US"/>
        </w:rPr>
        <w:t>or sale of Ordinary Shares from treasury</w:t>
      </w:r>
      <w:r>
        <w:rPr>
          <w:lang w:val="en-US"/>
        </w:rPr>
        <w:t xml:space="preserve"> </w:t>
      </w:r>
      <w:r w:rsidRPr="00960911">
        <w:rPr>
          <w:lang w:val="en-US"/>
        </w:rPr>
        <w:t>from time to time under paragraph (a) of</w:t>
      </w:r>
      <w:r>
        <w:rPr>
          <w:lang w:val="en-US"/>
        </w:rPr>
        <w:t xml:space="preserve"> </w:t>
      </w:r>
      <w:r w:rsidRPr="00960911">
        <w:rPr>
          <w:lang w:val="en-US"/>
        </w:rPr>
        <w:t>this resolution, such authority to be used</w:t>
      </w:r>
      <w:r>
        <w:rPr>
          <w:lang w:val="en-US"/>
        </w:rPr>
        <w:t xml:space="preserve"> </w:t>
      </w:r>
      <w:r w:rsidRPr="00960911">
        <w:rPr>
          <w:lang w:val="en-US"/>
        </w:rPr>
        <w:t>only for the purposes of making a follow</w:t>
      </w:r>
      <w:r>
        <w:rPr>
          <w:lang w:val="en-US"/>
        </w:rPr>
        <w:t>-</w:t>
      </w:r>
      <w:r w:rsidRPr="00960911">
        <w:rPr>
          <w:lang w:val="en-US"/>
        </w:rPr>
        <w:t>on offer which the Board determines to be</w:t>
      </w:r>
      <w:r>
        <w:rPr>
          <w:lang w:val="en-US"/>
        </w:rPr>
        <w:t xml:space="preserve"> </w:t>
      </w:r>
      <w:r w:rsidRPr="00960911">
        <w:rPr>
          <w:lang w:val="en-US"/>
        </w:rPr>
        <w:t>of a kind contemplated by paragraph 3 of</w:t>
      </w:r>
      <w:r>
        <w:rPr>
          <w:lang w:val="en-US"/>
        </w:rPr>
        <w:t xml:space="preserve"> </w:t>
      </w:r>
      <w:r w:rsidRPr="00960911">
        <w:rPr>
          <w:lang w:val="en-US"/>
        </w:rPr>
        <w:t>Part 2B of the Statement of Principles on</w:t>
      </w:r>
      <w:r>
        <w:rPr>
          <w:lang w:val="en-US"/>
        </w:rPr>
        <w:t xml:space="preserve"> </w:t>
      </w:r>
      <w:r w:rsidRPr="00960911">
        <w:rPr>
          <w:lang w:val="en-US"/>
        </w:rPr>
        <w:t>Disapplying Pre-Emption Rights published</w:t>
      </w:r>
      <w:r>
        <w:rPr>
          <w:lang w:val="en-US"/>
        </w:rPr>
        <w:t xml:space="preserve"> </w:t>
      </w:r>
      <w:r w:rsidRPr="00960911">
        <w:rPr>
          <w:lang w:val="en-US"/>
        </w:rPr>
        <w:t>by the Pre-Emption Group in 2022,</w:t>
      </w:r>
    </w:p>
    <w:p w14:paraId="709F851F" w14:textId="77777777" w:rsidR="0093725B" w:rsidRDefault="0093725B" w:rsidP="0093725B">
      <w:pPr>
        <w:jc w:val="both"/>
        <w:rPr>
          <w:lang w:val="en-US"/>
        </w:rPr>
      </w:pPr>
      <w:r w:rsidRPr="00960911">
        <w:rPr>
          <w:lang w:val="en-US"/>
        </w:rPr>
        <w:t>and that this power shall expire (unless</w:t>
      </w:r>
      <w:r>
        <w:rPr>
          <w:lang w:val="en-US"/>
        </w:rPr>
        <w:t xml:space="preserve"> </w:t>
      </w:r>
      <w:r w:rsidRPr="00960911">
        <w:rPr>
          <w:lang w:val="en-US"/>
        </w:rPr>
        <w:t>previously varied, revoked or renewed by the</w:t>
      </w:r>
      <w:r>
        <w:rPr>
          <w:lang w:val="en-US"/>
        </w:rPr>
        <w:t xml:space="preserve"> </w:t>
      </w:r>
      <w:r w:rsidRPr="00960911">
        <w:rPr>
          <w:lang w:val="en-US"/>
        </w:rPr>
        <w:t>Company in General Meeting) at the conclusion</w:t>
      </w:r>
      <w:r>
        <w:rPr>
          <w:lang w:val="en-US"/>
        </w:rPr>
        <w:t xml:space="preserve"> </w:t>
      </w:r>
      <w:r w:rsidRPr="00960911">
        <w:rPr>
          <w:lang w:val="en-US"/>
        </w:rPr>
        <w:t>of the Annual General Meeting of the Company</w:t>
      </w:r>
      <w:r>
        <w:rPr>
          <w:lang w:val="en-US"/>
        </w:rPr>
        <w:t xml:space="preserve"> </w:t>
      </w:r>
      <w:r w:rsidRPr="00960911">
        <w:rPr>
          <w:lang w:val="en-US"/>
        </w:rPr>
        <w:t>to be held in 202</w:t>
      </w:r>
      <w:r>
        <w:rPr>
          <w:lang w:val="en-US"/>
        </w:rPr>
        <w:t>5</w:t>
      </w:r>
      <w:r w:rsidRPr="00960911">
        <w:rPr>
          <w:lang w:val="en-US"/>
        </w:rPr>
        <w:t xml:space="preserve"> or, if earlier, on the expiry of</w:t>
      </w:r>
      <w:r>
        <w:rPr>
          <w:lang w:val="en-US"/>
        </w:rPr>
        <w:t xml:space="preserve"> </w:t>
      </w:r>
      <w:r w:rsidRPr="00960911">
        <w:rPr>
          <w:lang w:val="en-US"/>
        </w:rPr>
        <w:t>15 months from the passing of this resolution,</w:t>
      </w:r>
      <w:r>
        <w:rPr>
          <w:lang w:val="en-US"/>
        </w:rPr>
        <w:t xml:space="preserve"> </w:t>
      </w:r>
      <w:r w:rsidRPr="00960911">
        <w:rPr>
          <w:lang w:val="en-US"/>
        </w:rPr>
        <w:t>save that the Company may, at any time prior</w:t>
      </w:r>
      <w:r>
        <w:rPr>
          <w:lang w:val="en-US"/>
        </w:rPr>
        <w:t xml:space="preserve"> </w:t>
      </w:r>
      <w:r w:rsidRPr="00960911">
        <w:rPr>
          <w:lang w:val="en-US"/>
        </w:rPr>
        <w:t>to the expiry of such authority, make an offer or</w:t>
      </w:r>
      <w:r>
        <w:rPr>
          <w:lang w:val="en-US"/>
        </w:rPr>
        <w:t xml:space="preserve"> </w:t>
      </w:r>
      <w:r w:rsidRPr="00960911">
        <w:rPr>
          <w:lang w:val="en-US"/>
        </w:rPr>
        <w:t>enter into an agreement which would or might</w:t>
      </w:r>
      <w:r>
        <w:rPr>
          <w:lang w:val="en-US"/>
        </w:rPr>
        <w:t xml:space="preserve"> </w:t>
      </w:r>
      <w:r w:rsidRPr="00960911">
        <w:rPr>
          <w:lang w:val="en-US"/>
        </w:rPr>
        <w:t>require the allotment or sale of Ordinary Shares</w:t>
      </w:r>
      <w:r>
        <w:rPr>
          <w:lang w:val="en-US"/>
        </w:rPr>
        <w:t xml:space="preserve"> </w:t>
      </w:r>
      <w:r w:rsidRPr="00960911">
        <w:rPr>
          <w:lang w:val="en-US"/>
        </w:rPr>
        <w:t>in pursuance of such an offer or agreement as if</w:t>
      </w:r>
      <w:r>
        <w:rPr>
          <w:lang w:val="en-US"/>
        </w:rPr>
        <w:t xml:space="preserve"> </w:t>
      </w:r>
      <w:r w:rsidRPr="00960911">
        <w:rPr>
          <w:lang w:val="en-US"/>
        </w:rPr>
        <w:t>such authority had not expired.</w:t>
      </w:r>
    </w:p>
    <w:p w14:paraId="42AF9E99" w14:textId="77777777" w:rsidR="00887A10" w:rsidRPr="00A25AEA" w:rsidRDefault="00887A10" w:rsidP="00887A10">
      <w:pPr>
        <w:jc w:val="both"/>
        <w:rPr>
          <w:lang w:val="en-US"/>
        </w:rPr>
      </w:pPr>
    </w:p>
    <w:p w14:paraId="666429E6" w14:textId="77777777" w:rsidR="00887A10" w:rsidRPr="00A25AEA" w:rsidRDefault="00887A10" w:rsidP="00887A10">
      <w:pPr>
        <w:rPr>
          <w:b/>
          <w:bCs/>
          <w:lang w:val="en-US"/>
        </w:rPr>
      </w:pPr>
      <w:r w:rsidRPr="00A25AEA">
        <w:rPr>
          <w:b/>
          <w:bCs/>
          <w:lang w:val="en-US"/>
        </w:rPr>
        <w:t>Special Resolution – Disapplication of Pre-emption Rights</w:t>
      </w:r>
    </w:p>
    <w:p w14:paraId="2BA83FFC" w14:textId="77777777" w:rsidR="00887A10" w:rsidRPr="00A25AEA" w:rsidRDefault="00887A10" w:rsidP="00887A10">
      <w:pPr>
        <w:rPr>
          <w:lang w:val="en-US"/>
        </w:rPr>
      </w:pPr>
      <w:r>
        <w:rPr>
          <w:lang w:val="en-US"/>
        </w:rPr>
        <w:t xml:space="preserve"> </w:t>
      </w:r>
      <w:r w:rsidRPr="00A25AEA">
        <w:rPr>
          <w:lang w:val="en-US"/>
        </w:rPr>
        <w:t xml:space="preserve"> </w:t>
      </w:r>
      <w:r>
        <w:rPr>
          <w:lang w:val="en-US"/>
        </w:rPr>
        <w:t xml:space="preserve"> </w:t>
      </w:r>
    </w:p>
    <w:p w14:paraId="3A8DF0EB" w14:textId="77777777" w:rsidR="0093725B" w:rsidRPr="0066380A" w:rsidRDefault="0093725B" w:rsidP="0093725B">
      <w:pPr>
        <w:jc w:val="both"/>
        <w:rPr>
          <w:lang w:val="en-US"/>
        </w:rPr>
      </w:pPr>
      <w:r w:rsidRPr="00A25AEA">
        <w:rPr>
          <w:lang w:val="en-US"/>
        </w:rPr>
        <w:t>Resolution 1</w:t>
      </w:r>
      <w:r>
        <w:rPr>
          <w:lang w:val="en-US"/>
        </w:rPr>
        <w:t>4</w:t>
      </w:r>
      <w:r w:rsidRPr="00A25AEA">
        <w:rPr>
          <w:lang w:val="en-US"/>
        </w:rPr>
        <w:t xml:space="preserve">. </w:t>
      </w:r>
      <w:r w:rsidRPr="0066380A">
        <w:rPr>
          <w:lang w:val="en-US"/>
        </w:rPr>
        <w:t>That, subject to the passing of resolution 1</w:t>
      </w:r>
      <w:r>
        <w:rPr>
          <w:lang w:val="en-US"/>
        </w:rPr>
        <w:t>2</w:t>
      </w:r>
      <w:r w:rsidRPr="0066380A">
        <w:rPr>
          <w:lang w:val="en-US"/>
        </w:rPr>
        <w:t>,</w:t>
      </w:r>
      <w:r>
        <w:rPr>
          <w:lang w:val="en-US"/>
        </w:rPr>
        <w:t xml:space="preserve"> </w:t>
      </w:r>
      <w:r w:rsidRPr="0066380A">
        <w:rPr>
          <w:lang w:val="en-US"/>
        </w:rPr>
        <w:t>the Directors be and are hereby empowered,</w:t>
      </w:r>
      <w:r>
        <w:rPr>
          <w:lang w:val="en-US"/>
        </w:rPr>
        <w:t xml:space="preserve"> </w:t>
      </w:r>
      <w:r w:rsidRPr="0066380A">
        <w:rPr>
          <w:lang w:val="en-US"/>
        </w:rPr>
        <w:t>in addition to any authority granted under</w:t>
      </w:r>
      <w:r>
        <w:rPr>
          <w:lang w:val="en-US"/>
        </w:rPr>
        <w:t xml:space="preserve"> </w:t>
      </w:r>
      <w:r w:rsidRPr="0066380A">
        <w:rPr>
          <w:lang w:val="en-US"/>
        </w:rPr>
        <w:t>resolution 1</w:t>
      </w:r>
      <w:r>
        <w:rPr>
          <w:lang w:val="en-US"/>
        </w:rPr>
        <w:t>3</w:t>
      </w:r>
      <w:r w:rsidRPr="0066380A">
        <w:rPr>
          <w:lang w:val="en-US"/>
        </w:rPr>
        <w:t>, pursuant to sections 570 and 573</w:t>
      </w:r>
      <w:r>
        <w:rPr>
          <w:lang w:val="en-US"/>
        </w:rPr>
        <w:t xml:space="preserve"> </w:t>
      </w:r>
      <w:r w:rsidRPr="0066380A">
        <w:rPr>
          <w:lang w:val="en-US"/>
        </w:rPr>
        <w:t>of the Companies Act, to allot Ordinary Shares</w:t>
      </w:r>
      <w:r>
        <w:rPr>
          <w:lang w:val="en-US"/>
        </w:rPr>
        <w:t xml:space="preserve"> </w:t>
      </w:r>
      <w:r w:rsidRPr="0066380A">
        <w:rPr>
          <w:lang w:val="en-US"/>
        </w:rPr>
        <w:t>for cash pursuant to the authority conferred</w:t>
      </w:r>
      <w:r>
        <w:rPr>
          <w:lang w:val="en-US"/>
        </w:rPr>
        <w:t xml:space="preserve"> </w:t>
      </w:r>
      <w:r w:rsidRPr="0066380A">
        <w:rPr>
          <w:lang w:val="en-US"/>
        </w:rPr>
        <w:t>by resolution 1</w:t>
      </w:r>
      <w:r>
        <w:rPr>
          <w:lang w:val="en-US"/>
        </w:rPr>
        <w:t>2</w:t>
      </w:r>
      <w:r w:rsidRPr="0066380A">
        <w:rPr>
          <w:lang w:val="en-US"/>
        </w:rPr>
        <w:t xml:space="preserve"> and/or sell Ordinary Shares</w:t>
      </w:r>
      <w:r>
        <w:rPr>
          <w:lang w:val="en-US"/>
        </w:rPr>
        <w:t xml:space="preserve"> </w:t>
      </w:r>
      <w:r w:rsidRPr="0066380A">
        <w:rPr>
          <w:lang w:val="en-US"/>
        </w:rPr>
        <w:t>from treasury for cash as if section 561 of the</w:t>
      </w:r>
      <w:r>
        <w:rPr>
          <w:lang w:val="en-US"/>
        </w:rPr>
        <w:t xml:space="preserve"> </w:t>
      </w:r>
      <w:r w:rsidRPr="0066380A">
        <w:rPr>
          <w:lang w:val="en-US"/>
        </w:rPr>
        <w:t>Companies Act did not apply to such allotment</w:t>
      </w:r>
      <w:r>
        <w:rPr>
          <w:lang w:val="en-US"/>
        </w:rPr>
        <w:t xml:space="preserve"> </w:t>
      </w:r>
      <w:r w:rsidRPr="0066380A">
        <w:rPr>
          <w:lang w:val="en-US"/>
        </w:rPr>
        <w:t>or sale provided that such authority shall be</w:t>
      </w:r>
      <w:r>
        <w:rPr>
          <w:lang w:val="en-US"/>
        </w:rPr>
        <w:t xml:space="preserve"> </w:t>
      </w:r>
      <w:r w:rsidRPr="0066380A">
        <w:rPr>
          <w:lang w:val="en-US"/>
        </w:rPr>
        <w:t>limited to:</w:t>
      </w:r>
    </w:p>
    <w:p w14:paraId="72603196" w14:textId="77777777" w:rsidR="0093725B" w:rsidRDefault="0093725B" w:rsidP="0093725B">
      <w:pPr>
        <w:jc w:val="both"/>
        <w:rPr>
          <w:lang w:val="en-US"/>
        </w:rPr>
      </w:pPr>
      <w:r w:rsidRPr="0066380A">
        <w:rPr>
          <w:lang w:val="en-US"/>
        </w:rPr>
        <w:lastRenderedPageBreak/>
        <w:t>(a) the allotment of Ordinary Shares or</w:t>
      </w:r>
      <w:r>
        <w:rPr>
          <w:lang w:val="en-US"/>
        </w:rPr>
        <w:t xml:space="preserve"> </w:t>
      </w:r>
      <w:r w:rsidRPr="0066380A">
        <w:rPr>
          <w:lang w:val="en-US"/>
        </w:rPr>
        <w:t>sale of Ordinary Shares from treasury</w:t>
      </w:r>
      <w:r>
        <w:rPr>
          <w:lang w:val="en-US"/>
        </w:rPr>
        <w:t xml:space="preserve"> </w:t>
      </w:r>
      <w:r w:rsidRPr="0066380A">
        <w:rPr>
          <w:lang w:val="en-US"/>
        </w:rPr>
        <w:t>up to an aggregate nominal amount of</w:t>
      </w:r>
      <w:r>
        <w:rPr>
          <w:lang w:val="en-US"/>
        </w:rPr>
        <w:t xml:space="preserve"> </w:t>
      </w:r>
      <w:r w:rsidRPr="0066380A">
        <w:rPr>
          <w:lang w:val="en-US"/>
        </w:rPr>
        <w:t>£564,927.536 (equivalent to 10% of the</w:t>
      </w:r>
      <w:r>
        <w:rPr>
          <w:lang w:val="en-US"/>
        </w:rPr>
        <w:t xml:space="preserve"> </w:t>
      </w:r>
      <w:r w:rsidRPr="0066380A">
        <w:rPr>
          <w:lang w:val="en-US"/>
        </w:rPr>
        <w:t>issued share capital of the Company as</w:t>
      </w:r>
      <w:r>
        <w:rPr>
          <w:lang w:val="en-US"/>
        </w:rPr>
        <w:t xml:space="preserve"> </w:t>
      </w:r>
      <w:r w:rsidRPr="0066380A">
        <w:rPr>
          <w:lang w:val="en-US"/>
        </w:rPr>
        <w:t>at the date of this notice of this Annual</w:t>
      </w:r>
      <w:r>
        <w:rPr>
          <w:lang w:val="en-US"/>
        </w:rPr>
        <w:t xml:space="preserve"> </w:t>
      </w:r>
      <w:r w:rsidRPr="0066380A">
        <w:rPr>
          <w:lang w:val="en-US"/>
        </w:rPr>
        <w:t>General Meeting), to be used only for</w:t>
      </w:r>
      <w:r>
        <w:rPr>
          <w:lang w:val="en-US"/>
        </w:rPr>
        <w:t xml:space="preserve"> </w:t>
      </w:r>
      <w:r w:rsidRPr="0066380A">
        <w:rPr>
          <w:lang w:val="en-US"/>
        </w:rPr>
        <w:t>the purpose of financing (or refinancing,</w:t>
      </w:r>
      <w:r>
        <w:rPr>
          <w:lang w:val="en-US"/>
        </w:rPr>
        <w:t xml:space="preserve"> </w:t>
      </w:r>
      <w:r w:rsidRPr="0066380A">
        <w:rPr>
          <w:lang w:val="en-US"/>
        </w:rPr>
        <w:t>if the authority is to be used within 12</w:t>
      </w:r>
      <w:r>
        <w:rPr>
          <w:lang w:val="en-US"/>
        </w:rPr>
        <w:t xml:space="preserve"> </w:t>
      </w:r>
      <w:r w:rsidRPr="0066380A">
        <w:rPr>
          <w:lang w:val="en-US"/>
        </w:rPr>
        <w:t>months after the original transaction) a</w:t>
      </w:r>
      <w:r>
        <w:rPr>
          <w:lang w:val="en-US"/>
        </w:rPr>
        <w:t xml:space="preserve"> </w:t>
      </w:r>
      <w:r w:rsidRPr="0066380A">
        <w:rPr>
          <w:lang w:val="en-US"/>
        </w:rPr>
        <w:t>transaction which the Board determines</w:t>
      </w:r>
      <w:r>
        <w:rPr>
          <w:lang w:val="en-US"/>
        </w:rPr>
        <w:t xml:space="preserve"> </w:t>
      </w:r>
      <w:r w:rsidRPr="0066380A">
        <w:rPr>
          <w:lang w:val="en-US"/>
        </w:rPr>
        <w:t>to be either an acquisition or a specified</w:t>
      </w:r>
      <w:r>
        <w:rPr>
          <w:lang w:val="en-US"/>
        </w:rPr>
        <w:t xml:space="preserve"> </w:t>
      </w:r>
      <w:r w:rsidRPr="0066380A">
        <w:rPr>
          <w:lang w:val="en-US"/>
        </w:rPr>
        <w:t>capital investment of a kind contemplated</w:t>
      </w:r>
      <w:r>
        <w:rPr>
          <w:lang w:val="en-US"/>
        </w:rPr>
        <w:t xml:space="preserve"> </w:t>
      </w:r>
      <w:r w:rsidRPr="0066380A">
        <w:rPr>
          <w:lang w:val="en-US"/>
        </w:rPr>
        <w:t>by the Statement of Principles on</w:t>
      </w:r>
      <w:r>
        <w:rPr>
          <w:lang w:val="en-US"/>
        </w:rPr>
        <w:t xml:space="preserve"> </w:t>
      </w:r>
      <w:r w:rsidRPr="0066380A">
        <w:rPr>
          <w:lang w:val="en-US"/>
        </w:rPr>
        <w:t>Disapplying Pre-Emption Rights published</w:t>
      </w:r>
      <w:r>
        <w:rPr>
          <w:lang w:val="en-US"/>
        </w:rPr>
        <w:t xml:space="preserve"> </w:t>
      </w:r>
      <w:r w:rsidRPr="0066380A">
        <w:rPr>
          <w:lang w:val="en-US"/>
        </w:rPr>
        <w:t xml:space="preserve">by the Pre-Emption Group in 2022; and </w:t>
      </w:r>
      <w:r>
        <w:rPr>
          <w:lang w:val="en-US"/>
        </w:rPr>
        <w:t xml:space="preserve"> </w:t>
      </w:r>
    </w:p>
    <w:p w14:paraId="6F5B314A" w14:textId="77777777" w:rsidR="0093725B" w:rsidRPr="0066380A" w:rsidRDefault="0093725B" w:rsidP="0093725B">
      <w:pPr>
        <w:jc w:val="both"/>
        <w:rPr>
          <w:lang w:val="en-US"/>
        </w:rPr>
      </w:pPr>
      <w:r w:rsidRPr="0066380A">
        <w:rPr>
          <w:lang w:val="en-US"/>
        </w:rPr>
        <w:t>(b) the allotment of Ordinary Shares or</w:t>
      </w:r>
      <w:r>
        <w:rPr>
          <w:lang w:val="en-US"/>
        </w:rPr>
        <w:t xml:space="preserve"> </w:t>
      </w:r>
      <w:r w:rsidRPr="0066380A">
        <w:rPr>
          <w:lang w:val="en-US"/>
        </w:rPr>
        <w:t>sale of Ordinary Shares from treasury</w:t>
      </w:r>
      <w:r>
        <w:rPr>
          <w:lang w:val="en-US"/>
        </w:rPr>
        <w:t xml:space="preserve"> </w:t>
      </w:r>
      <w:r w:rsidRPr="0066380A">
        <w:rPr>
          <w:lang w:val="en-US"/>
        </w:rPr>
        <w:t>(otherwise than pursuant to paragraph</w:t>
      </w:r>
      <w:r>
        <w:rPr>
          <w:lang w:val="en-US"/>
        </w:rPr>
        <w:t xml:space="preserve"> </w:t>
      </w:r>
      <w:r w:rsidRPr="0066380A">
        <w:rPr>
          <w:lang w:val="en-US"/>
        </w:rPr>
        <w:t>(a) of this resolution) to any person up to</w:t>
      </w:r>
      <w:r>
        <w:rPr>
          <w:lang w:val="en-US"/>
        </w:rPr>
        <w:t xml:space="preserve"> </w:t>
      </w:r>
      <w:r w:rsidRPr="0066380A">
        <w:rPr>
          <w:lang w:val="en-US"/>
        </w:rPr>
        <w:t>an aggregate nominal amount equal to</w:t>
      </w:r>
      <w:r>
        <w:rPr>
          <w:lang w:val="en-US"/>
        </w:rPr>
        <w:t xml:space="preserve"> </w:t>
      </w:r>
      <w:r w:rsidRPr="0066380A">
        <w:rPr>
          <w:lang w:val="en-US"/>
        </w:rPr>
        <w:t>20% of any allotment of Ordinary Shares</w:t>
      </w:r>
      <w:r>
        <w:rPr>
          <w:lang w:val="en-US"/>
        </w:rPr>
        <w:t xml:space="preserve"> </w:t>
      </w:r>
      <w:r w:rsidRPr="0066380A">
        <w:rPr>
          <w:lang w:val="en-US"/>
        </w:rPr>
        <w:t>or sale of Ordinary Shares from treasury</w:t>
      </w:r>
      <w:r>
        <w:rPr>
          <w:lang w:val="en-US"/>
        </w:rPr>
        <w:t xml:space="preserve"> </w:t>
      </w:r>
      <w:r w:rsidRPr="0066380A">
        <w:rPr>
          <w:lang w:val="en-US"/>
        </w:rPr>
        <w:t>from time to time under paragraph (a) of</w:t>
      </w:r>
      <w:r>
        <w:rPr>
          <w:lang w:val="en-US"/>
        </w:rPr>
        <w:t xml:space="preserve"> </w:t>
      </w:r>
      <w:r w:rsidRPr="0066380A">
        <w:rPr>
          <w:lang w:val="en-US"/>
        </w:rPr>
        <w:t>this resolution, such authority to be used</w:t>
      </w:r>
      <w:r>
        <w:rPr>
          <w:lang w:val="en-US"/>
        </w:rPr>
        <w:t xml:space="preserve"> </w:t>
      </w:r>
      <w:r w:rsidRPr="0066380A">
        <w:rPr>
          <w:lang w:val="en-US"/>
        </w:rPr>
        <w:t>only for the purposes of making a follow</w:t>
      </w:r>
      <w:r>
        <w:rPr>
          <w:lang w:val="en-US"/>
        </w:rPr>
        <w:t>-</w:t>
      </w:r>
      <w:r w:rsidRPr="0066380A">
        <w:rPr>
          <w:lang w:val="en-US"/>
        </w:rPr>
        <w:t>on offer which the Board determines to be</w:t>
      </w:r>
      <w:r>
        <w:rPr>
          <w:lang w:val="en-US"/>
        </w:rPr>
        <w:t xml:space="preserve"> </w:t>
      </w:r>
      <w:r w:rsidRPr="0066380A">
        <w:rPr>
          <w:lang w:val="en-US"/>
        </w:rPr>
        <w:t>of a kind contemplated by paragraph 3 of</w:t>
      </w:r>
      <w:r>
        <w:rPr>
          <w:lang w:val="en-US"/>
        </w:rPr>
        <w:t xml:space="preserve"> </w:t>
      </w:r>
      <w:r w:rsidRPr="0066380A">
        <w:rPr>
          <w:lang w:val="en-US"/>
        </w:rPr>
        <w:t>Part 2B of the Statement of Principles on</w:t>
      </w:r>
      <w:r>
        <w:rPr>
          <w:lang w:val="en-US"/>
        </w:rPr>
        <w:t xml:space="preserve"> </w:t>
      </w:r>
      <w:r w:rsidRPr="0066380A">
        <w:rPr>
          <w:lang w:val="en-US"/>
        </w:rPr>
        <w:t>Disapplying Pre-Emption Rights published</w:t>
      </w:r>
      <w:r>
        <w:rPr>
          <w:lang w:val="en-US"/>
        </w:rPr>
        <w:t xml:space="preserve"> </w:t>
      </w:r>
      <w:r w:rsidRPr="0066380A">
        <w:rPr>
          <w:lang w:val="en-US"/>
        </w:rPr>
        <w:t>by the Pre-Emption Group in 2022,</w:t>
      </w:r>
    </w:p>
    <w:p w14:paraId="187ED002" w14:textId="77777777" w:rsidR="0093725B" w:rsidRDefault="0093725B" w:rsidP="0093725B">
      <w:pPr>
        <w:jc w:val="both"/>
        <w:rPr>
          <w:lang w:val="en-US"/>
        </w:rPr>
      </w:pPr>
      <w:r w:rsidRPr="0066380A">
        <w:rPr>
          <w:lang w:val="en-US"/>
        </w:rPr>
        <w:t>and that this power shall expire (unless</w:t>
      </w:r>
      <w:r>
        <w:rPr>
          <w:lang w:val="en-US"/>
        </w:rPr>
        <w:t xml:space="preserve"> </w:t>
      </w:r>
      <w:r w:rsidRPr="0066380A">
        <w:rPr>
          <w:lang w:val="en-US"/>
        </w:rPr>
        <w:t>previously varied, revoked or renewed by the</w:t>
      </w:r>
      <w:r>
        <w:rPr>
          <w:lang w:val="en-US"/>
        </w:rPr>
        <w:t xml:space="preserve"> </w:t>
      </w:r>
      <w:r w:rsidRPr="0066380A">
        <w:rPr>
          <w:lang w:val="en-US"/>
        </w:rPr>
        <w:t>Company in General Meeting) at the conclusion</w:t>
      </w:r>
      <w:r>
        <w:rPr>
          <w:lang w:val="en-US"/>
        </w:rPr>
        <w:t xml:space="preserve"> </w:t>
      </w:r>
      <w:r w:rsidRPr="0066380A">
        <w:rPr>
          <w:lang w:val="en-US"/>
        </w:rPr>
        <w:t>of the Annual General Meeting of the Company</w:t>
      </w:r>
      <w:r>
        <w:rPr>
          <w:lang w:val="en-US"/>
        </w:rPr>
        <w:t xml:space="preserve"> </w:t>
      </w:r>
      <w:r w:rsidRPr="0066380A">
        <w:rPr>
          <w:lang w:val="en-US"/>
        </w:rPr>
        <w:t>to be held in 202</w:t>
      </w:r>
      <w:r>
        <w:rPr>
          <w:lang w:val="en-US"/>
        </w:rPr>
        <w:t>5</w:t>
      </w:r>
      <w:r w:rsidRPr="0066380A">
        <w:rPr>
          <w:lang w:val="en-US"/>
        </w:rPr>
        <w:t xml:space="preserve"> or</w:t>
      </w:r>
      <w:r w:rsidRPr="00F838E6">
        <w:t xml:space="preserve"> </w:t>
      </w:r>
      <w:r w:rsidRPr="00F838E6">
        <w:rPr>
          <w:lang w:val="en-US"/>
        </w:rPr>
        <w:t>if earlier, on the expiry</w:t>
      </w:r>
      <w:r>
        <w:rPr>
          <w:lang w:val="en-US"/>
        </w:rPr>
        <w:t xml:space="preserve"> </w:t>
      </w:r>
      <w:r w:rsidRPr="00F838E6">
        <w:rPr>
          <w:lang w:val="en-US"/>
        </w:rPr>
        <w:t>of 15 months from the passing of this resolution,</w:t>
      </w:r>
      <w:r w:rsidRPr="007608B6">
        <w:t xml:space="preserve"> </w:t>
      </w:r>
      <w:r w:rsidRPr="007608B6">
        <w:rPr>
          <w:lang w:val="en-US"/>
        </w:rPr>
        <w:t>save that the Company may, at</w:t>
      </w:r>
      <w:r>
        <w:rPr>
          <w:lang w:val="en-US"/>
        </w:rPr>
        <w:t xml:space="preserve"> </w:t>
      </w:r>
      <w:r w:rsidRPr="007608B6">
        <w:rPr>
          <w:lang w:val="en-US"/>
        </w:rPr>
        <w:t>any time prior to the expiry of such authority, make</w:t>
      </w:r>
      <w:r>
        <w:rPr>
          <w:lang w:val="en-US"/>
        </w:rPr>
        <w:t xml:space="preserve"> </w:t>
      </w:r>
      <w:r w:rsidRPr="007608B6">
        <w:rPr>
          <w:lang w:val="en-US"/>
        </w:rPr>
        <w:t>an offer or enter into an agreement which would or</w:t>
      </w:r>
      <w:r>
        <w:rPr>
          <w:lang w:val="en-US"/>
        </w:rPr>
        <w:t xml:space="preserve"> </w:t>
      </w:r>
      <w:r w:rsidRPr="007608B6">
        <w:rPr>
          <w:lang w:val="en-US"/>
        </w:rPr>
        <w:t>might require the allotment or sale of Ordinary Shares</w:t>
      </w:r>
      <w:r>
        <w:rPr>
          <w:lang w:val="en-US"/>
        </w:rPr>
        <w:t xml:space="preserve"> </w:t>
      </w:r>
      <w:r w:rsidRPr="007608B6">
        <w:rPr>
          <w:lang w:val="en-US"/>
        </w:rPr>
        <w:t>in pursuance of such an offer or agreement as if such</w:t>
      </w:r>
      <w:r>
        <w:rPr>
          <w:lang w:val="en-US"/>
        </w:rPr>
        <w:t xml:space="preserve"> </w:t>
      </w:r>
      <w:r w:rsidRPr="007608B6">
        <w:rPr>
          <w:lang w:val="en-US"/>
        </w:rPr>
        <w:t>authority had not expired</w:t>
      </w:r>
      <w:r w:rsidRPr="0066380A">
        <w:rPr>
          <w:lang w:val="en-US"/>
        </w:rPr>
        <w:t>.</w:t>
      </w:r>
    </w:p>
    <w:p w14:paraId="0F193A4C" w14:textId="77777777" w:rsidR="00887A10" w:rsidRDefault="00887A10" w:rsidP="00887A10">
      <w:pPr>
        <w:jc w:val="both"/>
        <w:rPr>
          <w:lang w:val="en-US"/>
        </w:rPr>
      </w:pPr>
    </w:p>
    <w:p w14:paraId="55DE35F9" w14:textId="77777777" w:rsidR="00887A10" w:rsidRPr="00A25AEA" w:rsidRDefault="00887A10" w:rsidP="00887A10">
      <w:pPr>
        <w:rPr>
          <w:lang w:val="en-US"/>
        </w:rPr>
      </w:pPr>
    </w:p>
    <w:p w14:paraId="48C96C6B" w14:textId="77777777" w:rsidR="00887A10" w:rsidRPr="00A25AEA" w:rsidRDefault="00887A10" w:rsidP="00887A10">
      <w:pPr>
        <w:rPr>
          <w:b/>
          <w:bCs/>
          <w:lang w:val="en-US"/>
        </w:rPr>
      </w:pPr>
      <w:r w:rsidRPr="00A25AEA">
        <w:rPr>
          <w:b/>
          <w:bCs/>
          <w:lang w:val="en-US"/>
        </w:rPr>
        <w:t xml:space="preserve">Special Resolution - Authority to Repurchase Ordinary Shares      </w:t>
      </w:r>
    </w:p>
    <w:p w14:paraId="72513257" w14:textId="77777777" w:rsidR="00887A10" w:rsidRDefault="00887A10" w:rsidP="00887A10">
      <w:pPr>
        <w:jc w:val="both"/>
        <w:rPr>
          <w:lang w:val="en-US"/>
        </w:rPr>
      </w:pPr>
    </w:p>
    <w:p w14:paraId="69F32F08" w14:textId="77777777" w:rsidR="0093725B" w:rsidRDefault="0093725B" w:rsidP="0093725B">
      <w:r w:rsidRPr="00A25AEA">
        <w:rPr>
          <w:lang w:val="en-US"/>
        </w:rPr>
        <w:t>Resolution 1</w:t>
      </w:r>
      <w:r>
        <w:rPr>
          <w:lang w:val="en-US"/>
        </w:rPr>
        <w:t>5</w:t>
      </w:r>
      <w:r w:rsidRPr="00A25AEA">
        <w:rPr>
          <w:lang w:val="en-US"/>
        </w:rPr>
        <w:t xml:space="preserve">. </w:t>
      </w:r>
      <w:r w:rsidRPr="0066380A">
        <w:t xml:space="preserve">That the Company be and is hereby </w:t>
      </w:r>
      <w:r>
        <w:t>g</w:t>
      </w:r>
      <w:r w:rsidRPr="0066380A">
        <w:t>enerally</w:t>
      </w:r>
      <w:r>
        <w:t xml:space="preserve"> </w:t>
      </w:r>
      <w:r w:rsidRPr="0066380A">
        <w:t>and unconditionally authorised in accordance</w:t>
      </w:r>
      <w:r w:rsidRPr="0066380A">
        <w:br/>
        <w:t>with section 701 of the Companies Act to</w:t>
      </w:r>
      <w:r>
        <w:t xml:space="preserve"> </w:t>
      </w:r>
      <w:r w:rsidRPr="0066380A">
        <w:t>make market purchases (within the meaning</w:t>
      </w:r>
      <w:r>
        <w:t xml:space="preserve"> </w:t>
      </w:r>
      <w:r w:rsidRPr="0066380A">
        <w:t>of section 693(4) of the Companies Act) of</w:t>
      </w:r>
      <w:r>
        <w:t xml:space="preserve"> </w:t>
      </w:r>
      <w:r w:rsidRPr="0066380A">
        <w:t>Ordinary Shares, provided that:</w:t>
      </w:r>
      <w:r w:rsidRPr="0066380A">
        <w:br/>
        <w:t>(a) the maximum number of Ordinary Shares</w:t>
      </w:r>
      <w:r>
        <w:t xml:space="preserve"> </w:t>
      </w:r>
      <w:r w:rsidRPr="0066380A">
        <w:t>hereby authorised to be purchased shall</w:t>
      </w:r>
      <w:r>
        <w:t xml:space="preserve"> </w:t>
      </w:r>
      <w:r w:rsidRPr="0066380A">
        <w:t>be 84,682,637 (representing 14.99% of</w:t>
      </w:r>
      <w:r>
        <w:t xml:space="preserve"> </w:t>
      </w:r>
      <w:r w:rsidRPr="0066380A">
        <w:t>the Company’s issued share capital at</w:t>
      </w:r>
      <w:r>
        <w:t xml:space="preserve"> </w:t>
      </w:r>
      <w:r w:rsidRPr="0066380A">
        <w:t>the date of this notice of Annual General</w:t>
      </w:r>
      <w:r>
        <w:t xml:space="preserve"> </w:t>
      </w:r>
      <w:r w:rsidRPr="0066380A">
        <w:t>Meeting);</w:t>
      </w:r>
      <w:r w:rsidRPr="0066380A">
        <w:br/>
        <w:t>(b) the minimum price (exclusive of any</w:t>
      </w:r>
      <w:r>
        <w:t xml:space="preserve"> </w:t>
      </w:r>
      <w:r w:rsidRPr="0066380A">
        <w:t>expenses) which may be paid for an</w:t>
      </w:r>
      <w:r>
        <w:t xml:space="preserve"> </w:t>
      </w:r>
      <w:r w:rsidRPr="0066380A">
        <w:t>Ordinary Share is 1 penny;</w:t>
      </w:r>
    </w:p>
    <w:p w14:paraId="31602A16" w14:textId="77777777" w:rsidR="0093725B" w:rsidRDefault="0093725B" w:rsidP="0093725B">
      <w:pPr>
        <w:jc w:val="both"/>
      </w:pPr>
      <w:r>
        <w:t>(c) the maximum price (exclusive of any expenses) which may be paid for each Ordinary Share is not more than the higher of (</w:t>
      </w:r>
      <w:proofErr w:type="spellStart"/>
      <w:r>
        <w:t>i</w:t>
      </w:r>
      <w:proofErr w:type="spellEnd"/>
      <w:r>
        <w:t>) 5% above the average of the middle market quotations for the Ordinary Shares for the five business days immediately before the day on which that Ordinary Share is contracted for purchases and (ii) the higher of the price of the last independent trade and the highest then current independent bid for the Ordinary Shares on the trading venue where the purchase is carried out;</w:t>
      </w:r>
    </w:p>
    <w:p w14:paraId="513B6236" w14:textId="77777777" w:rsidR="0093725B" w:rsidRDefault="0093725B" w:rsidP="0093725B">
      <w:pPr>
        <w:jc w:val="both"/>
      </w:pPr>
      <w:r>
        <w:t>(d) the authority hereby conferred shall expire at the conclusion of the Annual General Meeting of the Company to be held in 2025 or, if earlier, on the expiry of 15 months from the passing of this resolution, unless such authority is renewed or revoked by the Company prior to such time; and</w:t>
      </w:r>
    </w:p>
    <w:p w14:paraId="6E3391BF" w14:textId="77777777" w:rsidR="0093725B" w:rsidRDefault="0093725B" w:rsidP="0093725B">
      <w:pPr>
        <w:jc w:val="both"/>
      </w:pPr>
      <w:r>
        <w:t>(e) the Company may make a contract to purchase Ordinary Shares under the authority hereby conferred prior to the expiry of such authority, which will or may be executed wholly or partly after the expiration of such authority and may purchase Ordinary Shares pursuant to any such contract as if the authority had not expired.</w:t>
      </w:r>
    </w:p>
    <w:p w14:paraId="735F84FB" w14:textId="77777777" w:rsidR="00887A10" w:rsidRPr="0093725B" w:rsidRDefault="00887A10" w:rsidP="00887A10">
      <w:pPr>
        <w:jc w:val="both"/>
      </w:pPr>
    </w:p>
    <w:p w14:paraId="327D907D" w14:textId="77777777" w:rsidR="00887A10" w:rsidRPr="00A25AEA" w:rsidRDefault="00887A10" w:rsidP="00887A10">
      <w:pPr>
        <w:rPr>
          <w:b/>
          <w:bCs/>
          <w:lang w:val="en-US"/>
        </w:rPr>
      </w:pPr>
      <w:r w:rsidRPr="00A25AEA">
        <w:rPr>
          <w:b/>
          <w:bCs/>
          <w:lang w:val="en-US"/>
        </w:rPr>
        <w:t xml:space="preserve">Special Resolution – General Meetings </w:t>
      </w:r>
    </w:p>
    <w:p w14:paraId="161CD644" w14:textId="77777777" w:rsidR="00887A10" w:rsidRDefault="00887A10" w:rsidP="00887A10">
      <w:pPr>
        <w:jc w:val="both"/>
        <w:rPr>
          <w:lang w:val="en-US"/>
        </w:rPr>
      </w:pPr>
    </w:p>
    <w:p w14:paraId="4FD1FE9B" w14:textId="77777777" w:rsidR="0093725B" w:rsidRPr="00A25AEA" w:rsidRDefault="0093725B" w:rsidP="0093725B">
      <w:pPr>
        <w:jc w:val="both"/>
        <w:rPr>
          <w:lang w:val="en-US"/>
        </w:rPr>
      </w:pPr>
      <w:r w:rsidRPr="00A25AEA">
        <w:rPr>
          <w:lang w:val="en-US"/>
        </w:rPr>
        <w:t>Resolution 1</w:t>
      </w:r>
      <w:r>
        <w:rPr>
          <w:lang w:val="en-US"/>
        </w:rPr>
        <w:t>6</w:t>
      </w:r>
      <w:r w:rsidRPr="00A25AEA">
        <w:rPr>
          <w:lang w:val="en-US"/>
        </w:rPr>
        <w:t xml:space="preserve">. </w:t>
      </w:r>
      <w:r w:rsidRPr="0066380A">
        <w:rPr>
          <w:lang w:val="en-US"/>
        </w:rPr>
        <w:t>That a General Meeting of the Company</w:t>
      </w:r>
      <w:r>
        <w:rPr>
          <w:lang w:val="en-US"/>
        </w:rPr>
        <w:t xml:space="preserve"> </w:t>
      </w:r>
      <w:r w:rsidRPr="0066380A">
        <w:rPr>
          <w:lang w:val="en-US"/>
        </w:rPr>
        <w:t>other than an Annual General Meeting may</w:t>
      </w:r>
      <w:r>
        <w:rPr>
          <w:lang w:val="en-US"/>
        </w:rPr>
        <w:t xml:space="preserve"> </w:t>
      </w:r>
      <w:r w:rsidRPr="0066380A">
        <w:rPr>
          <w:lang w:val="en-US"/>
        </w:rPr>
        <w:t>be called on not less than 14 clear days’</w:t>
      </w:r>
      <w:r>
        <w:rPr>
          <w:lang w:val="en-US"/>
        </w:rPr>
        <w:t xml:space="preserve"> </w:t>
      </w:r>
      <w:r w:rsidRPr="0066380A">
        <w:rPr>
          <w:lang w:val="en-US"/>
        </w:rPr>
        <w:t>notice, provided that this authority shall</w:t>
      </w:r>
      <w:r>
        <w:rPr>
          <w:lang w:val="en-US"/>
        </w:rPr>
        <w:t xml:space="preserve"> </w:t>
      </w:r>
      <w:r w:rsidRPr="0066380A">
        <w:rPr>
          <w:lang w:val="en-US"/>
        </w:rPr>
        <w:t>expire at the conclusion of the Company’s</w:t>
      </w:r>
      <w:r>
        <w:rPr>
          <w:lang w:val="en-US"/>
        </w:rPr>
        <w:t xml:space="preserve"> </w:t>
      </w:r>
      <w:r w:rsidRPr="0066380A">
        <w:rPr>
          <w:lang w:val="en-US"/>
        </w:rPr>
        <w:t>next Annual General Meeting after the date</w:t>
      </w:r>
      <w:r>
        <w:rPr>
          <w:lang w:val="en-US"/>
        </w:rPr>
        <w:t xml:space="preserve"> </w:t>
      </w:r>
      <w:r w:rsidRPr="0066380A">
        <w:rPr>
          <w:lang w:val="en-US"/>
        </w:rPr>
        <w:t>of the passing of this resolution.</w:t>
      </w:r>
    </w:p>
    <w:p w14:paraId="2B8211FE" w14:textId="77777777" w:rsidR="00887A10" w:rsidRPr="00A25AEA" w:rsidRDefault="00887A10" w:rsidP="00887A10">
      <w:pPr>
        <w:rPr>
          <w:lang w:val="en-US"/>
        </w:rPr>
      </w:pPr>
    </w:p>
    <w:p w14:paraId="5247558B" w14:textId="15A9AA03" w:rsidR="00DB06CE" w:rsidRPr="00887A10" w:rsidRDefault="00DB06CE" w:rsidP="00887A10"/>
    <w:sectPr w:rsidR="00DB06CE" w:rsidRPr="00887A10" w:rsidSect="00660931">
      <w:headerReference w:type="first" r:id="rId11"/>
      <w:pgSz w:w="11906" w:h="16838"/>
      <w:pgMar w:top="1608" w:right="1134" w:bottom="1440" w:left="1134" w:header="709" w:footer="8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F3453" w14:textId="77777777" w:rsidR="00307625" w:rsidRDefault="00307625" w:rsidP="00684664">
      <w:r>
        <w:separator/>
      </w:r>
    </w:p>
  </w:endnote>
  <w:endnote w:type="continuationSeparator" w:id="0">
    <w:p w14:paraId="6652B761" w14:textId="77777777" w:rsidR="00307625" w:rsidRDefault="00307625" w:rsidP="00684664">
      <w:r>
        <w:continuationSeparator/>
      </w:r>
    </w:p>
  </w:endnote>
  <w:endnote w:type="continuationNotice" w:id="1">
    <w:p w14:paraId="7853B952" w14:textId="77777777" w:rsidR="00307625" w:rsidRDefault="003076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51FBC" w14:textId="77777777" w:rsidR="00307625" w:rsidRDefault="00307625" w:rsidP="00684664">
      <w:r>
        <w:separator/>
      </w:r>
    </w:p>
  </w:footnote>
  <w:footnote w:type="continuationSeparator" w:id="0">
    <w:p w14:paraId="0327A803" w14:textId="77777777" w:rsidR="00307625" w:rsidRDefault="00307625" w:rsidP="00684664">
      <w:r>
        <w:continuationSeparator/>
      </w:r>
    </w:p>
  </w:footnote>
  <w:footnote w:type="continuationNotice" w:id="1">
    <w:p w14:paraId="7E58E416" w14:textId="77777777" w:rsidR="00307625" w:rsidRDefault="003076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BDE4E" w14:textId="77777777" w:rsidR="00887A10" w:rsidRPr="00B84A32" w:rsidRDefault="00887A10" w:rsidP="00887A10">
    <w:pPr>
      <w:tabs>
        <w:tab w:val="left" w:pos="6804"/>
        <w:tab w:val="left" w:pos="8222"/>
      </w:tabs>
      <w:ind w:right="-51"/>
      <w:jc w:val="center"/>
      <w:rPr>
        <w:rFonts w:ascii="Calibri" w:hAnsi="Calibri"/>
        <w:smallCaps/>
        <w:sz w:val="48"/>
        <w:szCs w:val="48"/>
      </w:rPr>
    </w:pPr>
    <w:bookmarkStart w:id="0" w:name="_Hlk130929396"/>
    <w:bookmarkStart w:id="1" w:name="_Hlk130929397"/>
    <w:r>
      <w:rPr>
        <w:rFonts w:ascii="Calibri" w:hAnsi="Calibri"/>
        <w:smallCaps/>
        <w:sz w:val="48"/>
        <w:szCs w:val="48"/>
      </w:rPr>
      <w:t>Octopus Renewables Infrastructure Trust</w:t>
    </w:r>
    <w:r w:rsidRPr="00B84A32">
      <w:rPr>
        <w:rFonts w:ascii="Calibri" w:hAnsi="Calibri"/>
        <w:smallCaps/>
        <w:sz w:val="48"/>
        <w:szCs w:val="48"/>
      </w:rPr>
      <w:t xml:space="preserve"> Plc</w:t>
    </w:r>
  </w:p>
  <w:p w14:paraId="356C3D23" w14:textId="77777777" w:rsidR="00887A10" w:rsidRDefault="00887A10" w:rsidP="00887A10">
    <w:pPr>
      <w:tabs>
        <w:tab w:val="left" w:pos="6804"/>
        <w:tab w:val="left" w:pos="8222"/>
      </w:tabs>
      <w:ind w:right="-51"/>
      <w:jc w:val="center"/>
      <w:rPr>
        <w:rFonts w:ascii="Calibri" w:hAnsi="Calibri"/>
      </w:rPr>
    </w:pPr>
    <w:r>
      <w:rPr>
        <w:rFonts w:ascii="Calibri" w:hAnsi="Calibri"/>
      </w:rPr>
      <w:t>6</w:t>
    </w:r>
    <w:r w:rsidRPr="00D856BD">
      <w:rPr>
        <w:rFonts w:ascii="Calibri" w:hAnsi="Calibri"/>
        <w:vertAlign w:val="superscript"/>
      </w:rPr>
      <w:t>th</w:t>
    </w:r>
    <w:r>
      <w:rPr>
        <w:rFonts w:ascii="Calibri" w:hAnsi="Calibri"/>
      </w:rPr>
      <w:t xml:space="preserve"> Fl</w:t>
    </w:r>
    <w:r w:rsidRPr="009007C6">
      <w:rPr>
        <w:rFonts w:ascii="Calibri" w:hAnsi="Calibri"/>
      </w:rPr>
      <w:t xml:space="preserve">oor, </w:t>
    </w:r>
    <w:r>
      <w:rPr>
        <w:rFonts w:ascii="Calibri" w:hAnsi="Calibri"/>
      </w:rPr>
      <w:t>12</w:t>
    </w:r>
    <w:r w:rsidRPr="009007C6">
      <w:rPr>
        <w:rFonts w:ascii="Calibri" w:hAnsi="Calibri"/>
      </w:rPr>
      <w:t xml:space="preserve">5 </w:t>
    </w:r>
    <w:r>
      <w:rPr>
        <w:rFonts w:ascii="Calibri" w:hAnsi="Calibri"/>
      </w:rPr>
      <w:t>London Wall</w:t>
    </w:r>
    <w:r w:rsidRPr="009007C6">
      <w:rPr>
        <w:rFonts w:ascii="Calibri" w:hAnsi="Calibri"/>
      </w:rPr>
      <w:t>, London, EC</w:t>
    </w:r>
    <w:r>
      <w:rPr>
        <w:rFonts w:ascii="Calibri" w:hAnsi="Calibri"/>
      </w:rPr>
      <w:t>2Y 5AS</w:t>
    </w:r>
  </w:p>
  <w:p w14:paraId="147249A6" w14:textId="77777777" w:rsidR="00887A10" w:rsidRDefault="00887A10" w:rsidP="00887A10">
    <w:pPr>
      <w:tabs>
        <w:tab w:val="left" w:pos="6804"/>
        <w:tab w:val="left" w:pos="8222"/>
      </w:tabs>
      <w:ind w:right="-51"/>
      <w:jc w:val="center"/>
    </w:pPr>
    <w:r>
      <w:rPr>
        <w:rFonts w:ascii="Calibri" w:hAnsi="Calibri"/>
      </w:rPr>
      <w:t xml:space="preserve">Telephone: </w:t>
    </w:r>
    <w:r w:rsidRPr="009007C6">
      <w:rPr>
        <w:rFonts w:ascii="Calibri" w:hAnsi="Calibri"/>
      </w:rPr>
      <w:t xml:space="preserve">+44 </w:t>
    </w:r>
    <w:r>
      <w:rPr>
        <w:rFonts w:ascii="Calibri" w:hAnsi="Calibri"/>
      </w:rPr>
      <w:t xml:space="preserve">(0) </w:t>
    </w:r>
    <w:r w:rsidRPr="009007C6">
      <w:rPr>
        <w:rFonts w:ascii="Calibri" w:hAnsi="Calibri"/>
      </w:rPr>
      <w:t>204 513 9260</w:t>
    </w:r>
    <w:bookmarkEnd w:id="0"/>
    <w:bookmarkEnd w:id="1"/>
  </w:p>
  <w:p w14:paraId="7F802849" w14:textId="77777777" w:rsidR="00887A10" w:rsidRPr="00DB06CE" w:rsidRDefault="00887A10" w:rsidP="00887A10">
    <w:pPr>
      <w:pStyle w:val="Header"/>
      <w:jc w:val="center"/>
      <w:rPr>
        <w:b/>
        <w:bCs/>
      </w:rPr>
    </w:pPr>
  </w:p>
  <w:p w14:paraId="7296878E" w14:textId="77777777" w:rsidR="00887A10" w:rsidRDefault="00887A10" w:rsidP="00887A10">
    <w:pPr>
      <w:pStyle w:val="Footer"/>
      <w:jc w:val="center"/>
      <w:rPr>
        <w:sz w:val="18"/>
      </w:rPr>
    </w:pPr>
    <w:r w:rsidRPr="00F935AA">
      <w:rPr>
        <w:sz w:val="18"/>
      </w:rPr>
      <w:t xml:space="preserve">Registered in England and Wales No. </w:t>
    </w:r>
    <w:r w:rsidRPr="009007C6">
      <w:rPr>
        <w:sz w:val="18"/>
      </w:rPr>
      <w:t>12257608</w:t>
    </w:r>
  </w:p>
  <w:p w14:paraId="13DB495A" w14:textId="77777777" w:rsidR="00887A10" w:rsidRPr="00F935AA" w:rsidRDefault="00887A10" w:rsidP="00887A10">
    <w:pPr>
      <w:pStyle w:val="Footer"/>
      <w:jc w:val="center"/>
      <w:rPr>
        <w:sz w:val="18"/>
      </w:rPr>
    </w:pPr>
    <w:r w:rsidRPr="0020448B">
      <w:rPr>
        <w:sz w:val="18"/>
      </w:rPr>
      <w:t>The Company is an investment company within the meaning of section 833 of the Companies Act 2006</w:t>
    </w:r>
  </w:p>
  <w:p w14:paraId="5E99B16C" w14:textId="77777777" w:rsidR="00887A10" w:rsidRDefault="00887A10" w:rsidP="00887A10">
    <w:pPr>
      <w:pStyle w:val="Footer"/>
    </w:pPr>
  </w:p>
  <w:p w14:paraId="4938711F" w14:textId="77777777" w:rsidR="00887A10" w:rsidRPr="00A43662" w:rsidRDefault="00887A10" w:rsidP="00887A10">
    <w:pPr>
      <w:pStyle w:val="Header"/>
      <w:jc w:val="center"/>
    </w:pPr>
    <w:r>
      <w:t>(the “</w:t>
    </w:r>
    <w:r w:rsidRPr="00DB06CE">
      <w:rPr>
        <w:b/>
        <w:bCs/>
      </w:rPr>
      <w:t>Company</w:t>
    </w:r>
    <w:r>
      <w:t xml:space="preserve">”) </w:t>
    </w:r>
  </w:p>
  <w:p w14:paraId="52331152" w14:textId="0F446824" w:rsidR="00DB06CE" w:rsidRPr="00887A10" w:rsidRDefault="00DB06CE" w:rsidP="00887A10">
    <w:pPr>
      <w:pStyle w:val="Header"/>
    </w:pPr>
    <w:r w:rsidRPr="00887A1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40C5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04F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24D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AC6C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203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E8F7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38A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542E48"/>
    <w:lvl w:ilvl="0">
      <w:start w:val="1"/>
      <w:numFmt w:val="bullet"/>
      <w:lvlText w:val="&gt;"/>
      <w:lvlJc w:val="left"/>
      <w:pPr>
        <w:ind w:left="643" w:hanging="360"/>
      </w:pPr>
      <w:rPr>
        <w:rFonts w:ascii="Arial" w:hAnsi="Arial" w:hint="default"/>
        <w:color w:val="5514B4" w:themeColor="accent1"/>
        <w:u w:color="5514B4" w:themeColor="accent1"/>
      </w:rPr>
    </w:lvl>
  </w:abstractNum>
  <w:abstractNum w:abstractNumId="8" w15:restartNumberingAfterBreak="0">
    <w:nsid w:val="FFFFFF88"/>
    <w:multiLevelType w:val="singleLevel"/>
    <w:tmpl w:val="3842C8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F00C72"/>
    <w:lvl w:ilvl="0">
      <w:start w:val="1"/>
      <w:numFmt w:val="bullet"/>
      <w:lvlText w:val="■"/>
      <w:lvlJc w:val="left"/>
      <w:pPr>
        <w:ind w:left="360" w:hanging="360"/>
      </w:pPr>
      <w:rPr>
        <w:rFonts w:ascii="Arial" w:hAnsi="Arial" w:hint="default"/>
        <w:color w:val="5514B4" w:themeColor="accent1"/>
        <w:sz w:val="20"/>
        <w:szCs w:val="20"/>
      </w:rPr>
    </w:lvl>
  </w:abstractNum>
  <w:abstractNum w:abstractNumId="10" w15:restartNumberingAfterBreak="0">
    <w:nsid w:val="131A7214"/>
    <w:multiLevelType w:val="multilevel"/>
    <w:tmpl w:val="E0AA560E"/>
    <w:numStyleLink w:val="ListBullets"/>
  </w:abstractNum>
  <w:abstractNum w:abstractNumId="11" w15:restartNumberingAfterBreak="0">
    <w:nsid w:val="14AB241B"/>
    <w:multiLevelType w:val="multilevel"/>
    <w:tmpl w:val="17903D04"/>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1E470D"/>
    <w:multiLevelType w:val="multilevel"/>
    <w:tmpl w:val="E0AA560E"/>
    <w:numStyleLink w:val="ListBullets"/>
  </w:abstractNum>
  <w:abstractNum w:abstractNumId="13" w15:restartNumberingAfterBreak="0">
    <w:nsid w:val="30A57751"/>
    <w:multiLevelType w:val="multilevel"/>
    <w:tmpl w:val="E0AA560E"/>
    <w:styleLink w:val="ListBullets"/>
    <w:lvl w:ilvl="0">
      <w:start w:val="1"/>
      <w:numFmt w:val="bullet"/>
      <w:pStyle w:val="ListBullet"/>
      <w:lvlText w:val="■"/>
      <w:lvlJc w:val="left"/>
      <w:pPr>
        <w:ind w:left="357" w:hanging="215"/>
      </w:pPr>
      <w:rPr>
        <w:rFonts w:ascii="Arial" w:hAnsi="Arial" w:hint="default"/>
        <w:color w:val="5514B4" w:themeColor="accent1"/>
        <w:sz w:val="20"/>
        <w:szCs w:val="20"/>
      </w:rPr>
    </w:lvl>
    <w:lvl w:ilvl="1">
      <w:start w:val="1"/>
      <w:numFmt w:val="bullet"/>
      <w:pStyle w:val="ListBullet2"/>
      <w:lvlText w:val="&gt;"/>
      <w:lvlJc w:val="left"/>
      <w:pPr>
        <w:ind w:left="340" w:firstLine="57"/>
      </w:pPr>
      <w:rPr>
        <w:rFonts w:ascii="Arial" w:hAnsi="Arial" w:hint="default"/>
        <w:color w:val="5514B4" w:themeColor="accent1"/>
        <w:u w:color="5514B4" w:themeColor="accent1"/>
      </w:rPr>
    </w:lvl>
    <w:lvl w:ilvl="2">
      <w:start w:val="1"/>
      <w:numFmt w:val="bullet"/>
      <w:pStyle w:val="ListBullet3"/>
      <w:lvlText w:val=""/>
      <w:lvlJc w:val="left"/>
      <w:pPr>
        <w:ind w:left="737" w:firstLine="114"/>
      </w:pPr>
      <w:rPr>
        <w:rFonts w:ascii="Wingdings" w:hAnsi="Wingdings" w:hint="default"/>
      </w:rPr>
    </w:lvl>
    <w:lvl w:ilvl="3">
      <w:start w:val="1"/>
      <w:numFmt w:val="bullet"/>
      <w:pStyle w:val="ListBullet4"/>
      <w:lvlText w:val=""/>
      <w:lvlJc w:val="left"/>
      <w:pPr>
        <w:ind w:left="860" w:hanging="73"/>
      </w:pPr>
      <w:rPr>
        <w:rFonts w:ascii="Symbol" w:hAnsi="Symbol" w:hint="default"/>
      </w:rPr>
    </w:lvl>
    <w:lvl w:ilvl="4">
      <w:start w:val="1"/>
      <w:numFmt w:val="bullet"/>
      <w:pStyle w:val="ListBullet5"/>
      <w:lvlText w:val="o"/>
      <w:lvlJc w:val="left"/>
      <w:pPr>
        <w:ind w:left="1075" w:hanging="73"/>
      </w:pPr>
      <w:rPr>
        <w:rFonts w:ascii="Courier New" w:hAnsi="Courier New" w:hint="default"/>
      </w:rPr>
    </w:lvl>
    <w:lvl w:ilvl="5">
      <w:start w:val="1"/>
      <w:numFmt w:val="none"/>
      <w:lvlText w:val=""/>
      <w:lvlJc w:val="left"/>
      <w:pPr>
        <w:ind w:left="1290" w:hanging="73"/>
      </w:pPr>
      <w:rPr>
        <w:rFonts w:hint="default"/>
      </w:rPr>
    </w:lvl>
    <w:lvl w:ilvl="6">
      <w:start w:val="1"/>
      <w:numFmt w:val="none"/>
      <w:lvlText w:val=""/>
      <w:lvlJc w:val="left"/>
      <w:pPr>
        <w:ind w:left="1505" w:hanging="73"/>
      </w:pPr>
      <w:rPr>
        <w:rFonts w:hint="default"/>
      </w:rPr>
    </w:lvl>
    <w:lvl w:ilvl="7">
      <w:start w:val="1"/>
      <w:numFmt w:val="none"/>
      <w:lvlText w:val=""/>
      <w:lvlJc w:val="left"/>
      <w:pPr>
        <w:ind w:left="1720" w:hanging="73"/>
      </w:pPr>
      <w:rPr>
        <w:rFonts w:hint="default"/>
      </w:rPr>
    </w:lvl>
    <w:lvl w:ilvl="8">
      <w:start w:val="1"/>
      <w:numFmt w:val="none"/>
      <w:lvlText w:val=""/>
      <w:lvlJc w:val="left"/>
      <w:pPr>
        <w:ind w:left="1935" w:hanging="73"/>
      </w:pPr>
      <w:rPr>
        <w:rFonts w:hint="default"/>
      </w:rPr>
    </w:lvl>
  </w:abstractNum>
  <w:abstractNum w:abstractNumId="14" w15:restartNumberingAfterBreak="0">
    <w:nsid w:val="369B0473"/>
    <w:multiLevelType w:val="multilevel"/>
    <w:tmpl w:val="E0AA560E"/>
    <w:numStyleLink w:val="ListBullets"/>
  </w:abstractNum>
  <w:abstractNum w:abstractNumId="15" w15:restartNumberingAfterBreak="0">
    <w:nsid w:val="383D4886"/>
    <w:multiLevelType w:val="multilevel"/>
    <w:tmpl w:val="E0AA560E"/>
    <w:numStyleLink w:val="ListBullets"/>
  </w:abstractNum>
  <w:abstractNum w:abstractNumId="16" w15:restartNumberingAfterBreak="0">
    <w:nsid w:val="3D076711"/>
    <w:multiLevelType w:val="multilevel"/>
    <w:tmpl w:val="E0AA560E"/>
    <w:numStyleLink w:val="ListBullets"/>
  </w:abstractNum>
  <w:abstractNum w:abstractNumId="17" w15:restartNumberingAfterBreak="0">
    <w:nsid w:val="407F0B97"/>
    <w:multiLevelType w:val="hybridMultilevel"/>
    <w:tmpl w:val="BB100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27D07"/>
    <w:multiLevelType w:val="hybridMultilevel"/>
    <w:tmpl w:val="B0D8D89A"/>
    <w:lvl w:ilvl="0" w:tplc="72744A1C">
      <w:start w:val="1"/>
      <w:numFmt w:val="bullet"/>
      <w:lvlText w:val=""/>
      <w:lvlJc w:val="left"/>
      <w:pPr>
        <w:ind w:left="720" w:hanging="360"/>
      </w:pPr>
      <w:rPr>
        <w:rFonts w:ascii="Wingdings" w:hAnsi="Wingdings" w:hint="default"/>
        <w:sz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E19B6"/>
    <w:multiLevelType w:val="multilevel"/>
    <w:tmpl w:val="924AC990"/>
    <w:lvl w:ilvl="0">
      <w:start w:val="1"/>
      <w:numFmt w:val="bullet"/>
      <w:lvlText w:val="■"/>
      <w:lvlJc w:val="left"/>
      <w:pPr>
        <w:ind w:left="360" w:hanging="360"/>
      </w:pPr>
      <w:rPr>
        <w:rFonts w:ascii="Arial" w:hAnsi="Arial" w:hint="default"/>
        <w:color w:val="5514B4" w:themeColor="accent1"/>
        <w:sz w:val="20"/>
        <w:szCs w:val="20"/>
      </w:rPr>
    </w:lvl>
    <w:lvl w:ilvl="1">
      <w:start w:val="1"/>
      <w:numFmt w:val="bullet"/>
      <w:lvlText w:val="&gt;"/>
      <w:lvlJc w:val="left"/>
      <w:pPr>
        <w:ind w:left="1440" w:hanging="360"/>
      </w:pPr>
      <w:rPr>
        <w:rFonts w:ascii="Arial" w:hAnsi="Arial" w:hint="default"/>
        <w:u w:color="5514B4"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20" w15:restartNumberingAfterBreak="0">
    <w:nsid w:val="4DFE3BBE"/>
    <w:multiLevelType w:val="multilevel"/>
    <w:tmpl w:val="E0AA560E"/>
    <w:numStyleLink w:val="ListBullets"/>
  </w:abstractNum>
  <w:abstractNum w:abstractNumId="21" w15:restartNumberingAfterBreak="0">
    <w:nsid w:val="4EB6634A"/>
    <w:multiLevelType w:val="multilevel"/>
    <w:tmpl w:val="E0AA560E"/>
    <w:numStyleLink w:val="ListBullets"/>
  </w:abstractNum>
  <w:abstractNum w:abstractNumId="22" w15:restartNumberingAfterBreak="0">
    <w:nsid w:val="51C06C95"/>
    <w:multiLevelType w:val="multilevel"/>
    <w:tmpl w:val="E0AA560E"/>
    <w:numStyleLink w:val="ListBullets"/>
  </w:abstractNum>
  <w:abstractNum w:abstractNumId="23" w15:restartNumberingAfterBreak="0">
    <w:nsid w:val="5FCB26B7"/>
    <w:multiLevelType w:val="multilevel"/>
    <w:tmpl w:val="E0AA560E"/>
    <w:numStyleLink w:val="ListBullets"/>
  </w:abstractNum>
  <w:abstractNum w:abstractNumId="24" w15:restartNumberingAfterBreak="0">
    <w:nsid w:val="616E0C34"/>
    <w:multiLevelType w:val="multilevel"/>
    <w:tmpl w:val="E0AA560E"/>
    <w:numStyleLink w:val="ListBullets"/>
  </w:abstractNum>
  <w:abstractNum w:abstractNumId="25" w15:restartNumberingAfterBreak="0">
    <w:nsid w:val="692D32DF"/>
    <w:multiLevelType w:val="hybridMultilevel"/>
    <w:tmpl w:val="C6EE1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055DE"/>
    <w:multiLevelType w:val="multilevel"/>
    <w:tmpl w:val="E0AA560E"/>
    <w:numStyleLink w:val="ListBullets"/>
  </w:abstractNum>
  <w:abstractNum w:abstractNumId="27" w15:restartNumberingAfterBreak="0">
    <w:nsid w:val="777931AE"/>
    <w:multiLevelType w:val="multilevel"/>
    <w:tmpl w:val="E0AA560E"/>
    <w:numStyleLink w:val="ListBullets"/>
  </w:abstractNum>
  <w:abstractNum w:abstractNumId="28" w15:restartNumberingAfterBreak="0">
    <w:nsid w:val="78B466F4"/>
    <w:multiLevelType w:val="multilevel"/>
    <w:tmpl w:val="E0AA560E"/>
    <w:numStyleLink w:val="ListBullets"/>
  </w:abstractNum>
  <w:num w:numId="1" w16cid:durableId="1142693319">
    <w:abstractNumId w:val="9"/>
  </w:num>
  <w:num w:numId="2" w16cid:durableId="781610877">
    <w:abstractNumId w:val="7"/>
  </w:num>
  <w:num w:numId="3" w16cid:durableId="1508130825">
    <w:abstractNumId w:val="6"/>
  </w:num>
  <w:num w:numId="4" w16cid:durableId="880164708">
    <w:abstractNumId w:val="5"/>
  </w:num>
  <w:num w:numId="5" w16cid:durableId="1435979241">
    <w:abstractNumId w:val="4"/>
  </w:num>
  <w:num w:numId="6" w16cid:durableId="1911578714">
    <w:abstractNumId w:val="8"/>
  </w:num>
  <w:num w:numId="7" w16cid:durableId="32656476">
    <w:abstractNumId w:val="3"/>
  </w:num>
  <w:num w:numId="8" w16cid:durableId="268507769">
    <w:abstractNumId w:val="2"/>
  </w:num>
  <w:num w:numId="9" w16cid:durableId="229510671">
    <w:abstractNumId w:val="1"/>
  </w:num>
  <w:num w:numId="10" w16cid:durableId="497505061">
    <w:abstractNumId w:val="0"/>
  </w:num>
  <w:num w:numId="11" w16cid:durableId="1258294108">
    <w:abstractNumId w:val="25"/>
  </w:num>
  <w:num w:numId="12" w16cid:durableId="815223877">
    <w:abstractNumId w:val="9"/>
    <w:lvlOverride w:ilvl="0">
      <w:startOverride w:val="1"/>
    </w:lvlOverride>
  </w:num>
  <w:num w:numId="13" w16cid:durableId="1369910287">
    <w:abstractNumId w:val="9"/>
  </w:num>
  <w:num w:numId="14" w16cid:durableId="613446350">
    <w:abstractNumId w:val="9"/>
  </w:num>
  <w:num w:numId="15" w16cid:durableId="1617830830">
    <w:abstractNumId w:val="9"/>
  </w:num>
  <w:num w:numId="16" w16cid:durableId="1341742222">
    <w:abstractNumId w:val="11"/>
  </w:num>
  <w:num w:numId="17" w16cid:durableId="1858539706">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18" w16cid:durableId="19116967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9980933">
    <w:abstractNumId w:val="19"/>
  </w:num>
  <w:num w:numId="20" w16cid:durableId="1951815832">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1" w16cid:durableId="807169107">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2" w16cid:durableId="2066491428">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3" w16cid:durableId="35356394">
    <w:abstractNumId w:val="19"/>
    <w:lvlOverride w:ilvl="0">
      <w:lvl w:ilvl="0">
        <w:start w:val="1"/>
        <w:numFmt w:val="bullet"/>
        <w:lvlText w:val="■"/>
        <w:lvlJc w:val="left"/>
        <w:pPr>
          <w:tabs>
            <w:tab w:val="num" w:pos="2041"/>
          </w:tabs>
          <w:ind w:left="2041" w:hanging="623"/>
        </w:pPr>
        <w:rPr>
          <w:rFonts w:ascii="Arial" w:hAnsi="Arial" w:hint="default"/>
          <w:color w:val="5514B4" w:themeColor="accent1"/>
          <w:sz w:val="20"/>
        </w:rPr>
      </w:lvl>
    </w:lvlOverride>
    <w:lvlOverride w:ilvl="1">
      <w:lvl w:ilvl="1">
        <w:start w:val="1"/>
        <w:numFmt w:val="bullet"/>
        <w:lvlText w:val="&gt;"/>
        <w:lvlJc w:val="left"/>
        <w:pPr>
          <w:ind w:left="2520" w:hanging="360"/>
        </w:pPr>
        <w:rPr>
          <w:rFonts w:ascii="Arial" w:hAnsi="Arial" w:hint="default"/>
          <w:color w:val="5514B4" w:themeColor="accent1"/>
          <w:u w:color="5514B4" w:themeColor="accent1"/>
        </w:rPr>
      </w:lvl>
    </w:lvlOverride>
    <w:lvlOverride w:ilvl="2">
      <w:lvl w:ilvl="2">
        <w:start w:val="1"/>
        <w:numFmt w:val="bullet"/>
        <w:lvlText w:val=""/>
        <w:lvlJc w:val="left"/>
        <w:pPr>
          <w:ind w:left="3240" w:hanging="360"/>
        </w:pPr>
        <w:rPr>
          <w:rFonts w:ascii="Wingdings" w:hAnsi="Wingdings" w:hint="default"/>
        </w:rPr>
      </w:lvl>
    </w:lvlOverride>
    <w:lvlOverride w:ilvl="3">
      <w:lvl w:ilvl="3">
        <w:start w:val="1"/>
        <w:numFmt w:val="bullet"/>
        <w:lvlText w:val=""/>
        <w:lvlJc w:val="left"/>
        <w:pPr>
          <w:ind w:left="3960" w:hanging="360"/>
        </w:pPr>
        <w:rPr>
          <w:rFonts w:ascii="Symbol" w:hAnsi="Symbol" w:hint="default"/>
        </w:rPr>
      </w:lvl>
    </w:lvlOverride>
    <w:lvlOverride w:ilvl="4">
      <w:lvl w:ilvl="4">
        <w:start w:val="1"/>
        <w:numFmt w:val="bullet"/>
        <w:lvlText w:val="o"/>
        <w:lvlJc w:val="left"/>
        <w:pPr>
          <w:ind w:left="4680" w:hanging="360"/>
        </w:pPr>
        <w:rPr>
          <w:rFonts w:ascii="Courier New" w:hAnsi="Courier New" w:hint="default"/>
        </w:rPr>
      </w:lvl>
    </w:lvlOverride>
    <w:lvlOverride w:ilvl="5">
      <w:lvl w:ilvl="5">
        <w:start w:val="1"/>
        <w:numFmt w:val="none"/>
        <w:lvlText w:val=""/>
        <w:lvlJc w:val="left"/>
        <w:pPr>
          <w:ind w:left="5400" w:hanging="360"/>
        </w:pPr>
        <w:rPr>
          <w:rFonts w:hint="default"/>
        </w:rPr>
      </w:lvl>
    </w:lvlOverride>
    <w:lvlOverride w:ilvl="6">
      <w:lvl w:ilvl="6">
        <w:start w:val="1"/>
        <w:numFmt w:val="none"/>
        <w:lvlText w:val=""/>
        <w:lvlJc w:val="left"/>
        <w:pPr>
          <w:ind w:left="6120" w:hanging="360"/>
        </w:pPr>
        <w:rPr>
          <w:rFonts w:hint="default"/>
        </w:rPr>
      </w:lvl>
    </w:lvlOverride>
    <w:lvlOverride w:ilvl="7">
      <w:lvl w:ilvl="7">
        <w:start w:val="1"/>
        <w:numFmt w:val="none"/>
        <w:lvlText w:val=""/>
        <w:lvlJc w:val="left"/>
        <w:pPr>
          <w:ind w:left="6840" w:hanging="360"/>
        </w:pPr>
        <w:rPr>
          <w:rFonts w:hint="default"/>
        </w:rPr>
      </w:lvl>
    </w:lvlOverride>
    <w:lvlOverride w:ilvl="8">
      <w:lvl w:ilvl="8">
        <w:start w:val="1"/>
        <w:numFmt w:val="none"/>
        <w:lvlText w:val=""/>
        <w:lvlJc w:val="left"/>
        <w:pPr>
          <w:ind w:left="7560" w:hanging="360"/>
        </w:pPr>
        <w:rPr>
          <w:rFonts w:hint="default"/>
        </w:rPr>
      </w:lvl>
    </w:lvlOverride>
  </w:num>
  <w:num w:numId="24" w16cid:durableId="463624039">
    <w:abstractNumId w:val="13"/>
    <w:lvlOverride w:ilvl="0">
      <w:lvl w:ilvl="0">
        <w:start w:val="1"/>
        <w:numFmt w:val="bullet"/>
        <w:pStyle w:val="ListBullet"/>
        <w:lvlText w:val="■"/>
        <w:lvlJc w:val="left"/>
        <w:pPr>
          <w:ind w:left="215" w:hanging="73"/>
        </w:pPr>
        <w:rPr>
          <w:rFonts w:ascii="Arial" w:hAnsi="Arial" w:hint="default"/>
          <w:color w:val="5514B4" w:themeColor="accent1"/>
          <w:sz w:val="20"/>
        </w:rPr>
      </w:lvl>
    </w:lvlOverride>
    <w:lvlOverride w:ilvl="1">
      <w:lvl w:ilvl="1">
        <w:start w:val="1"/>
        <w:numFmt w:val="bullet"/>
        <w:pStyle w:val="ListBullet2"/>
        <w:lvlText w:val="&gt;"/>
        <w:lvlJc w:val="left"/>
        <w:pPr>
          <w:ind w:left="453" w:hanging="73"/>
        </w:pPr>
        <w:rPr>
          <w:rFonts w:ascii="Arial" w:hAnsi="Arial" w:hint="default"/>
          <w:color w:val="5514B4" w:themeColor="accent1"/>
          <w:u w:color="5514B4" w:themeColor="accent1"/>
        </w:rPr>
      </w:lvl>
    </w:lvlOverride>
    <w:lvlOverride w:ilvl="2">
      <w:lvl w:ilvl="2">
        <w:start w:val="1"/>
        <w:numFmt w:val="bullet"/>
        <w:pStyle w:val="ListBullet3"/>
        <w:lvlText w:val=""/>
        <w:lvlJc w:val="left"/>
        <w:pPr>
          <w:ind w:left="691" w:hanging="73"/>
        </w:pPr>
        <w:rPr>
          <w:rFonts w:ascii="Wingdings" w:hAnsi="Wingdings" w:hint="default"/>
        </w:rPr>
      </w:lvl>
    </w:lvlOverride>
    <w:lvlOverride w:ilvl="3">
      <w:lvl w:ilvl="3">
        <w:start w:val="1"/>
        <w:numFmt w:val="bullet"/>
        <w:pStyle w:val="ListBullet4"/>
        <w:lvlText w:val=""/>
        <w:lvlJc w:val="left"/>
        <w:pPr>
          <w:ind w:left="929" w:hanging="73"/>
        </w:pPr>
        <w:rPr>
          <w:rFonts w:ascii="Symbol" w:hAnsi="Symbol" w:hint="default"/>
        </w:rPr>
      </w:lvl>
    </w:lvlOverride>
    <w:lvlOverride w:ilvl="4">
      <w:lvl w:ilvl="4">
        <w:start w:val="1"/>
        <w:numFmt w:val="bullet"/>
        <w:pStyle w:val="ListBullet5"/>
        <w:lvlText w:val="o"/>
        <w:lvlJc w:val="left"/>
        <w:pPr>
          <w:ind w:left="1167" w:hanging="73"/>
        </w:pPr>
        <w:rPr>
          <w:rFonts w:ascii="Courier New" w:hAnsi="Courier New" w:hint="default"/>
        </w:rPr>
      </w:lvl>
    </w:lvlOverride>
    <w:lvlOverride w:ilvl="5">
      <w:lvl w:ilvl="5">
        <w:start w:val="1"/>
        <w:numFmt w:val="none"/>
        <w:lvlText w:val=""/>
        <w:lvlJc w:val="left"/>
        <w:pPr>
          <w:ind w:left="1405" w:hanging="73"/>
        </w:pPr>
        <w:rPr>
          <w:rFonts w:hint="default"/>
        </w:rPr>
      </w:lvl>
    </w:lvlOverride>
    <w:lvlOverride w:ilvl="6">
      <w:lvl w:ilvl="6">
        <w:start w:val="1"/>
        <w:numFmt w:val="none"/>
        <w:lvlText w:val=""/>
        <w:lvlJc w:val="left"/>
        <w:pPr>
          <w:ind w:left="1643" w:hanging="73"/>
        </w:pPr>
        <w:rPr>
          <w:rFonts w:hint="default"/>
        </w:rPr>
      </w:lvl>
    </w:lvlOverride>
    <w:lvlOverride w:ilvl="7">
      <w:lvl w:ilvl="7">
        <w:start w:val="1"/>
        <w:numFmt w:val="none"/>
        <w:lvlText w:val=""/>
        <w:lvlJc w:val="left"/>
        <w:pPr>
          <w:ind w:left="1881" w:hanging="73"/>
        </w:pPr>
        <w:rPr>
          <w:rFonts w:hint="default"/>
        </w:rPr>
      </w:lvl>
    </w:lvlOverride>
    <w:lvlOverride w:ilvl="8">
      <w:lvl w:ilvl="8">
        <w:start w:val="1"/>
        <w:numFmt w:val="none"/>
        <w:lvlText w:val=""/>
        <w:lvlJc w:val="left"/>
        <w:pPr>
          <w:ind w:left="2119" w:hanging="73"/>
        </w:pPr>
        <w:rPr>
          <w:rFonts w:hint="default"/>
        </w:rPr>
      </w:lvl>
    </w:lvlOverride>
  </w:num>
  <w:num w:numId="25" w16cid:durableId="1213812685">
    <w:abstractNumId w:val="12"/>
  </w:num>
  <w:num w:numId="26" w16cid:durableId="947740018">
    <w:abstractNumId w:val="20"/>
  </w:num>
  <w:num w:numId="27" w16cid:durableId="313604423">
    <w:abstractNumId w:val="23"/>
  </w:num>
  <w:num w:numId="28" w16cid:durableId="605966778">
    <w:abstractNumId w:val="28"/>
  </w:num>
  <w:num w:numId="29" w16cid:durableId="1534229469">
    <w:abstractNumId w:val="13"/>
  </w:num>
  <w:num w:numId="30" w16cid:durableId="963341672">
    <w:abstractNumId w:val="22"/>
  </w:num>
  <w:num w:numId="31" w16cid:durableId="703478246">
    <w:abstractNumId w:val="24"/>
  </w:num>
  <w:num w:numId="32" w16cid:durableId="1118908958">
    <w:abstractNumId w:val="16"/>
  </w:num>
  <w:num w:numId="33" w16cid:durableId="1352143591">
    <w:abstractNumId w:val="15"/>
  </w:num>
  <w:num w:numId="34" w16cid:durableId="682053938">
    <w:abstractNumId w:val="14"/>
  </w:num>
  <w:num w:numId="35" w16cid:durableId="848715334">
    <w:abstractNumId w:val="21"/>
  </w:num>
  <w:num w:numId="36" w16cid:durableId="1873112833">
    <w:abstractNumId w:val="27"/>
  </w:num>
  <w:num w:numId="37" w16cid:durableId="303896659">
    <w:abstractNumId w:val="10"/>
  </w:num>
  <w:num w:numId="38" w16cid:durableId="118110386">
    <w:abstractNumId w:val="26"/>
  </w:num>
  <w:num w:numId="39" w16cid:durableId="1196697104">
    <w:abstractNumId w:val="17"/>
  </w:num>
  <w:num w:numId="40" w16cid:durableId="16364462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removePersonalInformation/>
  <w:removeDateAndTime/>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25"/>
    <w:rsid w:val="00005BF4"/>
    <w:rsid w:val="00006C78"/>
    <w:rsid w:val="00006F74"/>
    <w:rsid w:val="00032AB5"/>
    <w:rsid w:val="00037AF8"/>
    <w:rsid w:val="0004448B"/>
    <w:rsid w:val="00073AFA"/>
    <w:rsid w:val="00076624"/>
    <w:rsid w:val="000831DE"/>
    <w:rsid w:val="000915D9"/>
    <w:rsid w:val="0009569D"/>
    <w:rsid w:val="000B11DD"/>
    <w:rsid w:val="000D4264"/>
    <w:rsid w:val="000E0E66"/>
    <w:rsid w:val="001052DF"/>
    <w:rsid w:val="00115128"/>
    <w:rsid w:val="00154AD5"/>
    <w:rsid w:val="00167CA9"/>
    <w:rsid w:val="00187954"/>
    <w:rsid w:val="0019217F"/>
    <w:rsid w:val="001A613E"/>
    <w:rsid w:val="001B7486"/>
    <w:rsid w:val="001C24D4"/>
    <w:rsid w:val="001D289B"/>
    <w:rsid w:val="001D5FD4"/>
    <w:rsid w:val="001E7D70"/>
    <w:rsid w:val="001F7D9D"/>
    <w:rsid w:val="00227B0C"/>
    <w:rsid w:val="0023070B"/>
    <w:rsid w:val="0024608B"/>
    <w:rsid w:val="002636DD"/>
    <w:rsid w:val="00272C37"/>
    <w:rsid w:val="002777FC"/>
    <w:rsid w:val="00285F9E"/>
    <w:rsid w:val="00290FF0"/>
    <w:rsid w:val="002A384A"/>
    <w:rsid w:val="002B094E"/>
    <w:rsid w:val="002B2F07"/>
    <w:rsid w:val="002C394A"/>
    <w:rsid w:val="002D3AC2"/>
    <w:rsid w:val="002D51E4"/>
    <w:rsid w:val="002F12CE"/>
    <w:rsid w:val="002F225C"/>
    <w:rsid w:val="002F491E"/>
    <w:rsid w:val="002F6D55"/>
    <w:rsid w:val="003006CA"/>
    <w:rsid w:val="00304193"/>
    <w:rsid w:val="00304620"/>
    <w:rsid w:val="00307625"/>
    <w:rsid w:val="003217BE"/>
    <w:rsid w:val="003412B0"/>
    <w:rsid w:val="00375ED5"/>
    <w:rsid w:val="00383D33"/>
    <w:rsid w:val="003954BC"/>
    <w:rsid w:val="003C33BD"/>
    <w:rsid w:val="003C6A15"/>
    <w:rsid w:val="003C7818"/>
    <w:rsid w:val="003E0247"/>
    <w:rsid w:val="003E79E6"/>
    <w:rsid w:val="003F2496"/>
    <w:rsid w:val="0041210A"/>
    <w:rsid w:val="00437EC1"/>
    <w:rsid w:val="00453637"/>
    <w:rsid w:val="00462145"/>
    <w:rsid w:val="00463BBF"/>
    <w:rsid w:val="00467E0F"/>
    <w:rsid w:val="004849BF"/>
    <w:rsid w:val="00486F2D"/>
    <w:rsid w:val="004943E7"/>
    <w:rsid w:val="004A5654"/>
    <w:rsid w:val="004B1CA6"/>
    <w:rsid w:val="004E1CF5"/>
    <w:rsid w:val="004E3B83"/>
    <w:rsid w:val="004E3C40"/>
    <w:rsid w:val="004E3EA1"/>
    <w:rsid w:val="00512878"/>
    <w:rsid w:val="005154C8"/>
    <w:rsid w:val="005307E4"/>
    <w:rsid w:val="005358ED"/>
    <w:rsid w:val="00537D01"/>
    <w:rsid w:val="00542600"/>
    <w:rsid w:val="00544676"/>
    <w:rsid w:val="00547E51"/>
    <w:rsid w:val="00551685"/>
    <w:rsid w:val="005601D5"/>
    <w:rsid w:val="00567083"/>
    <w:rsid w:val="00583E29"/>
    <w:rsid w:val="005932C4"/>
    <w:rsid w:val="00596596"/>
    <w:rsid w:val="005A6D52"/>
    <w:rsid w:val="005C11A9"/>
    <w:rsid w:val="005F0190"/>
    <w:rsid w:val="005F04D7"/>
    <w:rsid w:val="00606ADD"/>
    <w:rsid w:val="00615A3F"/>
    <w:rsid w:val="0061630F"/>
    <w:rsid w:val="006176A8"/>
    <w:rsid w:val="00645316"/>
    <w:rsid w:val="00646CA0"/>
    <w:rsid w:val="006478DD"/>
    <w:rsid w:val="00652D11"/>
    <w:rsid w:val="00660931"/>
    <w:rsid w:val="00671DE5"/>
    <w:rsid w:val="006739D3"/>
    <w:rsid w:val="00676952"/>
    <w:rsid w:val="00683E0F"/>
    <w:rsid w:val="00684664"/>
    <w:rsid w:val="00697416"/>
    <w:rsid w:val="006B2C65"/>
    <w:rsid w:val="006B61B6"/>
    <w:rsid w:val="006C0AAD"/>
    <w:rsid w:val="006D134F"/>
    <w:rsid w:val="006E283C"/>
    <w:rsid w:val="006F6D13"/>
    <w:rsid w:val="007122CC"/>
    <w:rsid w:val="00730108"/>
    <w:rsid w:val="00731ECD"/>
    <w:rsid w:val="00734937"/>
    <w:rsid w:val="00735672"/>
    <w:rsid w:val="007366A3"/>
    <w:rsid w:val="0074281C"/>
    <w:rsid w:val="007437FB"/>
    <w:rsid w:val="007C0880"/>
    <w:rsid w:val="007C4457"/>
    <w:rsid w:val="007C5ACA"/>
    <w:rsid w:val="007C747B"/>
    <w:rsid w:val="007C751F"/>
    <w:rsid w:val="008124B5"/>
    <w:rsid w:val="008157A8"/>
    <w:rsid w:val="00823308"/>
    <w:rsid w:val="00827C36"/>
    <w:rsid w:val="00832786"/>
    <w:rsid w:val="00844E62"/>
    <w:rsid w:val="00850A5E"/>
    <w:rsid w:val="0087022B"/>
    <w:rsid w:val="00876302"/>
    <w:rsid w:val="00887A10"/>
    <w:rsid w:val="0089344A"/>
    <w:rsid w:val="008956BA"/>
    <w:rsid w:val="00896BA1"/>
    <w:rsid w:val="008A5384"/>
    <w:rsid w:val="008B2A60"/>
    <w:rsid w:val="008C3FED"/>
    <w:rsid w:val="008E0122"/>
    <w:rsid w:val="009043A3"/>
    <w:rsid w:val="009108A8"/>
    <w:rsid w:val="009109FF"/>
    <w:rsid w:val="00936DFC"/>
    <w:rsid w:val="0093725B"/>
    <w:rsid w:val="00944F1D"/>
    <w:rsid w:val="00945067"/>
    <w:rsid w:val="00957F89"/>
    <w:rsid w:val="009644A7"/>
    <w:rsid w:val="00972294"/>
    <w:rsid w:val="0097234D"/>
    <w:rsid w:val="00974827"/>
    <w:rsid w:val="009775BE"/>
    <w:rsid w:val="00990D23"/>
    <w:rsid w:val="009925A7"/>
    <w:rsid w:val="009A7780"/>
    <w:rsid w:val="009C4978"/>
    <w:rsid w:val="009D09DE"/>
    <w:rsid w:val="009D5967"/>
    <w:rsid w:val="009E4A53"/>
    <w:rsid w:val="009E63DB"/>
    <w:rsid w:val="009E7DC3"/>
    <w:rsid w:val="009F1648"/>
    <w:rsid w:val="009F41E3"/>
    <w:rsid w:val="00A061BF"/>
    <w:rsid w:val="00A13E18"/>
    <w:rsid w:val="00A1571D"/>
    <w:rsid w:val="00A2377B"/>
    <w:rsid w:val="00A43662"/>
    <w:rsid w:val="00A458C7"/>
    <w:rsid w:val="00A55E86"/>
    <w:rsid w:val="00A56EEC"/>
    <w:rsid w:val="00A748FB"/>
    <w:rsid w:val="00A86E7F"/>
    <w:rsid w:val="00AC0BB4"/>
    <w:rsid w:val="00AC7C03"/>
    <w:rsid w:val="00AD2942"/>
    <w:rsid w:val="00AD6271"/>
    <w:rsid w:val="00AE0FAE"/>
    <w:rsid w:val="00AF2C07"/>
    <w:rsid w:val="00B03D43"/>
    <w:rsid w:val="00B12596"/>
    <w:rsid w:val="00B12A32"/>
    <w:rsid w:val="00B254B7"/>
    <w:rsid w:val="00B56D33"/>
    <w:rsid w:val="00B84681"/>
    <w:rsid w:val="00B93522"/>
    <w:rsid w:val="00BA1603"/>
    <w:rsid w:val="00BC2BCA"/>
    <w:rsid w:val="00BE2868"/>
    <w:rsid w:val="00BE2E67"/>
    <w:rsid w:val="00BF1A36"/>
    <w:rsid w:val="00BF2F56"/>
    <w:rsid w:val="00C4444F"/>
    <w:rsid w:val="00C7120F"/>
    <w:rsid w:val="00C7717C"/>
    <w:rsid w:val="00C86F64"/>
    <w:rsid w:val="00C97856"/>
    <w:rsid w:val="00CB288C"/>
    <w:rsid w:val="00CB7C3E"/>
    <w:rsid w:val="00CC2422"/>
    <w:rsid w:val="00CC3978"/>
    <w:rsid w:val="00CC65D0"/>
    <w:rsid w:val="00CC661C"/>
    <w:rsid w:val="00CD74A6"/>
    <w:rsid w:val="00CF5D08"/>
    <w:rsid w:val="00D06D35"/>
    <w:rsid w:val="00D07AE2"/>
    <w:rsid w:val="00D25E01"/>
    <w:rsid w:val="00D34D6A"/>
    <w:rsid w:val="00D41FB4"/>
    <w:rsid w:val="00D53F1C"/>
    <w:rsid w:val="00D80573"/>
    <w:rsid w:val="00D96596"/>
    <w:rsid w:val="00D96CF6"/>
    <w:rsid w:val="00DB06CE"/>
    <w:rsid w:val="00DB1C8C"/>
    <w:rsid w:val="00DB3D8A"/>
    <w:rsid w:val="00DC6E05"/>
    <w:rsid w:val="00DD12A3"/>
    <w:rsid w:val="00DD6076"/>
    <w:rsid w:val="00DE6EFD"/>
    <w:rsid w:val="00DF1D9B"/>
    <w:rsid w:val="00E173CF"/>
    <w:rsid w:val="00E36892"/>
    <w:rsid w:val="00E4164D"/>
    <w:rsid w:val="00E65706"/>
    <w:rsid w:val="00E75EC1"/>
    <w:rsid w:val="00E8088C"/>
    <w:rsid w:val="00E83B86"/>
    <w:rsid w:val="00E910EB"/>
    <w:rsid w:val="00EA0A09"/>
    <w:rsid w:val="00EB0A2F"/>
    <w:rsid w:val="00EC3A53"/>
    <w:rsid w:val="00EE0694"/>
    <w:rsid w:val="00EF1BEA"/>
    <w:rsid w:val="00F05C5E"/>
    <w:rsid w:val="00F06948"/>
    <w:rsid w:val="00F1394A"/>
    <w:rsid w:val="00F26845"/>
    <w:rsid w:val="00F3435E"/>
    <w:rsid w:val="00F34817"/>
    <w:rsid w:val="00F3708A"/>
    <w:rsid w:val="00F45BAE"/>
    <w:rsid w:val="00F47C0A"/>
    <w:rsid w:val="00F56AFB"/>
    <w:rsid w:val="00F638C0"/>
    <w:rsid w:val="00F72130"/>
    <w:rsid w:val="00F80EBA"/>
    <w:rsid w:val="00FC3F43"/>
    <w:rsid w:val="00FC444D"/>
    <w:rsid w:val="00FC681D"/>
    <w:rsid w:val="00FC6CE2"/>
    <w:rsid w:val="00FD72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183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10"/>
    <w:pPr>
      <w:spacing w:after="0" w:line="240" w:lineRule="auto"/>
    </w:pPr>
    <w:rPr>
      <w:sz w:val="20"/>
    </w:rPr>
  </w:style>
  <w:style w:type="paragraph" w:styleId="Heading1">
    <w:name w:val="heading 1"/>
    <w:basedOn w:val="Normal"/>
    <w:next w:val="Normal"/>
    <w:link w:val="Heading1Char"/>
    <w:uiPriority w:val="9"/>
    <w:qFormat/>
    <w:rsid w:val="00CC2422"/>
    <w:pPr>
      <w:keepNext/>
      <w:keepLines/>
      <w:spacing w:after="480"/>
      <w:outlineLvl w:val="0"/>
    </w:pPr>
    <w:rPr>
      <w:rFonts w:asciiTheme="majorHAnsi" w:eastAsiaTheme="majorEastAsia" w:hAnsiTheme="majorHAnsi" w:cstheme="majorBidi"/>
      <w:b/>
      <w:color w:val="5413B4"/>
      <w:sz w:val="32"/>
      <w:szCs w:val="32"/>
    </w:rPr>
  </w:style>
  <w:style w:type="paragraph" w:styleId="Heading2">
    <w:name w:val="heading 2"/>
    <w:basedOn w:val="Normal"/>
    <w:next w:val="Normal"/>
    <w:link w:val="Heading2Char"/>
    <w:uiPriority w:val="9"/>
    <w:unhideWhenUsed/>
    <w:qFormat/>
    <w:rsid w:val="00957F89"/>
    <w:pPr>
      <w:keepNext/>
      <w:keepLines/>
      <w:spacing w:after="120"/>
      <w:outlineLvl w:val="1"/>
    </w:pPr>
    <w:rPr>
      <w:rFonts w:asciiTheme="majorHAnsi" w:eastAsiaTheme="majorEastAsia" w:hAnsiTheme="majorHAnsi" w:cstheme="majorBidi"/>
      <w:b/>
      <w:bCs/>
      <w:color w:val="3F0F86" w:themeColor="accent1" w:themeShade="BF"/>
      <w:sz w:val="28"/>
      <w:szCs w:val="28"/>
    </w:rPr>
  </w:style>
  <w:style w:type="paragraph" w:styleId="Heading3">
    <w:name w:val="heading 3"/>
    <w:basedOn w:val="Normal"/>
    <w:next w:val="Normal"/>
    <w:link w:val="Heading3Char"/>
    <w:uiPriority w:val="9"/>
    <w:unhideWhenUsed/>
    <w:qFormat/>
    <w:rsid w:val="00615A3F"/>
    <w:pPr>
      <w:spacing w:after="160" w:line="259" w:lineRule="auto"/>
      <w:outlineLvl w:val="2"/>
    </w:pPr>
    <w:rPr>
      <w:b/>
      <w:bCs/>
      <w:sz w:val="24"/>
      <w:szCs w:val="24"/>
    </w:rPr>
  </w:style>
  <w:style w:type="paragraph" w:styleId="Heading4">
    <w:name w:val="heading 4"/>
    <w:basedOn w:val="Normal"/>
    <w:next w:val="Normal"/>
    <w:link w:val="Heading4Char"/>
    <w:uiPriority w:val="9"/>
    <w:unhideWhenUsed/>
    <w:qFormat/>
    <w:rsid w:val="00154AD5"/>
    <w:pPr>
      <w:pBdr>
        <w:top w:val="single" w:sz="4" w:space="6" w:color="DADADA"/>
        <w:left w:val="single" w:sz="4" w:space="6" w:color="DADADA"/>
        <w:bottom w:val="single" w:sz="4" w:space="6" w:color="DADADA"/>
        <w:right w:val="single" w:sz="4" w:space="6" w:color="DADADA"/>
      </w:pBdr>
      <w:shd w:val="clear" w:color="auto" w:fill="DADADA"/>
      <w:spacing w:after="100"/>
      <w:ind w:left="142" w:right="142"/>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115128"/>
    <w:pPr>
      <w:spacing w:after="280" w:line="280" w:lineRule="exact"/>
    </w:pPr>
  </w:style>
  <w:style w:type="character" w:customStyle="1" w:styleId="BodyTextChar">
    <w:name w:val="Body Text Char"/>
    <w:basedOn w:val="DefaultParagraphFont"/>
    <w:link w:val="BodyText"/>
    <w:uiPriority w:val="99"/>
    <w:rsid w:val="00115128"/>
    <w:rPr>
      <w:sz w:val="20"/>
    </w:rPr>
  </w:style>
  <w:style w:type="character" w:customStyle="1" w:styleId="Heading1Char">
    <w:name w:val="Heading 1 Char"/>
    <w:basedOn w:val="DefaultParagraphFont"/>
    <w:link w:val="Heading1"/>
    <w:uiPriority w:val="9"/>
    <w:rsid w:val="00CC2422"/>
    <w:rPr>
      <w:rFonts w:asciiTheme="majorHAnsi" w:eastAsiaTheme="majorEastAsia" w:hAnsiTheme="majorHAnsi" w:cstheme="majorBidi"/>
      <w:b/>
      <w:color w:val="5413B4"/>
      <w:sz w:val="32"/>
      <w:szCs w:val="32"/>
    </w:rPr>
  </w:style>
  <w:style w:type="paragraph" w:styleId="Header">
    <w:name w:val="header"/>
    <w:basedOn w:val="Normal"/>
    <w:link w:val="HeaderChar"/>
    <w:uiPriority w:val="99"/>
    <w:unhideWhenUsed/>
    <w:rsid w:val="00684664"/>
    <w:pPr>
      <w:tabs>
        <w:tab w:val="center" w:pos="4513"/>
        <w:tab w:val="right" w:pos="9026"/>
      </w:tabs>
    </w:pPr>
  </w:style>
  <w:style w:type="character" w:customStyle="1" w:styleId="HeaderChar">
    <w:name w:val="Header Char"/>
    <w:basedOn w:val="DefaultParagraphFont"/>
    <w:link w:val="Header"/>
    <w:uiPriority w:val="99"/>
    <w:rsid w:val="00684664"/>
    <w:rPr>
      <w:sz w:val="20"/>
    </w:rPr>
  </w:style>
  <w:style w:type="paragraph" w:styleId="Footer">
    <w:name w:val="footer"/>
    <w:basedOn w:val="Normal"/>
    <w:link w:val="FooterChar"/>
    <w:uiPriority w:val="99"/>
    <w:unhideWhenUsed/>
    <w:rsid w:val="009A7780"/>
    <w:pPr>
      <w:pBdr>
        <w:top w:val="single" w:sz="4" w:space="4" w:color="auto"/>
      </w:pBdr>
      <w:tabs>
        <w:tab w:val="left" w:pos="3318"/>
        <w:tab w:val="right" w:pos="9638"/>
      </w:tabs>
    </w:pPr>
    <w:rPr>
      <w:sz w:val="12"/>
    </w:rPr>
  </w:style>
  <w:style w:type="character" w:customStyle="1" w:styleId="FooterChar">
    <w:name w:val="Footer Char"/>
    <w:basedOn w:val="DefaultParagraphFont"/>
    <w:link w:val="Footer"/>
    <w:uiPriority w:val="99"/>
    <w:rsid w:val="009A7780"/>
    <w:rPr>
      <w:sz w:val="12"/>
    </w:rPr>
  </w:style>
  <w:style w:type="table" w:styleId="TableGrid">
    <w:name w:val="Table Grid"/>
    <w:basedOn w:val="TableNormal"/>
    <w:uiPriority w:val="39"/>
    <w:rsid w:val="006D1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57F89"/>
    <w:rPr>
      <w:rFonts w:asciiTheme="majorHAnsi" w:eastAsiaTheme="majorEastAsia" w:hAnsiTheme="majorHAnsi" w:cstheme="majorBidi"/>
      <w:b/>
      <w:bCs/>
      <w:color w:val="3F0F86" w:themeColor="accent1" w:themeShade="BF"/>
      <w:sz w:val="28"/>
      <w:szCs w:val="28"/>
    </w:rPr>
  </w:style>
  <w:style w:type="paragraph" w:styleId="Title">
    <w:name w:val="Title"/>
    <w:basedOn w:val="Normal"/>
    <w:next w:val="Normal"/>
    <w:link w:val="TitleChar"/>
    <w:uiPriority w:val="10"/>
    <w:qFormat/>
    <w:rsid w:val="000831DE"/>
    <w:rPr>
      <w:color w:val="FFFFFF" w:themeColor="background1"/>
      <w:sz w:val="56"/>
      <w:szCs w:val="56"/>
    </w:rPr>
  </w:style>
  <w:style w:type="character" w:customStyle="1" w:styleId="TitleChar">
    <w:name w:val="Title Char"/>
    <w:basedOn w:val="DefaultParagraphFont"/>
    <w:link w:val="Title"/>
    <w:uiPriority w:val="10"/>
    <w:rsid w:val="000831DE"/>
    <w:rPr>
      <w:color w:val="FFFFFF" w:themeColor="background1"/>
      <w:sz w:val="56"/>
      <w:szCs w:val="56"/>
    </w:rPr>
  </w:style>
  <w:style w:type="paragraph" w:styleId="Date">
    <w:name w:val="Date"/>
    <w:basedOn w:val="Normal"/>
    <w:next w:val="Normal"/>
    <w:link w:val="DateChar"/>
    <w:uiPriority w:val="99"/>
    <w:unhideWhenUsed/>
    <w:rsid w:val="00AC0BB4"/>
    <w:rPr>
      <w:b/>
      <w:bCs/>
      <w:color w:val="FFFFFF" w:themeColor="background1"/>
      <w:sz w:val="28"/>
      <w:szCs w:val="28"/>
    </w:rPr>
  </w:style>
  <w:style w:type="character" w:customStyle="1" w:styleId="DateChar">
    <w:name w:val="Date Char"/>
    <w:basedOn w:val="DefaultParagraphFont"/>
    <w:link w:val="Date"/>
    <w:uiPriority w:val="99"/>
    <w:rsid w:val="00AC0BB4"/>
    <w:rPr>
      <w:b/>
      <w:bCs/>
      <w:color w:val="FFFFFF" w:themeColor="background1"/>
      <w:sz w:val="28"/>
      <w:szCs w:val="28"/>
    </w:rPr>
  </w:style>
  <w:style w:type="paragraph" w:styleId="Subtitle">
    <w:name w:val="Subtitle"/>
    <w:basedOn w:val="Normal"/>
    <w:next w:val="Normal"/>
    <w:link w:val="SubtitleChar"/>
    <w:uiPriority w:val="11"/>
    <w:qFormat/>
    <w:rsid w:val="00AC0BB4"/>
    <w:rPr>
      <w:b/>
      <w:bCs/>
      <w:color w:val="FFFFFF" w:themeColor="background1"/>
      <w:sz w:val="40"/>
      <w:szCs w:val="40"/>
    </w:rPr>
  </w:style>
  <w:style w:type="character" w:customStyle="1" w:styleId="SubtitleChar">
    <w:name w:val="Subtitle Char"/>
    <w:basedOn w:val="DefaultParagraphFont"/>
    <w:link w:val="Subtitle"/>
    <w:uiPriority w:val="11"/>
    <w:rsid w:val="00AC0BB4"/>
    <w:rPr>
      <w:b/>
      <w:bCs/>
      <w:color w:val="FFFFFF" w:themeColor="background1"/>
      <w:sz w:val="40"/>
      <w:szCs w:val="40"/>
    </w:rPr>
  </w:style>
  <w:style w:type="paragraph" w:styleId="TOC1">
    <w:name w:val="toc 1"/>
    <w:basedOn w:val="Normal"/>
    <w:next w:val="Normal"/>
    <w:autoRedefine/>
    <w:uiPriority w:val="39"/>
    <w:unhideWhenUsed/>
    <w:rsid w:val="00CD74A6"/>
    <w:pPr>
      <w:pBdr>
        <w:top w:val="single" w:sz="4" w:space="4" w:color="auto"/>
        <w:bottom w:val="single" w:sz="4" w:space="4" w:color="auto"/>
        <w:between w:val="single" w:sz="4" w:space="4" w:color="auto"/>
      </w:pBdr>
      <w:tabs>
        <w:tab w:val="left" w:pos="426"/>
        <w:tab w:val="right" w:pos="6379"/>
      </w:tabs>
      <w:spacing w:before="60" w:after="40"/>
      <w:ind w:right="3260"/>
    </w:pPr>
  </w:style>
  <w:style w:type="paragraph" w:customStyle="1" w:styleId="TableColumnHeading">
    <w:name w:val="Table Column Heading"/>
    <w:basedOn w:val="Normal"/>
    <w:qFormat/>
    <w:rsid w:val="00D96CF6"/>
    <w:rPr>
      <w:b/>
      <w:bCs/>
    </w:rPr>
  </w:style>
  <w:style w:type="paragraph" w:customStyle="1" w:styleId="TableRowHeading">
    <w:name w:val="Table Row Heading"/>
    <w:basedOn w:val="Normal"/>
    <w:qFormat/>
    <w:rsid w:val="00D96CF6"/>
    <w:pPr>
      <w:ind w:left="113"/>
    </w:pPr>
    <w:rPr>
      <w:color w:val="5514B4" w:themeColor="accent1"/>
    </w:rPr>
  </w:style>
  <w:style w:type="paragraph" w:styleId="ListParagraph">
    <w:name w:val="List Paragraph"/>
    <w:basedOn w:val="Normal"/>
    <w:uiPriority w:val="34"/>
    <w:qFormat/>
    <w:rsid w:val="00A2377B"/>
    <w:pPr>
      <w:ind w:left="720"/>
      <w:contextualSpacing/>
    </w:pPr>
  </w:style>
  <w:style w:type="character" w:styleId="Hyperlink">
    <w:name w:val="Hyperlink"/>
    <w:basedOn w:val="DefaultParagraphFont"/>
    <w:uiPriority w:val="99"/>
    <w:unhideWhenUsed/>
    <w:rsid w:val="003217BE"/>
    <w:rPr>
      <w:color w:val="0563C1" w:themeColor="hyperlink"/>
      <w:u w:val="single"/>
    </w:rPr>
  </w:style>
  <w:style w:type="character" w:customStyle="1" w:styleId="UnresolvedMention1">
    <w:name w:val="Unresolved Mention1"/>
    <w:basedOn w:val="DefaultParagraphFont"/>
    <w:uiPriority w:val="99"/>
    <w:semiHidden/>
    <w:unhideWhenUsed/>
    <w:rsid w:val="003217BE"/>
    <w:rPr>
      <w:color w:val="605E5C"/>
      <w:shd w:val="clear" w:color="auto" w:fill="E1DFDD"/>
    </w:rPr>
  </w:style>
  <w:style w:type="paragraph" w:styleId="ListBullet">
    <w:name w:val="List Bullet"/>
    <w:basedOn w:val="Normal"/>
    <w:uiPriority w:val="99"/>
    <w:unhideWhenUsed/>
    <w:rsid w:val="00FC444D"/>
    <w:pPr>
      <w:numPr>
        <w:numId w:val="37"/>
      </w:numPr>
      <w:spacing w:after="160"/>
      <w:contextualSpacing/>
    </w:pPr>
  </w:style>
  <w:style w:type="paragraph" w:styleId="ListBullet2">
    <w:name w:val="List Bullet 2"/>
    <w:basedOn w:val="ListBullet"/>
    <w:uiPriority w:val="99"/>
    <w:unhideWhenUsed/>
    <w:rsid w:val="002F225C"/>
    <w:pPr>
      <w:numPr>
        <w:ilvl w:val="1"/>
      </w:numPr>
    </w:pPr>
  </w:style>
  <w:style w:type="paragraph" w:customStyle="1" w:styleId="Heading2Black">
    <w:name w:val="Heading 2 Black"/>
    <w:basedOn w:val="Heading2"/>
    <w:qFormat/>
    <w:rsid w:val="00615A3F"/>
    <w:pPr>
      <w:spacing w:after="160"/>
    </w:pPr>
    <w:rPr>
      <w:color w:val="auto"/>
    </w:rPr>
  </w:style>
  <w:style w:type="character" w:customStyle="1" w:styleId="Heading3Char">
    <w:name w:val="Heading 3 Char"/>
    <w:basedOn w:val="DefaultParagraphFont"/>
    <w:link w:val="Heading3"/>
    <w:uiPriority w:val="9"/>
    <w:rsid w:val="00615A3F"/>
    <w:rPr>
      <w:b/>
      <w:bCs/>
      <w:sz w:val="24"/>
      <w:szCs w:val="24"/>
    </w:rPr>
  </w:style>
  <w:style w:type="character" w:customStyle="1" w:styleId="Heading4Char">
    <w:name w:val="Heading 4 Char"/>
    <w:basedOn w:val="DefaultParagraphFont"/>
    <w:link w:val="Heading4"/>
    <w:uiPriority w:val="9"/>
    <w:rsid w:val="00154AD5"/>
    <w:rPr>
      <w:b/>
      <w:bCs/>
      <w:sz w:val="20"/>
      <w:shd w:val="clear" w:color="auto" w:fill="DADADA"/>
    </w:rPr>
  </w:style>
  <w:style w:type="numbering" w:customStyle="1" w:styleId="ListBullets">
    <w:name w:val="List Bullets"/>
    <w:uiPriority w:val="99"/>
    <w:rsid w:val="00FC444D"/>
    <w:pPr>
      <w:numPr>
        <w:numId w:val="29"/>
      </w:numPr>
    </w:pPr>
  </w:style>
  <w:style w:type="paragraph" w:styleId="ListBullet3">
    <w:name w:val="List Bullet 3"/>
    <w:basedOn w:val="Normal"/>
    <w:uiPriority w:val="99"/>
    <w:unhideWhenUsed/>
    <w:rsid w:val="00FC444D"/>
    <w:pPr>
      <w:numPr>
        <w:ilvl w:val="2"/>
        <w:numId w:val="37"/>
      </w:numPr>
      <w:contextualSpacing/>
    </w:pPr>
  </w:style>
  <w:style w:type="paragraph" w:styleId="ListBullet4">
    <w:name w:val="List Bullet 4"/>
    <w:basedOn w:val="Normal"/>
    <w:uiPriority w:val="99"/>
    <w:semiHidden/>
    <w:unhideWhenUsed/>
    <w:rsid w:val="00FC444D"/>
    <w:pPr>
      <w:numPr>
        <w:ilvl w:val="3"/>
        <w:numId w:val="37"/>
      </w:numPr>
      <w:contextualSpacing/>
    </w:pPr>
  </w:style>
  <w:style w:type="paragraph" w:styleId="ListBullet5">
    <w:name w:val="List Bullet 5"/>
    <w:basedOn w:val="Normal"/>
    <w:uiPriority w:val="99"/>
    <w:semiHidden/>
    <w:unhideWhenUsed/>
    <w:rsid w:val="00FC444D"/>
    <w:pPr>
      <w:numPr>
        <w:ilvl w:val="4"/>
        <w:numId w:val="37"/>
      </w:numPr>
      <w:contextualSpacing/>
    </w:pPr>
  </w:style>
  <w:style w:type="paragraph" w:styleId="TOCHeading">
    <w:name w:val="TOC Heading"/>
    <w:basedOn w:val="Heading1"/>
    <w:next w:val="Normal"/>
    <w:uiPriority w:val="39"/>
    <w:unhideWhenUsed/>
    <w:qFormat/>
    <w:rsid w:val="00CD74A6"/>
    <w:pPr>
      <w:outlineLvl w:val="9"/>
    </w:pPr>
  </w:style>
  <w:style w:type="paragraph" w:styleId="BalloonText">
    <w:name w:val="Balloon Text"/>
    <w:basedOn w:val="Normal"/>
    <w:link w:val="BalloonTextChar"/>
    <w:uiPriority w:val="99"/>
    <w:semiHidden/>
    <w:unhideWhenUsed/>
    <w:rsid w:val="00A436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662"/>
    <w:rPr>
      <w:rFonts w:ascii="Segoe UI" w:hAnsi="Segoe UI" w:cs="Segoe UI"/>
      <w:sz w:val="18"/>
      <w:szCs w:val="18"/>
    </w:rPr>
  </w:style>
  <w:style w:type="character" w:styleId="CommentReference">
    <w:name w:val="annotation reference"/>
    <w:basedOn w:val="DefaultParagraphFont"/>
    <w:uiPriority w:val="99"/>
    <w:semiHidden/>
    <w:unhideWhenUsed/>
    <w:rsid w:val="00A43662"/>
    <w:rPr>
      <w:sz w:val="16"/>
      <w:szCs w:val="16"/>
    </w:rPr>
  </w:style>
  <w:style w:type="paragraph" w:styleId="CommentText">
    <w:name w:val="annotation text"/>
    <w:basedOn w:val="Normal"/>
    <w:link w:val="CommentTextChar"/>
    <w:uiPriority w:val="99"/>
    <w:semiHidden/>
    <w:unhideWhenUsed/>
    <w:rsid w:val="00A43662"/>
    <w:rPr>
      <w:szCs w:val="20"/>
    </w:rPr>
  </w:style>
  <w:style w:type="character" w:customStyle="1" w:styleId="CommentTextChar">
    <w:name w:val="Comment Text Char"/>
    <w:basedOn w:val="DefaultParagraphFont"/>
    <w:link w:val="CommentText"/>
    <w:uiPriority w:val="99"/>
    <w:semiHidden/>
    <w:rsid w:val="00A43662"/>
    <w:rPr>
      <w:sz w:val="20"/>
      <w:szCs w:val="20"/>
    </w:rPr>
  </w:style>
  <w:style w:type="paragraph" w:styleId="CommentSubject">
    <w:name w:val="annotation subject"/>
    <w:basedOn w:val="CommentText"/>
    <w:next w:val="CommentText"/>
    <w:link w:val="CommentSubjectChar"/>
    <w:uiPriority w:val="99"/>
    <w:semiHidden/>
    <w:unhideWhenUsed/>
    <w:rsid w:val="00A43662"/>
    <w:rPr>
      <w:b/>
      <w:bCs/>
    </w:rPr>
  </w:style>
  <w:style w:type="character" w:customStyle="1" w:styleId="CommentSubjectChar">
    <w:name w:val="Comment Subject Char"/>
    <w:basedOn w:val="CommentTextChar"/>
    <w:link w:val="CommentSubject"/>
    <w:uiPriority w:val="99"/>
    <w:semiHidden/>
    <w:rsid w:val="00A436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669923">
      <w:bodyDiv w:val="1"/>
      <w:marLeft w:val="0"/>
      <w:marRight w:val="0"/>
      <w:marTop w:val="0"/>
      <w:marBottom w:val="0"/>
      <w:divBdr>
        <w:top w:val="none" w:sz="0" w:space="0" w:color="auto"/>
        <w:left w:val="none" w:sz="0" w:space="0" w:color="auto"/>
        <w:bottom w:val="none" w:sz="0" w:space="0" w:color="auto"/>
        <w:right w:val="none" w:sz="0" w:space="0" w:color="auto"/>
      </w:divBdr>
    </w:div>
    <w:div w:id="520970448">
      <w:bodyDiv w:val="1"/>
      <w:marLeft w:val="0"/>
      <w:marRight w:val="0"/>
      <w:marTop w:val="0"/>
      <w:marBottom w:val="0"/>
      <w:divBdr>
        <w:top w:val="none" w:sz="0" w:space="0" w:color="auto"/>
        <w:left w:val="none" w:sz="0" w:space="0" w:color="auto"/>
        <w:bottom w:val="none" w:sz="0" w:space="0" w:color="auto"/>
        <w:right w:val="none" w:sz="0" w:space="0" w:color="auto"/>
      </w:divBdr>
    </w:div>
    <w:div w:id="598679069">
      <w:bodyDiv w:val="1"/>
      <w:marLeft w:val="0"/>
      <w:marRight w:val="0"/>
      <w:marTop w:val="0"/>
      <w:marBottom w:val="0"/>
      <w:divBdr>
        <w:top w:val="none" w:sz="0" w:space="0" w:color="auto"/>
        <w:left w:val="none" w:sz="0" w:space="0" w:color="auto"/>
        <w:bottom w:val="none" w:sz="0" w:space="0" w:color="auto"/>
        <w:right w:val="none" w:sz="0" w:space="0" w:color="auto"/>
      </w:divBdr>
    </w:div>
    <w:div w:id="1116212420">
      <w:bodyDiv w:val="1"/>
      <w:marLeft w:val="0"/>
      <w:marRight w:val="0"/>
      <w:marTop w:val="0"/>
      <w:marBottom w:val="0"/>
      <w:divBdr>
        <w:top w:val="none" w:sz="0" w:space="0" w:color="auto"/>
        <w:left w:val="none" w:sz="0" w:space="0" w:color="auto"/>
        <w:bottom w:val="none" w:sz="0" w:space="0" w:color="auto"/>
        <w:right w:val="none" w:sz="0" w:space="0" w:color="auto"/>
      </w:divBdr>
    </w:div>
    <w:div w:id="1851917871">
      <w:bodyDiv w:val="1"/>
      <w:marLeft w:val="0"/>
      <w:marRight w:val="0"/>
      <w:marTop w:val="0"/>
      <w:marBottom w:val="0"/>
      <w:divBdr>
        <w:top w:val="none" w:sz="0" w:space="0" w:color="auto"/>
        <w:left w:val="none" w:sz="0" w:space="0" w:color="auto"/>
        <w:bottom w:val="none" w:sz="0" w:space="0" w:color="auto"/>
        <w:right w:val="none" w:sz="0" w:space="0" w:color="auto"/>
      </w:divBdr>
    </w:div>
    <w:div w:id="1854761148">
      <w:bodyDiv w:val="1"/>
      <w:marLeft w:val="0"/>
      <w:marRight w:val="0"/>
      <w:marTop w:val="0"/>
      <w:marBottom w:val="0"/>
      <w:divBdr>
        <w:top w:val="none" w:sz="0" w:space="0" w:color="auto"/>
        <w:left w:val="none" w:sz="0" w:space="0" w:color="auto"/>
        <w:bottom w:val="none" w:sz="0" w:space="0" w:color="auto"/>
        <w:right w:val="none" w:sz="0" w:space="0" w:color="auto"/>
      </w:divBdr>
    </w:div>
    <w:div w:id="20909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Sanne">
      <a:dk1>
        <a:sysClr val="windowText" lastClr="000000"/>
      </a:dk1>
      <a:lt1>
        <a:sysClr val="window" lastClr="FFFFFF"/>
      </a:lt1>
      <a:dk2>
        <a:srgbClr val="F68C6E"/>
      </a:dk2>
      <a:lt2>
        <a:srgbClr val="CCCCCC"/>
      </a:lt2>
      <a:accent1>
        <a:srgbClr val="5514B4"/>
      </a:accent1>
      <a:accent2>
        <a:srgbClr val="E0004D"/>
      </a:accent2>
      <a:accent3>
        <a:srgbClr val="00A9E0"/>
      </a:accent3>
      <a:accent4>
        <a:srgbClr val="001E60"/>
      </a:accent4>
      <a:accent5>
        <a:srgbClr val="97D700"/>
      </a:accent5>
      <a:accent6>
        <a:srgbClr val="CCCCC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2D050A6F68339438AE308C70680F5AA" ma:contentTypeVersion="11" ma:contentTypeDescription="Create a new document." ma:contentTypeScope="" ma:versionID="12550ba9cd9b4f80fa53ca72218efc85">
  <xsd:schema xmlns:xsd="http://www.w3.org/2001/XMLSchema" xmlns:xs="http://www.w3.org/2001/XMLSchema" xmlns:p="http://schemas.microsoft.com/office/2006/metadata/properties" xmlns:ns2="84496108-e6e6-4641-ae17-fb54e71a2e44" xmlns:ns3="22ff6d67-efb5-42be-a4d3-63b07169d99c" targetNamespace="http://schemas.microsoft.com/office/2006/metadata/properties" ma:root="true" ma:fieldsID="c779533fe5811d4d85aa9c79e8ce4274" ns2:_="" ns3:_="">
    <xsd:import namespace="84496108-e6e6-4641-ae17-fb54e71a2e44"/>
    <xsd:import namespace="22ff6d67-efb5-42be-a4d3-63b07169d9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96108-e6e6-4641-ae17-fb54e71a2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ff6d67-efb5-42be-a4d3-63b07169d9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9EA9A-F755-4C1D-AA89-1CCEE35FA7EC}">
  <ds:schemaRefs>
    <ds:schemaRef ds:uri="http://schemas.openxmlformats.org/officeDocument/2006/bibliography"/>
  </ds:schemaRefs>
</ds:datastoreItem>
</file>

<file path=customXml/itemProps2.xml><?xml version="1.0" encoding="utf-8"?>
<ds:datastoreItem xmlns:ds="http://schemas.openxmlformats.org/officeDocument/2006/customXml" ds:itemID="{5EE4AB46-8E19-43E0-B6F2-70D81883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96108-e6e6-4641-ae17-fb54e71a2e44"/>
    <ds:schemaRef ds:uri="22ff6d67-efb5-42be-a4d3-63b07169d9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6E9EA-F49E-40DF-AD91-F29368985AE9}">
  <ds:schemaRefs>
    <ds:schemaRef ds:uri="http://schemas.microsoft.com/sharepoint/v3/contenttype/forms"/>
  </ds:schemaRefs>
</ds:datastoreItem>
</file>

<file path=customXml/itemProps4.xml><?xml version="1.0" encoding="utf-8"?>
<ds:datastoreItem xmlns:ds="http://schemas.openxmlformats.org/officeDocument/2006/customXml" ds:itemID="{B4827FA9-F7EF-4DB0-B63C-53973F54FB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1144</Words>
  <Characters>6521</Characters>
  <Application>Microsoft Office Word</Application>
  <DocSecurity>0</DocSecurity>
  <Lines>54</Lines>
  <Paragraphs>15</Paragraphs>
  <ScaleCrop>false</ScaleCrop>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2024-06-19T16:51:00Z</dcterms:created>
  <dcterms:modified xsi:type="dcterms:W3CDTF">2024-06-19T17:06:00Z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aa766173669e9d2bf184f1224f1d306ef811e1508a8eb2c2abdc6fa3da90a544</vt:lpwstr>
  </property>
</Properties>
</file>